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392"/>
        <w:gridCol w:w="1879"/>
      </w:tblGrid>
      <w:tr>
        <w:trPr>
          <w:trHeight w:val="3242" w:hRule="atLeast"/>
        </w:trPr>
        <w:tc>
          <w:tcPr>
            <w:tcW w:w="10271" w:type="dxa"/>
            <w:gridSpan w:val="2"/>
            <w:tcBorders>
              <w:bottom w:val="single" w:sz="4" w:space="0" w:color="000000"/>
            </w:tcBorders>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10"/>
              <w:rPr>
                <w:rFonts w:ascii="Times New Roman"/>
                <w:sz w:val="22"/>
              </w:rPr>
            </w:pPr>
          </w:p>
          <w:p>
            <w:pPr>
              <w:pStyle w:val="TableParagraph"/>
              <w:spacing w:line="264" w:lineRule="exact"/>
              <w:ind w:left="3281" w:right="3235"/>
              <w:jc w:val="center"/>
              <w:rPr>
                <w:sz w:val="23"/>
              </w:rPr>
            </w:pPr>
            <w:r>
              <w:rPr>
                <w:sz w:val="23"/>
              </w:rPr>
              <w:t>Director: Lic. Vicberto Romero Mora</w:t>
            </w:r>
          </w:p>
          <w:p>
            <w:pPr>
              <w:pStyle w:val="TableParagraph"/>
              <w:tabs>
                <w:tab w:pos="7592" w:val="left" w:leader="none"/>
              </w:tabs>
              <w:spacing w:line="304" w:lineRule="exact"/>
              <w:ind w:left="1051"/>
              <w:rPr>
                <w:sz w:val="28"/>
              </w:rPr>
            </w:pPr>
            <w:r>
              <w:rPr>
                <w:spacing w:val="-8"/>
                <w:sz w:val="28"/>
              </w:rPr>
              <w:t>Sección</w:t>
            </w:r>
            <w:r>
              <w:rPr>
                <w:spacing w:val="-15"/>
                <w:sz w:val="28"/>
              </w:rPr>
              <w:t> </w:t>
            </w:r>
            <w:r>
              <w:rPr>
                <w:spacing w:val="-8"/>
                <w:sz w:val="28"/>
              </w:rPr>
              <w:t>Séptima</w:t>
              <w:tab/>
            </w:r>
            <w:r>
              <w:rPr>
                <w:spacing w:val="-7"/>
                <w:sz w:val="28"/>
              </w:rPr>
              <w:t>Tomo</w:t>
            </w:r>
            <w:r>
              <w:rPr>
                <w:spacing w:val="-17"/>
                <w:sz w:val="28"/>
              </w:rPr>
              <w:t> </w:t>
            </w:r>
            <w:r>
              <w:rPr>
                <w:spacing w:val="-6"/>
                <w:sz w:val="28"/>
              </w:rPr>
              <w:t>CCV</w:t>
            </w:r>
          </w:p>
        </w:tc>
      </w:tr>
      <w:tr>
        <w:trPr>
          <w:trHeight w:val="645" w:hRule="atLeast"/>
        </w:trPr>
        <w:tc>
          <w:tcPr>
            <w:tcW w:w="8392" w:type="dxa"/>
            <w:tcBorders>
              <w:top w:val="single" w:sz="4" w:space="0" w:color="000000"/>
              <w:bottom w:val="single" w:sz="4" w:space="0" w:color="000000"/>
              <w:right w:val="single" w:sz="4" w:space="0" w:color="000000"/>
            </w:tcBorders>
          </w:tcPr>
          <w:p>
            <w:pPr>
              <w:pStyle w:val="TableParagraph"/>
              <w:spacing w:before="159"/>
              <w:ind w:left="1703" w:right="1609"/>
              <w:jc w:val="center"/>
              <w:rPr>
                <w:sz w:val="28"/>
              </w:rPr>
            </w:pPr>
            <w:r>
              <w:rPr>
                <w:sz w:val="28"/>
              </w:rPr>
              <w:t>Tepic, Nayarit; 21 de Diciembre de 2019</w:t>
            </w:r>
          </w:p>
        </w:tc>
        <w:tc>
          <w:tcPr>
            <w:tcW w:w="1879" w:type="dxa"/>
            <w:tcBorders>
              <w:top w:val="single" w:sz="4" w:space="0" w:color="000000"/>
              <w:left w:val="single" w:sz="4" w:space="0" w:color="000000"/>
              <w:bottom w:val="single" w:sz="4" w:space="0" w:color="000000"/>
            </w:tcBorders>
          </w:tcPr>
          <w:p>
            <w:pPr>
              <w:pStyle w:val="TableParagraph"/>
              <w:spacing w:line="321" w:lineRule="exact"/>
              <w:ind w:left="87"/>
              <w:rPr>
                <w:sz w:val="28"/>
              </w:rPr>
            </w:pPr>
            <w:r>
              <w:rPr>
                <w:sz w:val="28"/>
              </w:rPr>
              <w:t>Número:</w:t>
            </w:r>
            <w:r>
              <w:rPr>
                <w:spacing w:val="4"/>
                <w:sz w:val="28"/>
              </w:rPr>
              <w:t> </w:t>
            </w:r>
            <w:r>
              <w:rPr>
                <w:spacing w:val="-3"/>
                <w:sz w:val="28"/>
              </w:rPr>
              <w:t>122</w:t>
            </w:r>
          </w:p>
          <w:p>
            <w:pPr>
              <w:pStyle w:val="TableParagraph"/>
              <w:tabs>
                <w:tab w:pos="1256" w:val="left" w:leader="none"/>
              </w:tabs>
              <w:spacing w:line="302" w:lineRule="exact" w:before="2"/>
              <w:ind w:left="87"/>
              <w:rPr>
                <w:sz w:val="28"/>
              </w:rPr>
            </w:pPr>
            <w:r>
              <w:rPr>
                <w:sz w:val="28"/>
              </w:rPr>
              <w:t>Tiraje:</w:t>
              <w:tab/>
              <w:t>030</w:t>
            </w:r>
          </w:p>
        </w:tc>
      </w:tr>
      <w:tr>
        <w:trPr>
          <w:trHeight w:val="10034" w:hRule="atLeast"/>
        </w:trPr>
        <w:tc>
          <w:tcPr>
            <w:tcW w:w="10271" w:type="dxa"/>
            <w:gridSpan w:val="2"/>
            <w:tcBorders>
              <w:top w:val="single" w:sz="4" w:space="0" w:color="000000"/>
            </w:tcBorders>
          </w:tcPr>
          <w:p>
            <w:pPr>
              <w:pStyle w:val="TableParagraph"/>
              <w:ind w:left="3281" w:right="3235"/>
              <w:jc w:val="center"/>
              <w:rPr>
                <w:b/>
                <w:sz w:val="32"/>
              </w:rPr>
            </w:pPr>
            <w:r>
              <w:rPr>
                <w:b/>
                <w:sz w:val="32"/>
              </w:rPr>
              <w:t>SUMARIO</w:t>
            </w: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rPr>
                <w:rFonts w:ascii="Times New Roman"/>
                <w:sz w:val="36"/>
              </w:rPr>
            </w:pPr>
          </w:p>
          <w:p>
            <w:pPr>
              <w:pStyle w:val="TableParagraph"/>
              <w:spacing w:before="11"/>
              <w:rPr>
                <w:rFonts w:ascii="Times New Roman"/>
                <w:sz w:val="48"/>
              </w:rPr>
            </w:pPr>
          </w:p>
          <w:p>
            <w:pPr>
              <w:pStyle w:val="TableParagraph"/>
              <w:spacing w:line="360" w:lineRule="auto"/>
              <w:ind w:left="1637" w:right="1582" w:firstLine="1"/>
              <w:jc w:val="center"/>
              <w:rPr>
                <w:b/>
                <w:sz w:val="28"/>
              </w:rPr>
            </w:pPr>
            <w:r>
              <w:rPr>
                <w:b/>
                <w:sz w:val="28"/>
              </w:rPr>
              <w:t>LEY DE INGRESOS PARA LA MUNICIPALIDAD DE TEPIC, NAYARIT; PARA EL EJERCICIO FISCAL 2020</w:t>
            </w:r>
          </w:p>
        </w:tc>
      </w:tr>
    </w:tbl>
    <w:p>
      <w:pPr>
        <w:rPr>
          <w:sz w:val="2"/>
          <w:szCs w:val="2"/>
        </w:rPr>
      </w:pPr>
      <w:r>
        <w:rPr/>
        <w:pict>
          <v:group style="position:absolute;margin-left:62.237137pt;margin-top:48.30677pt;width:487.65pt;height:530pt;mso-position-horizontal-relative:page;mso-position-vertical-relative:page;z-index:-275850240" coordorigin="1245,966" coordsize="9753,10600">
            <v:shape style="position:absolute;left:2089;top:3463;width:7910;height:8102" type="#_x0000_t75" stroked="false">
              <v:imagedata r:id="rId5" o:title=""/>
            </v:shape>
            <v:shape style="position:absolute;left:1244;top:966;width:9753;height:2564" type="#_x0000_t75" stroked="false">
              <v:imagedata r:id="rId6" o:title=""/>
            </v:shape>
            <w10:wrap type="none"/>
          </v:group>
        </w:pict>
      </w:r>
    </w:p>
    <w:p>
      <w:pPr>
        <w:spacing w:after="0"/>
        <w:rPr>
          <w:sz w:val="2"/>
          <w:szCs w:val="2"/>
        </w:rPr>
        <w:sectPr>
          <w:type w:val="continuous"/>
          <w:pgSz w:w="12250" w:h="15850"/>
          <w:pgMar w:top="840" w:bottom="280" w:left="860" w:right="820"/>
        </w:sectPr>
      </w:pPr>
    </w:p>
    <w:p>
      <w:pPr>
        <w:spacing w:before="182"/>
        <w:ind w:left="1247" w:right="1286" w:firstLine="0"/>
        <w:jc w:val="center"/>
        <w:rPr>
          <w:sz w:val="22"/>
        </w:rPr>
      </w:pPr>
      <w:r>
        <w:rPr>
          <w:sz w:val="22"/>
        </w:rPr>
        <w:t>Al margen un Sello con el Escudo Nacional que dice: Estados Unidos Mexicanos.- Poder Legislativo.- Nayarit.</w:t>
      </w:r>
    </w:p>
    <w:p>
      <w:pPr>
        <w:pStyle w:val="BodyText"/>
        <w:spacing w:before="2"/>
      </w:pPr>
    </w:p>
    <w:p>
      <w:pPr>
        <w:spacing w:before="0"/>
        <w:ind w:left="1247" w:right="1283" w:firstLine="0"/>
        <w:jc w:val="center"/>
        <w:rPr>
          <w:b/>
          <w:i/>
          <w:sz w:val="16"/>
        </w:rPr>
      </w:pPr>
      <w:r>
        <w:rPr>
          <w:b/>
          <w:i/>
          <w:sz w:val="16"/>
        </w:rPr>
        <w:t>“Año 2019, Centenario de la Inmortalidad del Bardo Nayarita y Poeta Universal Amado Nervo”</w:t>
      </w:r>
    </w:p>
    <w:p>
      <w:pPr>
        <w:pStyle w:val="BodyText"/>
        <w:spacing w:before="6"/>
        <w:rPr>
          <w:b/>
          <w:i/>
          <w:sz w:val="25"/>
        </w:rPr>
      </w:pPr>
    </w:p>
    <w:p>
      <w:pPr>
        <w:spacing w:before="0"/>
        <w:ind w:left="400" w:right="0" w:firstLine="0"/>
        <w:jc w:val="left"/>
        <w:rPr>
          <w:sz w:val="24"/>
        </w:rPr>
      </w:pPr>
      <w:r>
        <w:rPr>
          <w:b/>
          <w:sz w:val="24"/>
        </w:rPr>
        <w:t>L.C. ANTONIO ECHEVARRÍA GARCÍA, </w:t>
      </w:r>
      <w:r>
        <w:rPr>
          <w:sz w:val="24"/>
        </w:rPr>
        <w:t>Gobernador Constitucional del Estado Libre y Soberano de Nayarit, a los habitantes del mismo, sabed:</w:t>
      </w:r>
    </w:p>
    <w:p>
      <w:pPr>
        <w:pStyle w:val="BodyText"/>
      </w:pPr>
    </w:p>
    <w:p>
      <w:pPr>
        <w:pStyle w:val="BodyText"/>
        <w:ind w:left="400"/>
        <w:jc w:val="both"/>
      </w:pPr>
      <w:r>
        <w:rPr/>
        <w:drawing>
          <wp:anchor distT="0" distB="0" distL="0" distR="0" allowOverlap="1" layoutInCell="1" locked="0" behindDoc="1" simplePos="0" relativeHeight="227467264">
            <wp:simplePos x="0" y="0"/>
            <wp:positionH relativeFrom="page">
              <wp:posOffset>1317324</wp:posOffset>
            </wp:positionH>
            <wp:positionV relativeFrom="paragraph">
              <wp:posOffset>71067</wp:posOffset>
            </wp:positionV>
            <wp:extent cx="5022642" cy="514477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022642" cy="5144770"/>
                    </a:xfrm>
                    <a:prstGeom prst="rect">
                      <a:avLst/>
                    </a:prstGeom>
                  </pic:spPr>
                </pic:pic>
              </a:graphicData>
            </a:graphic>
          </wp:anchor>
        </w:drawing>
      </w:r>
      <w:r>
        <w:rPr/>
        <w:t>Que el H. Congreso Local, se ha servido dirigirme para su promulgación, el siguiente:</w:t>
      </w:r>
    </w:p>
    <w:p>
      <w:pPr>
        <w:pStyle w:val="BodyText"/>
        <w:spacing w:before="11"/>
        <w:rPr>
          <w:sz w:val="23"/>
        </w:rPr>
      </w:pPr>
    </w:p>
    <w:p>
      <w:pPr>
        <w:spacing w:before="0"/>
        <w:ind w:left="1247" w:right="1284" w:firstLine="0"/>
        <w:jc w:val="center"/>
        <w:rPr>
          <w:b/>
          <w:sz w:val="22"/>
        </w:rPr>
      </w:pPr>
      <w:r>
        <w:rPr>
          <w:b/>
          <w:sz w:val="22"/>
        </w:rPr>
        <w:t>DECRETO</w:t>
      </w:r>
    </w:p>
    <w:p>
      <w:pPr>
        <w:pStyle w:val="BodyText"/>
        <w:rPr>
          <w:b/>
          <w:sz w:val="34"/>
        </w:rPr>
      </w:pPr>
    </w:p>
    <w:p>
      <w:pPr>
        <w:spacing w:line="312" w:lineRule="auto" w:before="0"/>
        <w:ind w:left="2507" w:right="2090" w:hanging="89"/>
        <w:jc w:val="left"/>
        <w:rPr>
          <w:i/>
          <w:sz w:val="26"/>
        </w:rPr>
      </w:pPr>
      <w:r>
        <w:rPr>
          <w:i/>
          <w:sz w:val="26"/>
        </w:rPr>
        <w:t>El Congreso del Estado Libre y Soberano de Nayarit </w:t>
      </w:r>
      <w:r>
        <w:rPr>
          <w:i/>
          <w:sz w:val="26"/>
        </w:rPr>
        <w:t>representado por su XXXII Legislatura, decreta:</w:t>
      </w:r>
    </w:p>
    <w:p>
      <w:pPr>
        <w:pStyle w:val="BodyText"/>
        <w:spacing w:before="11"/>
        <w:rPr>
          <w:i/>
          <w:sz w:val="35"/>
        </w:rPr>
      </w:pPr>
    </w:p>
    <w:p>
      <w:pPr>
        <w:pStyle w:val="Heading1"/>
        <w:spacing w:line="360" w:lineRule="auto"/>
        <w:ind w:left="2267" w:right="2304" w:hanging="3"/>
        <w:jc w:val="center"/>
      </w:pPr>
      <w:r>
        <w:rPr/>
        <w:t>LEY DE INGRESOS PARA LA MUNICIPALIDAD DE TEPIC, NAYARIT, PARA EL EJERCICIO FISCAL 2020</w:t>
      </w:r>
    </w:p>
    <w:p>
      <w:pPr>
        <w:pStyle w:val="BodyText"/>
        <w:spacing w:before="10"/>
        <w:rPr>
          <w:b/>
          <w:sz w:val="35"/>
        </w:rPr>
      </w:pPr>
    </w:p>
    <w:p>
      <w:pPr>
        <w:spacing w:line="360" w:lineRule="auto" w:before="0"/>
        <w:ind w:left="3408" w:right="3379" w:hanging="62"/>
        <w:jc w:val="center"/>
        <w:rPr>
          <w:b/>
          <w:sz w:val="24"/>
        </w:rPr>
      </w:pPr>
      <w:r>
        <w:rPr>
          <w:b/>
          <w:sz w:val="24"/>
        </w:rPr>
        <w:t>TÍTULO PRIMERO DISPOSICIONES PRELIMINARES CAPÍTULO ÚNICO</w:t>
      </w:r>
    </w:p>
    <w:p>
      <w:pPr>
        <w:pStyle w:val="BodyText"/>
        <w:spacing w:before="2"/>
        <w:rPr>
          <w:b/>
        </w:rPr>
      </w:pPr>
    </w:p>
    <w:p>
      <w:pPr>
        <w:pStyle w:val="BodyText"/>
        <w:ind w:left="400" w:right="439"/>
        <w:jc w:val="both"/>
      </w:pPr>
      <w:r>
        <w:rPr>
          <w:b/>
        </w:rPr>
        <w:t>Artículo 1.- </w:t>
      </w:r>
      <w:r>
        <w:rPr/>
        <w:t>De conformidad con lo dispuesto en los artículos 115 fracción IV de la Constitución Política de los Estados Unidos Mexicanos; 111 y 115 de la Constitución Política del Estado Libre y Soberano de Nayarit; el artículo 61 fracción I de la Ley General de Contabilidad Gubernamental; el artículo 18 de la Ley de Disciplina Financiera de las Entidades Federativas y Municipios y el artículo 4 de la Ley de Hacienda Municipal del Estado de Nayarit; la Hacienda Pública del Municipio de Tepic, Nayarit; durante el ejercicio fiscal 2020, percibirá los ingresos por conceptos de impuestos, contribuciones de mejoras, derechos, productos, aprovechamientos, participaciones y fondos de aportaciones, transferencias, ingresos por ventas de bienes y servicios, ingresos derivados de financiamiento e ingresos extraordinarios conforme a las bases, cuotas, tasas y tarifas que en esta Ley se establecen.</w:t>
      </w:r>
    </w:p>
    <w:p>
      <w:pPr>
        <w:pStyle w:val="BodyText"/>
        <w:spacing w:before="1"/>
      </w:pPr>
    </w:p>
    <w:p>
      <w:pPr>
        <w:pStyle w:val="BodyText"/>
        <w:ind w:left="400" w:right="443"/>
        <w:jc w:val="both"/>
      </w:pPr>
      <w:r>
        <w:rPr/>
        <w:t>La estimación de ingresos para el ejercicio del año 2020 para el Municipio de Tepic, Nayarit; se conformará de la siguiente manera:</w:t>
      </w:r>
    </w:p>
    <w:p>
      <w:pPr>
        <w:pStyle w:val="BodyText"/>
        <w:spacing w:before="11"/>
        <w:rPr>
          <w:sz w:val="23"/>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2312"/>
      </w:tblGrid>
      <w:tr>
        <w:trPr>
          <w:trHeight w:val="551" w:hRule="atLeast"/>
        </w:trPr>
        <w:tc>
          <w:tcPr>
            <w:tcW w:w="6517" w:type="dxa"/>
          </w:tcPr>
          <w:p>
            <w:pPr>
              <w:pStyle w:val="TableParagraph"/>
              <w:ind w:left="1434"/>
              <w:rPr>
                <w:b/>
                <w:sz w:val="24"/>
              </w:rPr>
            </w:pPr>
            <w:r>
              <w:rPr>
                <w:b/>
                <w:sz w:val="24"/>
              </w:rPr>
              <w:t>MUNICIPIO DE TEPIC, NAYARIT</w:t>
            </w:r>
          </w:p>
        </w:tc>
        <w:tc>
          <w:tcPr>
            <w:tcW w:w="2312" w:type="dxa"/>
          </w:tcPr>
          <w:p>
            <w:pPr>
              <w:pStyle w:val="TableParagraph"/>
              <w:spacing w:line="270" w:lineRule="atLeast"/>
              <w:ind w:left="438" w:right="417" w:firstLine="79"/>
              <w:rPr>
                <w:b/>
                <w:sz w:val="24"/>
              </w:rPr>
            </w:pPr>
            <w:r>
              <w:rPr>
                <w:b/>
                <w:sz w:val="24"/>
              </w:rPr>
              <w:t>INGRESOS ESTIMADOS</w:t>
            </w:r>
          </w:p>
        </w:tc>
      </w:tr>
      <w:tr>
        <w:trPr>
          <w:trHeight w:val="277" w:hRule="atLeast"/>
        </w:trPr>
        <w:tc>
          <w:tcPr>
            <w:tcW w:w="6517" w:type="dxa"/>
          </w:tcPr>
          <w:p>
            <w:pPr>
              <w:pStyle w:val="TableParagraph"/>
              <w:spacing w:line="255" w:lineRule="exact" w:before="2"/>
              <w:ind w:left="148"/>
              <w:rPr>
                <w:b/>
                <w:sz w:val="24"/>
              </w:rPr>
            </w:pPr>
            <w:r>
              <w:rPr>
                <w:b/>
                <w:sz w:val="24"/>
              </w:rPr>
              <w:t>LEY DE INGRESOS PARA EL EJERCICIO FISCAL 2020</w:t>
            </w:r>
          </w:p>
        </w:tc>
        <w:tc>
          <w:tcPr>
            <w:tcW w:w="2312" w:type="dxa"/>
          </w:tcPr>
          <w:p>
            <w:pPr>
              <w:pStyle w:val="TableParagraph"/>
              <w:rPr>
                <w:rFonts w:ascii="Times New Roman"/>
                <w:sz w:val="20"/>
              </w:rPr>
            </w:pPr>
          </w:p>
        </w:tc>
      </w:tr>
      <w:tr>
        <w:trPr>
          <w:trHeight w:val="275" w:hRule="atLeast"/>
        </w:trPr>
        <w:tc>
          <w:tcPr>
            <w:tcW w:w="6517" w:type="dxa"/>
          </w:tcPr>
          <w:p>
            <w:pPr>
              <w:pStyle w:val="TableParagraph"/>
              <w:spacing w:line="255" w:lineRule="exact"/>
              <w:ind w:left="175"/>
              <w:rPr>
                <w:b/>
                <w:sz w:val="24"/>
              </w:rPr>
            </w:pPr>
            <w:r>
              <w:rPr>
                <w:b/>
                <w:sz w:val="24"/>
                <w:u w:val="thick"/>
              </w:rPr>
              <w:t>Ingresos Propios</w:t>
            </w:r>
          </w:p>
        </w:tc>
        <w:tc>
          <w:tcPr>
            <w:tcW w:w="2312" w:type="dxa"/>
          </w:tcPr>
          <w:p>
            <w:pPr>
              <w:pStyle w:val="TableParagraph"/>
              <w:spacing w:line="255" w:lineRule="exact"/>
              <w:ind w:right="99"/>
              <w:jc w:val="right"/>
              <w:rPr>
                <w:b/>
                <w:sz w:val="24"/>
              </w:rPr>
            </w:pPr>
            <w:r>
              <w:rPr>
                <w:b/>
                <w:sz w:val="24"/>
              </w:rPr>
              <w:t>579,776,905.11</w:t>
            </w:r>
          </w:p>
        </w:tc>
      </w:tr>
      <w:tr>
        <w:trPr>
          <w:trHeight w:val="275" w:hRule="atLeast"/>
        </w:trPr>
        <w:tc>
          <w:tcPr>
            <w:tcW w:w="6517" w:type="dxa"/>
          </w:tcPr>
          <w:p>
            <w:pPr>
              <w:pStyle w:val="TableParagraph"/>
              <w:spacing w:line="255" w:lineRule="exact"/>
              <w:ind w:left="175"/>
              <w:rPr>
                <w:b/>
                <w:sz w:val="24"/>
              </w:rPr>
            </w:pPr>
            <w:r>
              <w:rPr>
                <w:b/>
                <w:sz w:val="24"/>
                <w:u w:val="thick"/>
              </w:rPr>
              <w:t>1.Impuestos</w:t>
            </w:r>
          </w:p>
        </w:tc>
        <w:tc>
          <w:tcPr>
            <w:tcW w:w="2312" w:type="dxa"/>
          </w:tcPr>
          <w:p>
            <w:pPr>
              <w:pStyle w:val="TableParagraph"/>
              <w:spacing w:line="255" w:lineRule="exact"/>
              <w:ind w:right="99"/>
              <w:jc w:val="right"/>
              <w:rPr>
                <w:b/>
                <w:sz w:val="24"/>
              </w:rPr>
            </w:pPr>
            <w:r>
              <w:rPr>
                <w:b/>
                <w:sz w:val="24"/>
              </w:rPr>
              <w:t>154,226.025.63</w:t>
            </w:r>
          </w:p>
        </w:tc>
      </w:tr>
      <w:tr>
        <w:trPr>
          <w:trHeight w:val="275" w:hRule="atLeast"/>
        </w:trPr>
        <w:tc>
          <w:tcPr>
            <w:tcW w:w="6517" w:type="dxa"/>
          </w:tcPr>
          <w:p>
            <w:pPr>
              <w:pStyle w:val="TableParagraph"/>
              <w:spacing w:line="255" w:lineRule="exact"/>
              <w:ind w:left="105"/>
              <w:rPr>
                <w:b/>
                <w:sz w:val="24"/>
              </w:rPr>
            </w:pPr>
            <w:r>
              <w:rPr>
                <w:b/>
                <w:sz w:val="24"/>
              </w:rPr>
              <w:t>Impuesto sobre el patrimonio</w:t>
            </w:r>
          </w:p>
        </w:tc>
        <w:tc>
          <w:tcPr>
            <w:tcW w:w="2312" w:type="dxa"/>
          </w:tcPr>
          <w:p>
            <w:pPr>
              <w:pStyle w:val="TableParagraph"/>
              <w:spacing w:line="255" w:lineRule="exact"/>
              <w:ind w:right="99"/>
              <w:jc w:val="right"/>
              <w:rPr>
                <w:b/>
                <w:sz w:val="24"/>
              </w:rPr>
            </w:pPr>
            <w:r>
              <w:rPr>
                <w:b/>
                <w:sz w:val="24"/>
              </w:rPr>
              <w:t>104,633,772.81</w:t>
            </w:r>
          </w:p>
        </w:tc>
      </w:tr>
      <w:tr>
        <w:trPr>
          <w:trHeight w:val="275" w:hRule="atLeast"/>
        </w:trPr>
        <w:tc>
          <w:tcPr>
            <w:tcW w:w="6517" w:type="dxa"/>
          </w:tcPr>
          <w:p>
            <w:pPr>
              <w:pStyle w:val="TableParagraph"/>
              <w:spacing w:line="255" w:lineRule="exact"/>
              <w:ind w:left="175"/>
              <w:rPr>
                <w:sz w:val="24"/>
              </w:rPr>
            </w:pPr>
            <w:r>
              <w:rPr>
                <w:sz w:val="24"/>
              </w:rPr>
              <w:t>Impuesto Predial</w:t>
            </w:r>
          </w:p>
        </w:tc>
        <w:tc>
          <w:tcPr>
            <w:tcW w:w="2312" w:type="dxa"/>
          </w:tcPr>
          <w:p>
            <w:pPr>
              <w:pStyle w:val="TableParagraph"/>
              <w:spacing w:line="255" w:lineRule="exact"/>
              <w:ind w:right="99"/>
              <w:jc w:val="right"/>
              <w:rPr>
                <w:sz w:val="24"/>
              </w:rPr>
            </w:pPr>
            <w:r>
              <w:rPr>
                <w:sz w:val="24"/>
              </w:rPr>
              <w:t>56,570,340.91</w:t>
            </w:r>
          </w:p>
        </w:tc>
      </w:tr>
      <w:tr>
        <w:trPr>
          <w:trHeight w:val="276" w:hRule="atLeast"/>
        </w:trPr>
        <w:tc>
          <w:tcPr>
            <w:tcW w:w="6517" w:type="dxa"/>
          </w:tcPr>
          <w:p>
            <w:pPr>
              <w:pStyle w:val="TableParagraph"/>
              <w:spacing w:line="255" w:lineRule="exact"/>
              <w:ind w:left="175"/>
              <w:rPr>
                <w:sz w:val="24"/>
              </w:rPr>
            </w:pPr>
            <w:r>
              <w:rPr>
                <w:sz w:val="24"/>
              </w:rPr>
              <w:t>Impuesto Sobre Adquisiciones de Bienes Inmuebles</w:t>
            </w:r>
          </w:p>
        </w:tc>
        <w:tc>
          <w:tcPr>
            <w:tcW w:w="2312" w:type="dxa"/>
          </w:tcPr>
          <w:p>
            <w:pPr>
              <w:pStyle w:val="TableParagraph"/>
              <w:spacing w:line="255" w:lineRule="exact"/>
              <w:ind w:right="98"/>
              <w:jc w:val="right"/>
              <w:rPr>
                <w:sz w:val="24"/>
              </w:rPr>
            </w:pPr>
            <w:r>
              <w:rPr>
                <w:sz w:val="24"/>
              </w:rPr>
              <w:t>48,063,431.90</w:t>
            </w:r>
          </w:p>
        </w:tc>
      </w:tr>
    </w:tbl>
    <w:p>
      <w:pPr>
        <w:spacing w:after="0" w:line="255" w:lineRule="exact"/>
        <w:jc w:val="right"/>
        <w:rPr>
          <w:sz w:val="24"/>
        </w:rPr>
        <w:sectPr>
          <w:headerReference w:type="even" r:id="rId7"/>
          <w:headerReference w:type="default" r:id="rId8"/>
          <w:pgSz w:w="12250" w:h="15850"/>
          <w:pgMar w:header="730" w:footer="0" w:top="1000" w:bottom="280" w:left="860" w:right="820"/>
          <w:pgNumType w:start="2"/>
        </w:sectPr>
      </w:pPr>
    </w:p>
    <w:p>
      <w:pPr>
        <w:pStyle w:val="BodyText"/>
        <w:spacing w:before="1"/>
        <w:rPr>
          <w:sz w:val="17"/>
        </w:rPr>
      </w:pPr>
      <w:r>
        <w:rPr/>
        <w:drawing>
          <wp:anchor distT="0" distB="0" distL="0" distR="0" allowOverlap="1" layoutInCell="1" locked="0" behindDoc="1" simplePos="0" relativeHeight="227468288">
            <wp:simplePos x="0" y="0"/>
            <wp:positionH relativeFrom="page">
              <wp:posOffset>1326849</wp:posOffset>
            </wp:positionH>
            <wp:positionV relativeFrom="page">
              <wp:posOffset>2161031</wp:posOffset>
            </wp:positionV>
            <wp:extent cx="5026051" cy="5148262"/>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5026051" cy="5148262"/>
                    </a:xfrm>
                    <a:prstGeom prst="rect">
                      <a:avLst/>
                    </a:prstGeom>
                  </pic:spPr>
                </pic:pic>
              </a:graphicData>
            </a:graphic>
          </wp:anchor>
        </w:drawing>
      </w: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2312"/>
      </w:tblGrid>
      <w:tr>
        <w:trPr>
          <w:trHeight w:val="551" w:hRule="atLeast"/>
        </w:trPr>
        <w:tc>
          <w:tcPr>
            <w:tcW w:w="6517" w:type="dxa"/>
          </w:tcPr>
          <w:p>
            <w:pPr>
              <w:pStyle w:val="TableParagraph"/>
              <w:ind w:left="1434"/>
              <w:rPr>
                <w:b/>
                <w:sz w:val="24"/>
              </w:rPr>
            </w:pPr>
            <w:r>
              <w:rPr>
                <w:b/>
                <w:sz w:val="24"/>
              </w:rPr>
              <w:t>MUNICIPIO DE TEPIC, NAYARIT</w:t>
            </w:r>
          </w:p>
        </w:tc>
        <w:tc>
          <w:tcPr>
            <w:tcW w:w="2312" w:type="dxa"/>
          </w:tcPr>
          <w:p>
            <w:pPr>
              <w:pStyle w:val="TableParagraph"/>
              <w:spacing w:line="270" w:lineRule="atLeast"/>
              <w:ind w:left="438" w:right="417" w:firstLine="79"/>
              <w:rPr>
                <w:b/>
                <w:sz w:val="24"/>
              </w:rPr>
            </w:pPr>
            <w:r>
              <w:rPr>
                <w:b/>
                <w:sz w:val="24"/>
              </w:rPr>
              <w:t>INGRESOS ESTIMADOS</w:t>
            </w:r>
          </w:p>
        </w:tc>
      </w:tr>
      <w:tr>
        <w:trPr>
          <w:trHeight w:val="275" w:hRule="atLeast"/>
        </w:trPr>
        <w:tc>
          <w:tcPr>
            <w:tcW w:w="6517" w:type="dxa"/>
          </w:tcPr>
          <w:p>
            <w:pPr>
              <w:pStyle w:val="TableParagraph"/>
              <w:spacing w:line="255" w:lineRule="exact"/>
              <w:ind w:left="148"/>
              <w:rPr>
                <w:b/>
                <w:sz w:val="24"/>
              </w:rPr>
            </w:pPr>
            <w:r>
              <w:rPr>
                <w:b/>
                <w:sz w:val="24"/>
              </w:rPr>
              <w:t>LEY DE INGRESOS PARA EL EJERCICIO FISCAL 2020</w:t>
            </w:r>
          </w:p>
        </w:tc>
        <w:tc>
          <w:tcPr>
            <w:tcW w:w="2312" w:type="dxa"/>
          </w:tcPr>
          <w:p>
            <w:pPr>
              <w:pStyle w:val="TableParagraph"/>
              <w:rPr>
                <w:rFonts w:ascii="Times New Roman"/>
                <w:sz w:val="20"/>
              </w:rPr>
            </w:pPr>
          </w:p>
        </w:tc>
      </w:tr>
      <w:tr>
        <w:trPr>
          <w:trHeight w:val="275" w:hRule="atLeast"/>
        </w:trPr>
        <w:tc>
          <w:tcPr>
            <w:tcW w:w="6517" w:type="dxa"/>
          </w:tcPr>
          <w:p>
            <w:pPr>
              <w:pStyle w:val="TableParagraph"/>
              <w:rPr>
                <w:rFonts w:ascii="Times New Roman"/>
                <w:sz w:val="20"/>
              </w:rPr>
            </w:pPr>
          </w:p>
        </w:tc>
        <w:tc>
          <w:tcPr>
            <w:tcW w:w="2312" w:type="dxa"/>
          </w:tcPr>
          <w:p>
            <w:pPr>
              <w:pStyle w:val="TableParagraph"/>
              <w:rPr>
                <w:rFonts w:ascii="Times New Roman"/>
                <w:sz w:val="20"/>
              </w:rPr>
            </w:pPr>
          </w:p>
        </w:tc>
      </w:tr>
      <w:tr>
        <w:trPr>
          <w:trHeight w:val="275" w:hRule="atLeast"/>
        </w:trPr>
        <w:tc>
          <w:tcPr>
            <w:tcW w:w="6517" w:type="dxa"/>
          </w:tcPr>
          <w:p>
            <w:pPr>
              <w:pStyle w:val="TableParagraph"/>
              <w:spacing w:line="255" w:lineRule="exact"/>
              <w:ind w:left="175"/>
              <w:rPr>
                <w:b/>
                <w:sz w:val="24"/>
              </w:rPr>
            </w:pPr>
            <w:r>
              <w:rPr>
                <w:b/>
                <w:sz w:val="24"/>
                <w:u w:val="thick"/>
              </w:rPr>
              <w:t>Accesorios de Impuestos </w:t>
            </w:r>
          </w:p>
        </w:tc>
        <w:tc>
          <w:tcPr>
            <w:tcW w:w="2312" w:type="dxa"/>
          </w:tcPr>
          <w:p>
            <w:pPr>
              <w:pStyle w:val="TableParagraph"/>
              <w:spacing w:line="255" w:lineRule="exact"/>
              <w:ind w:right="98"/>
              <w:jc w:val="right"/>
              <w:rPr>
                <w:b/>
                <w:sz w:val="24"/>
              </w:rPr>
            </w:pPr>
            <w:r>
              <w:rPr>
                <w:b/>
                <w:sz w:val="24"/>
              </w:rPr>
              <w:t>6,833,755.82</w:t>
            </w:r>
          </w:p>
        </w:tc>
      </w:tr>
      <w:tr>
        <w:trPr>
          <w:trHeight w:val="278" w:hRule="atLeast"/>
        </w:trPr>
        <w:tc>
          <w:tcPr>
            <w:tcW w:w="6517" w:type="dxa"/>
          </w:tcPr>
          <w:p>
            <w:pPr>
              <w:pStyle w:val="TableParagraph"/>
              <w:spacing w:line="255" w:lineRule="exact" w:before="2"/>
              <w:ind w:left="175"/>
              <w:rPr>
                <w:sz w:val="24"/>
              </w:rPr>
            </w:pPr>
            <w:r>
              <w:rPr>
                <w:sz w:val="24"/>
              </w:rPr>
              <w:t>Recargos</w:t>
            </w:r>
          </w:p>
        </w:tc>
        <w:tc>
          <w:tcPr>
            <w:tcW w:w="2312" w:type="dxa"/>
          </w:tcPr>
          <w:p>
            <w:pPr>
              <w:pStyle w:val="TableParagraph"/>
              <w:spacing w:line="255" w:lineRule="exact" w:before="2"/>
              <w:ind w:right="98"/>
              <w:jc w:val="right"/>
              <w:rPr>
                <w:sz w:val="24"/>
              </w:rPr>
            </w:pPr>
            <w:r>
              <w:rPr>
                <w:sz w:val="24"/>
              </w:rPr>
              <w:t>1,348,446.93</w:t>
            </w:r>
          </w:p>
        </w:tc>
      </w:tr>
      <w:tr>
        <w:trPr>
          <w:trHeight w:val="275" w:hRule="atLeast"/>
        </w:trPr>
        <w:tc>
          <w:tcPr>
            <w:tcW w:w="6517" w:type="dxa"/>
          </w:tcPr>
          <w:p>
            <w:pPr>
              <w:pStyle w:val="TableParagraph"/>
              <w:spacing w:line="255" w:lineRule="exact"/>
              <w:ind w:left="175"/>
              <w:rPr>
                <w:sz w:val="24"/>
              </w:rPr>
            </w:pPr>
            <w:r>
              <w:rPr>
                <w:sz w:val="24"/>
              </w:rPr>
              <w:t>Gastos de Ejecución</w:t>
            </w:r>
          </w:p>
        </w:tc>
        <w:tc>
          <w:tcPr>
            <w:tcW w:w="2312" w:type="dxa"/>
          </w:tcPr>
          <w:p>
            <w:pPr>
              <w:pStyle w:val="TableParagraph"/>
              <w:spacing w:line="255" w:lineRule="exact"/>
              <w:ind w:right="98"/>
              <w:jc w:val="right"/>
              <w:rPr>
                <w:sz w:val="24"/>
              </w:rPr>
            </w:pPr>
            <w:r>
              <w:rPr>
                <w:sz w:val="24"/>
              </w:rPr>
              <w:t>4,545,011.75</w:t>
            </w:r>
          </w:p>
        </w:tc>
      </w:tr>
      <w:tr>
        <w:trPr>
          <w:trHeight w:val="275" w:hRule="atLeast"/>
        </w:trPr>
        <w:tc>
          <w:tcPr>
            <w:tcW w:w="6517" w:type="dxa"/>
          </w:tcPr>
          <w:p>
            <w:pPr>
              <w:pStyle w:val="TableParagraph"/>
              <w:spacing w:line="255" w:lineRule="exact"/>
              <w:ind w:left="175"/>
              <w:rPr>
                <w:sz w:val="24"/>
              </w:rPr>
            </w:pPr>
            <w:r>
              <w:rPr>
                <w:sz w:val="24"/>
              </w:rPr>
              <w:t>Actualización</w:t>
            </w:r>
          </w:p>
        </w:tc>
        <w:tc>
          <w:tcPr>
            <w:tcW w:w="2312" w:type="dxa"/>
          </w:tcPr>
          <w:p>
            <w:pPr>
              <w:pStyle w:val="TableParagraph"/>
              <w:spacing w:line="255" w:lineRule="exact"/>
              <w:ind w:right="98"/>
              <w:jc w:val="right"/>
              <w:rPr>
                <w:sz w:val="24"/>
              </w:rPr>
            </w:pPr>
            <w:r>
              <w:rPr>
                <w:sz w:val="24"/>
              </w:rPr>
              <w:t>940,297.14</w:t>
            </w:r>
          </w:p>
        </w:tc>
      </w:tr>
      <w:tr>
        <w:trPr>
          <w:trHeight w:val="827" w:hRule="atLeast"/>
        </w:trPr>
        <w:tc>
          <w:tcPr>
            <w:tcW w:w="6517" w:type="dxa"/>
          </w:tcPr>
          <w:p>
            <w:pPr>
              <w:pStyle w:val="TableParagraph"/>
              <w:spacing w:line="270" w:lineRule="atLeast"/>
              <w:ind w:left="175" w:right="101"/>
              <w:jc w:val="both"/>
              <w:rPr>
                <w:b/>
                <w:sz w:val="24"/>
              </w:rPr>
            </w:pPr>
            <w:r>
              <w:rPr>
                <w:b/>
                <w:sz w:val="24"/>
                <w:u w:val="thick"/>
              </w:rPr>
              <w:t>Impuestos no comprendidos en la ley vigente</w:t>
            </w:r>
            <w:r>
              <w:rPr>
                <w:b/>
                <w:sz w:val="24"/>
              </w:rPr>
              <w:t> </w:t>
            </w:r>
            <w:r>
              <w:rPr>
                <w:b/>
                <w:sz w:val="24"/>
                <w:u w:val="thick"/>
              </w:rPr>
              <w:t>causados en ejercicios fiscales anteriores pendientes</w:t>
            </w:r>
            <w:r>
              <w:rPr>
                <w:b/>
                <w:sz w:val="24"/>
              </w:rPr>
              <w:t> </w:t>
            </w:r>
            <w:r>
              <w:rPr>
                <w:b/>
                <w:sz w:val="24"/>
                <w:u w:val="thick"/>
              </w:rPr>
              <w:t>de liquidación o pago </w:t>
            </w:r>
          </w:p>
        </w:tc>
        <w:tc>
          <w:tcPr>
            <w:tcW w:w="2312" w:type="dxa"/>
          </w:tcPr>
          <w:p>
            <w:pPr>
              <w:pStyle w:val="TableParagraph"/>
              <w:ind w:right="99"/>
              <w:jc w:val="right"/>
              <w:rPr>
                <w:b/>
                <w:sz w:val="24"/>
              </w:rPr>
            </w:pPr>
            <w:r>
              <w:rPr>
                <w:b/>
                <w:sz w:val="24"/>
              </w:rPr>
              <w:t>42,758,497.00</w:t>
            </w:r>
          </w:p>
        </w:tc>
      </w:tr>
      <w:tr>
        <w:trPr>
          <w:trHeight w:val="275" w:hRule="atLeast"/>
        </w:trPr>
        <w:tc>
          <w:tcPr>
            <w:tcW w:w="6517" w:type="dxa"/>
          </w:tcPr>
          <w:p>
            <w:pPr>
              <w:pStyle w:val="TableParagraph"/>
              <w:spacing w:line="255" w:lineRule="exact"/>
              <w:ind w:left="175"/>
              <w:rPr>
                <w:sz w:val="24"/>
              </w:rPr>
            </w:pPr>
            <w:r>
              <w:rPr>
                <w:sz w:val="24"/>
              </w:rPr>
              <w:t>Impuesto Predial de ejercicios anteriores</w:t>
            </w:r>
          </w:p>
        </w:tc>
        <w:tc>
          <w:tcPr>
            <w:tcW w:w="2312" w:type="dxa"/>
          </w:tcPr>
          <w:p>
            <w:pPr>
              <w:pStyle w:val="TableParagraph"/>
              <w:spacing w:line="255" w:lineRule="exact"/>
              <w:ind w:right="99"/>
              <w:jc w:val="right"/>
              <w:rPr>
                <w:b/>
                <w:sz w:val="24"/>
              </w:rPr>
            </w:pPr>
            <w:r>
              <w:rPr>
                <w:b/>
                <w:sz w:val="24"/>
              </w:rPr>
              <w:t>42,758,497.00</w:t>
            </w:r>
          </w:p>
        </w:tc>
      </w:tr>
      <w:tr>
        <w:trPr>
          <w:trHeight w:val="276" w:hRule="atLeast"/>
        </w:trPr>
        <w:tc>
          <w:tcPr>
            <w:tcW w:w="6517" w:type="dxa"/>
          </w:tcPr>
          <w:p>
            <w:pPr>
              <w:pStyle w:val="TableParagraph"/>
              <w:spacing w:line="256" w:lineRule="exact"/>
              <w:ind w:left="175"/>
              <w:rPr>
                <w:b/>
                <w:sz w:val="24"/>
              </w:rPr>
            </w:pPr>
            <w:r>
              <w:rPr>
                <w:b/>
                <w:sz w:val="24"/>
                <w:u w:val="thick"/>
              </w:rPr>
              <w:t>3. Contribuciones de mejoras</w:t>
            </w:r>
          </w:p>
        </w:tc>
        <w:tc>
          <w:tcPr>
            <w:tcW w:w="2312" w:type="dxa"/>
          </w:tcPr>
          <w:p>
            <w:pPr>
              <w:pStyle w:val="TableParagraph"/>
              <w:spacing w:line="256" w:lineRule="exact"/>
              <w:ind w:right="98"/>
              <w:jc w:val="right"/>
              <w:rPr>
                <w:b/>
                <w:sz w:val="24"/>
              </w:rPr>
            </w:pPr>
            <w:r>
              <w:rPr>
                <w:b/>
                <w:sz w:val="24"/>
              </w:rPr>
              <w:t>149,724.59</w:t>
            </w:r>
          </w:p>
        </w:tc>
      </w:tr>
      <w:tr>
        <w:trPr>
          <w:trHeight w:val="277" w:hRule="atLeast"/>
        </w:trPr>
        <w:tc>
          <w:tcPr>
            <w:tcW w:w="6517" w:type="dxa"/>
          </w:tcPr>
          <w:p>
            <w:pPr>
              <w:pStyle w:val="TableParagraph"/>
              <w:spacing w:line="255" w:lineRule="exact" w:before="2"/>
              <w:ind w:left="175"/>
              <w:rPr>
                <w:sz w:val="24"/>
              </w:rPr>
            </w:pPr>
            <w:r>
              <w:rPr>
                <w:sz w:val="24"/>
              </w:rPr>
              <w:t>Contribución de mejoras por obras publicas</w:t>
            </w:r>
          </w:p>
        </w:tc>
        <w:tc>
          <w:tcPr>
            <w:tcW w:w="2312" w:type="dxa"/>
          </w:tcPr>
          <w:p>
            <w:pPr>
              <w:pStyle w:val="TableParagraph"/>
              <w:spacing w:line="255" w:lineRule="exact" w:before="2"/>
              <w:ind w:right="98"/>
              <w:jc w:val="right"/>
              <w:rPr>
                <w:sz w:val="24"/>
              </w:rPr>
            </w:pPr>
            <w:r>
              <w:rPr>
                <w:sz w:val="24"/>
              </w:rPr>
              <w:t>149,723.59</w:t>
            </w:r>
          </w:p>
        </w:tc>
      </w:tr>
      <w:tr>
        <w:trPr>
          <w:trHeight w:val="827" w:hRule="atLeast"/>
        </w:trPr>
        <w:tc>
          <w:tcPr>
            <w:tcW w:w="6517" w:type="dxa"/>
          </w:tcPr>
          <w:p>
            <w:pPr>
              <w:pStyle w:val="TableParagraph"/>
              <w:spacing w:line="270" w:lineRule="atLeast"/>
              <w:ind w:left="175" w:right="97"/>
              <w:jc w:val="both"/>
              <w:rPr>
                <w:sz w:val="24"/>
              </w:rPr>
            </w:pPr>
            <w:r>
              <w:rPr>
                <w:sz w:val="24"/>
              </w:rPr>
              <w:t>Contribuciones de mejoras no comprendidos en la Ley de Ingresos vigente, causados en ejercicios fiscales anteriores pendientes de liquidación</w:t>
            </w:r>
          </w:p>
        </w:tc>
        <w:tc>
          <w:tcPr>
            <w:tcW w:w="2312" w:type="dxa"/>
          </w:tcPr>
          <w:p>
            <w:pPr>
              <w:pStyle w:val="TableParagraph"/>
              <w:ind w:right="97"/>
              <w:jc w:val="right"/>
              <w:rPr>
                <w:sz w:val="24"/>
              </w:rPr>
            </w:pPr>
            <w:r>
              <w:rPr>
                <w:sz w:val="24"/>
              </w:rPr>
              <w:t>1.00</w:t>
            </w:r>
          </w:p>
        </w:tc>
      </w:tr>
      <w:tr>
        <w:trPr>
          <w:trHeight w:val="275" w:hRule="atLeast"/>
        </w:trPr>
        <w:tc>
          <w:tcPr>
            <w:tcW w:w="6517" w:type="dxa"/>
          </w:tcPr>
          <w:p>
            <w:pPr>
              <w:pStyle w:val="TableParagraph"/>
              <w:spacing w:line="255" w:lineRule="exact"/>
              <w:ind w:left="175"/>
              <w:rPr>
                <w:b/>
                <w:sz w:val="24"/>
              </w:rPr>
            </w:pPr>
            <w:r>
              <w:rPr>
                <w:b/>
                <w:sz w:val="24"/>
                <w:u w:val="thick"/>
              </w:rPr>
              <w:t>3. Derechos</w:t>
            </w:r>
          </w:p>
        </w:tc>
        <w:tc>
          <w:tcPr>
            <w:tcW w:w="2312" w:type="dxa"/>
          </w:tcPr>
          <w:p>
            <w:pPr>
              <w:pStyle w:val="TableParagraph"/>
              <w:spacing w:line="255" w:lineRule="exact"/>
              <w:ind w:right="99"/>
              <w:jc w:val="right"/>
              <w:rPr>
                <w:b/>
                <w:sz w:val="24"/>
              </w:rPr>
            </w:pPr>
            <w:r>
              <w:rPr>
                <w:b/>
                <w:sz w:val="24"/>
              </w:rPr>
              <w:t>396,836,723.91</w:t>
            </w:r>
          </w:p>
        </w:tc>
      </w:tr>
      <w:tr>
        <w:trPr>
          <w:trHeight w:val="551" w:hRule="atLeast"/>
        </w:trPr>
        <w:tc>
          <w:tcPr>
            <w:tcW w:w="6517" w:type="dxa"/>
          </w:tcPr>
          <w:p>
            <w:pPr>
              <w:pStyle w:val="TableParagraph"/>
              <w:spacing w:line="270" w:lineRule="atLeast"/>
              <w:ind w:left="175"/>
              <w:rPr>
                <w:b/>
                <w:sz w:val="24"/>
              </w:rPr>
            </w:pPr>
            <w:r>
              <w:rPr>
                <w:b/>
                <w:sz w:val="24"/>
              </w:rPr>
              <w:t>Derechos por el uso, goce, aprovechamientos o explotación de bienes de dominio público.</w:t>
            </w:r>
          </w:p>
        </w:tc>
        <w:tc>
          <w:tcPr>
            <w:tcW w:w="2312" w:type="dxa"/>
          </w:tcPr>
          <w:p>
            <w:pPr>
              <w:pStyle w:val="TableParagraph"/>
              <w:ind w:right="99"/>
              <w:jc w:val="right"/>
              <w:rPr>
                <w:b/>
                <w:sz w:val="24"/>
              </w:rPr>
            </w:pPr>
            <w:r>
              <w:rPr>
                <w:b/>
                <w:sz w:val="24"/>
              </w:rPr>
              <w:t>16,032,676.95</w:t>
            </w:r>
          </w:p>
        </w:tc>
      </w:tr>
      <w:tr>
        <w:trPr>
          <w:trHeight w:val="551" w:hRule="atLeast"/>
        </w:trPr>
        <w:tc>
          <w:tcPr>
            <w:tcW w:w="6517" w:type="dxa"/>
          </w:tcPr>
          <w:p>
            <w:pPr>
              <w:pStyle w:val="TableParagraph"/>
              <w:tabs>
                <w:tab w:pos="1920" w:val="left" w:leader="none"/>
                <w:tab w:pos="3450" w:val="left" w:leader="none"/>
                <w:tab w:pos="3982" w:val="left" w:leader="none"/>
                <w:tab w:pos="4978" w:val="left" w:leader="none"/>
                <w:tab w:pos="5361" w:val="left" w:leader="none"/>
              </w:tabs>
              <w:spacing w:line="270" w:lineRule="atLeast"/>
              <w:ind w:left="175" w:right="102"/>
              <w:rPr>
                <w:sz w:val="24"/>
              </w:rPr>
            </w:pPr>
            <w:r>
              <w:rPr>
                <w:sz w:val="24"/>
              </w:rPr>
              <w:t>Comerciantes</w:t>
              <w:tab/>
              <w:t>Ambulantes</w:t>
              <w:tab/>
              <w:t>de</w:t>
              <w:tab/>
              <w:t>Bienes</w:t>
              <w:tab/>
              <w:t>y</w:t>
              <w:tab/>
            </w:r>
            <w:r>
              <w:rPr>
                <w:spacing w:val="-3"/>
                <w:sz w:val="24"/>
              </w:rPr>
              <w:t>Servicios, </w:t>
            </w:r>
            <w:r>
              <w:rPr>
                <w:sz w:val="24"/>
              </w:rPr>
              <w:t>Establecidos que usen la Vía</w:t>
            </w:r>
            <w:r>
              <w:rPr>
                <w:spacing w:val="-8"/>
                <w:sz w:val="24"/>
              </w:rPr>
              <w:t> </w:t>
            </w:r>
            <w:r>
              <w:rPr>
                <w:sz w:val="24"/>
              </w:rPr>
              <w:t>Pública</w:t>
            </w:r>
          </w:p>
        </w:tc>
        <w:tc>
          <w:tcPr>
            <w:tcW w:w="2312" w:type="dxa"/>
          </w:tcPr>
          <w:p>
            <w:pPr>
              <w:pStyle w:val="TableParagraph"/>
              <w:ind w:right="98"/>
              <w:jc w:val="right"/>
              <w:rPr>
                <w:sz w:val="24"/>
              </w:rPr>
            </w:pPr>
            <w:r>
              <w:rPr>
                <w:sz w:val="24"/>
              </w:rPr>
              <w:t>2,853,988.65</w:t>
            </w:r>
          </w:p>
        </w:tc>
      </w:tr>
      <w:tr>
        <w:trPr>
          <w:trHeight w:val="274" w:hRule="atLeast"/>
        </w:trPr>
        <w:tc>
          <w:tcPr>
            <w:tcW w:w="6517" w:type="dxa"/>
          </w:tcPr>
          <w:p>
            <w:pPr>
              <w:pStyle w:val="TableParagraph"/>
              <w:spacing w:line="255" w:lineRule="exact"/>
              <w:ind w:left="175"/>
              <w:rPr>
                <w:sz w:val="24"/>
              </w:rPr>
            </w:pPr>
            <w:r>
              <w:rPr>
                <w:sz w:val="24"/>
              </w:rPr>
              <w:t>Panteones</w:t>
            </w:r>
          </w:p>
        </w:tc>
        <w:tc>
          <w:tcPr>
            <w:tcW w:w="2312" w:type="dxa"/>
          </w:tcPr>
          <w:p>
            <w:pPr>
              <w:pStyle w:val="TableParagraph"/>
              <w:spacing w:line="255" w:lineRule="exact"/>
              <w:ind w:right="98"/>
              <w:jc w:val="right"/>
              <w:rPr>
                <w:sz w:val="24"/>
              </w:rPr>
            </w:pPr>
            <w:r>
              <w:rPr>
                <w:sz w:val="24"/>
              </w:rPr>
              <w:t>2,774,920.90</w:t>
            </w:r>
          </w:p>
        </w:tc>
      </w:tr>
      <w:tr>
        <w:trPr>
          <w:trHeight w:val="275" w:hRule="atLeast"/>
        </w:trPr>
        <w:tc>
          <w:tcPr>
            <w:tcW w:w="6517" w:type="dxa"/>
          </w:tcPr>
          <w:p>
            <w:pPr>
              <w:pStyle w:val="TableParagraph"/>
              <w:spacing w:line="255" w:lineRule="exact"/>
              <w:ind w:left="175"/>
              <w:rPr>
                <w:sz w:val="24"/>
              </w:rPr>
            </w:pPr>
            <w:r>
              <w:rPr>
                <w:sz w:val="24"/>
              </w:rPr>
              <w:t>Rastro Municipal</w:t>
            </w:r>
          </w:p>
        </w:tc>
        <w:tc>
          <w:tcPr>
            <w:tcW w:w="2312" w:type="dxa"/>
          </w:tcPr>
          <w:p>
            <w:pPr>
              <w:pStyle w:val="TableParagraph"/>
              <w:spacing w:line="255" w:lineRule="exact"/>
              <w:ind w:right="98"/>
              <w:jc w:val="right"/>
              <w:rPr>
                <w:sz w:val="24"/>
              </w:rPr>
            </w:pPr>
            <w:r>
              <w:rPr>
                <w:sz w:val="24"/>
              </w:rPr>
              <w:t>7,192,663.73</w:t>
            </w:r>
          </w:p>
        </w:tc>
      </w:tr>
      <w:tr>
        <w:trPr>
          <w:trHeight w:val="278" w:hRule="atLeast"/>
        </w:trPr>
        <w:tc>
          <w:tcPr>
            <w:tcW w:w="6517" w:type="dxa"/>
          </w:tcPr>
          <w:p>
            <w:pPr>
              <w:pStyle w:val="TableParagraph"/>
              <w:spacing w:line="255" w:lineRule="exact" w:before="3"/>
              <w:ind w:left="175"/>
              <w:rPr>
                <w:sz w:val="24"/>
              </w:rPr>
            </w:pPr>
            <w:r>
              <w:rPr>
                <w:sz w:val="24"/>
              </w:rPr>
              <w:t>Mercados</w:t>
            </w:r>
          </w:p>
        </w:tc>
        <w:tc>
          <w:tcPr>
            <w:tcW w:w="2312" w:type="dxa"/>
          </w:tcPr>
          <w:p>
            <w:pPr>
              <w:pStyle w:val="TableParagraph"/>
              <w:spacing w:line="255" w:lineRule="exact" w:before="3"/>
              <w:ind w:right="98"/>
              <w:jc w:val="right"/>
              <w:rPr>
                <w:sz w:val="24"/>
              </w:rPr>
            </w:pPr>
            <w:r>
              <w:rPr>
                <w:sz w:val="24"/>
              </w:rPr>
              <w:t>3,211,103.67</w:t>
            </w:r>
          </w:p>
        </w:tc>
      </w:tr>
      <w:tr>
        <w:trPr>
          <w:trHeight w:val="275" w:hRule="atLeast"/>
        </w:trPr>
        <w:tc>
          <w:tcPr>
            <w:tcW w:w="6517" w:type="dxa"/>
          </w:tcPr>
          <w:p>
            <w:pPr>
              <w:pStyle w:val="TableParagraph"/>
              <w:spacing w:line="255" w:lineRule="exact"/>
              <w:ind w:left="175"/>
              <w:rPr>
                <w:b/>
                <w:sz w:val="24"/>
              </w:rPr>
            </w:pPr>
            <w:r>
              <w:rPr>
                <w:b/>
                <w:sz w:val="24"/>
              </w:rPr>
              <w:t>Derecho por Prestación de Servicios</w:t>
            </w:r>
          </w:p>
        </w:tc>
        <w:tc>
          <w:tcPr>
            <w:tcW w:w="2312" w:type="dxa"/>
          </w:tcPr>
          <w:p>
            <w:pPr>
              <w:pStyle w:val="TableParagraph"/>
              <w:spacing w:line="255" w:lineRule="exact"/>
              <w:ind w:right="99"/>
              <w:jc w:val="right"/>
              <w:rPr>
                <w:b/>
                <w:sz w:val="24"/>
              </w:rPr>
            </w:pPr>
            <w:r>
              <w:rPr>
                <w:b/>
                <w:sz w:val="24"/>
              </w:rPr>
              <w:t>76,642,844.90</w:t>
            </w:r>
          </w:p>
        </w:tc>
      </w:tr>
      <w:tr>
        <w:trPr>
          <w:trHeight w:val="275" w:hRule="atLeast"/>
        </w:trPr>
        <w:tc>
          <w:tcPr>
            <w:tcW w:w="6517" w:type="dxa"/>
          </w:tcPr>
          <w:p>
            <w:pPr>
              <w:pStyle w:val="TableParagraph"/>
              <w:spacing w:line="255" w:lineRule="exact"/>
              <w:ind w:left="175"/>
              <w:rPr>
                <w:sz w:val="24"/>
              </w:rPr>
            </w:pPr>
            <w:r>
              <w:rPr>
                <w:sz w:val="24"/>
              </w:rPr>
              <w:t>Registro Civil</w:t>
            </w:r>
          </w:p>
        </w:tc>
        <w:tc>
          <w:tcPr>
            <w:tcW w:w="2312" w:type="dxa"/>
          </w:tcPr>
          <w:p>
            <w:pPr>
              <w:pStyle w:val="TableParagraph"/>
              <w:spacing w:line="255" w:lineRule="exact"/>
              <w:ind w:right="98"/>
              <w:jc w:val="right"/>
              <w:rPr>
                <w:sz w:val="24"/>
              </w:rPr>
            </w:pPr>
            <w:r>
              <w:rPr>
                <w:sz w:val="24"/>
              </w:rPr>
              <w:t>7,302,172.30</w:t>
            </w:r>
          </w:p>
        </w:tc>
      </w:tr>
      <w:tr>
        <w:trPr>
          <w:trHeight w:val="275" w:hRule="atLeast"/>
        </w:trPr>
        <w:tc>
          <w:tcPr>
            <w:tcW w:w="6517" w:type="dxa"/>
          </w:tcPr>
          <w:p>
            <w:pPr>
              <w:pStyle w:val="TableParagraph"/>
              <w:spacing w:line="255" w:lineRule="exact"/>
              <w:ind w:left="175"/>
              <w:rPr>
                <w:sz w:val="24"/>
              </w:rPr>
            </w:pPr>
            <w:r>
              <w:rPr>
                <w:sz w:val="24"/>
              </w:rPr>
              <w:t>Catastro</w:t>
            </w:r>
          </w:p>
        </w:tc>
        <w:tc>
          <w:tcPr>
            <w:tcW w:w="2312" w:type="dxa"/>
          </w:tcPr>
          <w:p>
            <w:pPr>
              <w:pStyle w:val="TableParagraph"/>
              <w:spacing w:line="255" w:lineRule="exact"/>
              <w:ind w:right="98"/>
              <w:jc w:val="right"/>
              <w:rPr>
                <w:sz w:val="24"/>
              </w:rPr>
            </w:pPr>
            <w:r>
              <w:rPr>
                <w:sz w:val="24"/>
              </w:rPr>
              <w:t>9,709,781.93</w:t>
            </w:r>
          </w:p>
        </w:tc>
      </w:tr>
      <w:tr>
        <w:trPr>
          <w:trHeight w:val="275" w:hRule="atLeast"/>
        </w:trPr>
        <w:tc>
          <w:tcPr>
            <w:tcW w:w="6517" w:type="dxa"/>
          </w:tcPr>
          <w:p>
            <w:pPr>
              <w:pStyle w:val="TableParagraph"/>
              <w:spacing w:line="255" w:lineRule="exact"/>
              <w:ind w:left="175"/>
              <w:rPr>
                <w:sz w:val="24"/>
              </w:rPr>
            </w:pPr>
            <w:r>
              <w:rPr>
                <w:sz w:val="24"/>
              </w:rPr>
              <w:t>Seguridad Pública</w:t>
            </w:r>
          </w:p>
        </w:tc>
        <w:tc>
          <w:tcPr>
            <w:tcW w:w="2312" w:type="dxa"/>
          </w:tcPr>
          <w:p>
            <w:pPr>
              <w:pStyle w:val="TableParagraph"/>
              <w:spacing w:line="255" w:lineRule="exact"/>
              <w:ind w:right="98"/>
              <w:jc w:val="right"/>
              <w:rPr>
                <w:sz w:val="24"/>
              </w:rPr>
            </w:pPr>
            <w:r>
              <w:rPr>
                <w:sz w:val="24"/>
              </w:rPr>
              <w:t>3,051,656.12</w:t>
            </w:r>
          </w:p>
        </w:tc>
      </w:tr>
      <w:tr>
        <w:trPr>
          <w:trHeight w:val="275" w:hRule="atLeast"/>
        </w:trPr>
        <w:tc>
          <w:tcPr>
            <w:tcW w:w="6517" w:type="dxa"/>
          </w:tcPr>
          <w:p>
            <w:pPr>
              <w:pStyle w:val="TableParagraph"/>
              <w:spacing w:line="255" w:lineRule="exact"/>
              <w:ind w:left="175"/>
              <w:rPr>
                <w:sz w:val="24"/>
              </w:rPr>
            </w:pPr>
            <w:r>
              <w:rPr>
                <w:sz w:val="24"/>
              </w:rPr>
              <w:t>Desarrollo Urbano</w:t>
            </w:r>
          </w:p>
        </w:tc>
        <w:tc>
          <w:tcPr>
            <w:tcW w:w="2312" w:type="dxa"/>
          </w:tcPr>
          <w:p>
            <w:pPr>
              <w:pStyle w:val="TableParagraph"/>
              <w:spacing w:line="255" w:lineRule="exact"/>
              <w:ind w:right="98"/>
              <w:jc w:val="right"/>
              <w:rPr>
                <w:sz w:val="24"/>
              </w:rPr>
            </w:pPr>
            <w:r>
              <w:rPr>
                <w:sz w:val="24"/>
              </w:rPr>
              <w:t>3,928,369.02</w:t>
            </w:r>
          </w:p>
        </w:tc>
      </w:tr>
      <w:tr>
        <w:trPr>
          <w:trHeight w:val="553" w:hRule="atLeast"/>
        </w:trPr>
        <w:tc>
          <w:tcPr>
            <w:tcW w:w="6517" w:type="dxa"/>
          </w:tcPr>
          <w:p>
            <w:pPr>
              <w:pStyle w:val="TableParagraph"/>
              <w:tabs>
                <w:tab w:pos="1446" w:val="left" w:leader="none"/>
                <w:tab w:pos="2714" w:val="left" w:leader="none"/>
                <w:tab w:pos="4491" w:val="left" w:leader="none"/>
                <w:tab w:pos="4812" w:val="left" w:leader="none"/>
                <w:tab w:pos="6136" w:val="left" w:leader="none"/>
              </w:tabs>
              <w:spacing w:line="270" w:lineRule="atLeast" w:before="2"/>
              <w:ind w:left="175" w:right="102"/>
              <w:rPr>
                <w:sz w:val="24"/>
              </w:rPr>
            </w:pPr>
            <w:r>
              <w:rPr>
                <w:sz w:val="24"/>
              </w:rPr>
              <w:t>Licencias,</w:t>
              <w:tab/>
              <w:t>Permisos,</w:t>
              <w:tab/>
              <w:t>Autorizaciones</w:t>
              <w:tab/>
              <w:t>y</w:t>
              <w:tab/>
              <w:t>Anuencias</w:t>
              <w:tab/>
            </w:r>
            <w:r>
              <w:rPr>
                <w:spacing w:val="-9"/>
                <w:sz w:val="24"/>
              </w:rPr>
              <w:t>en </w:t>
            </w:r>
            <w:r>
              <w:rPr>
                <w:sz w:val="24"/>
              </w:rPr>
              <w:t>General para la Urbanización, Construcción y</w:t>
            </w:r>
            <w:r>
              <w:rPr>
                <w:spacing w:val="-9"/>
                <w:sz w:val="24"/>
              </w:rPr>
              <w:t> </w:t>
            </w:r>
            <w:r>
              <w:rPr>
                <w:sz w:val="24"/>
              </w:rPr>
              <w:t>Otros</w:t>
            </w:r>
          </w:p>
        </w:tc>
        <w:tc>
          <w:tcPr>
            <w:tcW w:w="2312" w:type="dxa"/>
          </w:tcPr>
          <w:p>
            <w:pPr>
              <w:pStyle w:val="TableParagraph"/>
              <w:spacing w:before="2"/>
              <w:ind w:right="98"/>
              <w:jc w:val="right"/>
              <w:rPr>
                <w:sz w:val="24"/>
              </w:rPr>
            </w:pPr>
            <w:r>
              <w:rPr>
                <w:sz w:val="24"/>
              </w:rPr>
              <w:t>9,839,454.54</w:t>
            </w:r>
          </w:p>
        </w:tc>
      </w:tr>
      <w:tr>
        <w:trPr>
          <w:trHeight w:val="275" w:hRule="atLeast"/>
        </w:trPr>
        <w:tc>
          <w:tcPr>
            <w:tcW w:w="6517" w:type="dxa"/>
          </w:tcPr>
          <w:p>
            <w:pPr>
              <w:pStyle w:val="TableParagraph"/>
              <w:spacing w:line="255" w:lineRule="exact"/>
              <w:ind w:left="175"/>
              <w:rPr>
                <w:sz w:val="24"/>
              </w:rPr>
            </w:pPr>
            <w:r>
              <w:rPr>
                <w:sz w:val="24"/>
              </w:rPr>
              <w:t>Licencias de Uso de Suelo</w:t>
            </w:r>
          </w:p>
        </w:tc>
        <w:tc>
          <w:tcPr>
            <w:tcW w:w="2312" w:type="dxa"/>
          </w:tcPr>
          <w:p>
            <w:pPr>
              <w:pStyle w:val="TableParagraph"/>
              <w:spacing w:line="255" w:lineRule="exact"/>
              <w:ind w:right="98"/>
              <w:jc w:val="right"/>
              <w:rPr>
                <w:sz w:val="24"/>
              </w:rPr>
            </w:pPr>
            <w:r>
              <w:rPr>
                <w:sz w:val="24"/>
              </w:rPr>
              <w:t>1,433,309.83</w:t>
            </w:r>
          </w:p>
        </w:tc>
      </w:tr>
      <w:tr>
        <w:trPr>
          <w:trHeight w:val="275" w:hRule="atLeast"/>
        </w:trPr>
        <w:tc>
          <w:tcPr>
            <w:tcW w:w="6517" w:type="dxa"/>
          </w:tcPr>
          <w:p>
            <w:pPr>
              <w:pStyle w:val="TableParagraph"/>
              <w:spacing w:line="255" w:lineRule="exact"/>
              <w:ind w:left="175"/>
              <w:rPr>
                <w:sz w:val="24"/>
              </w:rPr>
            </w:pPr>
            <w:r>
              <w:rPr>
                <w:sz w:val="24"/>
              </w:rPr>
              <w:t>Colocación de Anuncios o Publicidad</w:t>
            </w:r>
          </w:p>
        </w:tc>
        <w:tc>
          <w:tcPr>
            <w:tcW w:w="2312" w:type="dxa"/>
          </w:tcPr>
          <w:p>
            <w:pPr>
              <w:pStyle w:val="TableParagraph"/>
              <w:spacing w:line="255" w:lineRule="exact"/>
              <w:ind w:right="98"/>
              <w:jc w:val="right"/>
              <w:rPr>
                <w:sz w:val="24"/>
              </w:rPr>
            </w:pPr>
            <w:r>
              <w:rPr>
                <w:sz w:val="24"/>
              </w:rPr>
              <w:t>3,337,492.74</w:t>
            </w:r>
          </w:p>
        </w:tc>
      </w:tr>
      <w:tr>
        <w:trPr>
          <w:trHeight w:val="275" w:hRule="atLeast"/>
        </w:trPr>
        <w:tc>
          <w:tcPr>
            <w:tcW w:w="6517" w:type="dxa"/>
          </w:tcPr>
          <w:p>
            <w:pPr>
              <w:pStyle w:val="TableParagraph"/>
              <w:spacing w:line="255" w:lineRule="exact"/>
              <w:ind w:left="175"/>
              <w:rPr>
                <w:sz w:val="24"/>
              </w:rPr>
            </w:pPr>
            <w:r>
              <w:rPr>
                <w:sz w:val="24"/>
              </w:rPr>
              <w:t>Permisos, licencias y registros en el Ramo de Alcoholes</w:t>
            </w:r>
          </w:p>
        </w:tc>
        <w:tc>
          <w:tcPr>
            <w:tcW w:w="2312" w:type="dxa"/>
          </w:tcPr>
          <w:p>
            <w:pPr>
              <w:pStyle w:val="TableParagraph"/>
              <w:spacing w:line="255" w:lineRule="exact"/>
              <w:ind w:right="99"/>
              <w:jc w:val="right"/>
              <w:rPr>
                <w:sz w:val="24"/>
              </w:rPr>
            </w:pPr>
            <w:r>
              <w:rPr>
                <w:sz w:val="24"/>
              </w:rPr>
              <w:t>28,307,791.24</w:t>
            </w:r>
          </w:p>
        </w:tc>
      </w:tr>
      <w:tr>
        <w:trPr>
          <w:trHeight w:val="276" w:hRule="atLeast"/>
        </w:trPr>
        <w:tc>
          <w:tcPr>
            <w:tcW w:w="6517" w:type="dxa"/>
          </w:tcPr>
          <w:p>
            <w:pPr>
              <w:pStyle w:val="TableParagraph"/>
              <w:spacing w:line="256" w:lineRule="exact"/>
              <w:ind w:left="175"/>
              <w:rPr>
                <w:sz w:val="24"/>
              </w:rPr>
            </w:pPr>
            <w:r>
              <w:rPr>
                <w:sz w:val="24"/>
              </w:rPr>
              <w:t>Aseo Público</w:t>
            </w:r>
          </w:p>
        </w:tc>
        <w:tc>
          <w:tcPr>
            <w:tcW w:w="2312" w:type="dxa"/>
          </w:tcPr>
          <w:p>
            <w:pPr>
              <w:pStyle w:val="TableParagraph"/>
              <w:spacing w:line="256" w:lineRule="exact"/>
              <w:ind w:right="98"/>
              <w:jc w:val="right"/>
              <w:rPr>
                <w:sz w:val="24"/>
              </w:rPr>
            </w:pPr>
            <w:r>
              <w:rPr>
                <w:sz w:val="24"/>
              </w:rPr>
              <w:t>968,606.72</w:t>
            </w:r>
          </w:p>
        </w:tc>
      </w:tr>
      <w:tr>
        <w:trPr>
          <w:trHeight w:val="275" w:hRule="atLeast"/>
        </w:trPr>
        <w:tc>
          <w:tcPr>
            <w:tcW w:w="6517" w:type="dxa"/>
          </w:tcPr>
          <w:p>
            <w:pPr>
              <w:pStyle w:val="TableParagraph"/>
              <w:spacing w:line="255" w:lineRule="exact"/>
              <w:ind w:left="175"/>
              <w:rPr>
                <w:sz w:val="24"/>
              </w:rPr>
            </w:pPr>
            <w:r>
              <w:rPr>
                <w:sz w:val="24"/>
              </w:rPr>
              <w:t>Acceso a la Información</w:t>
            </w:r>
          </w:p>
        </w:tc>
        <w:tc>
          <w:tcPr>
            <w:tcW w:w="2312" w:type="dxa"/>
          </w:tcPr>
          <w:p>
            <w:pPr>
              <w:pStyle w:val="TableParagraph"/>
              <w:spacing w:line="255" w:lineRule="exact"/>
              <w:ind w:right="98"/>
              <w:jc w:val="right"/>
              <w:rPr>
                <w:sz w:val="24"/>
              </w:rPr>
            </w:pPr>
            <w:r>
              <w:rPr>
                <w:sz w:val="24"/>
              </w:rPr>
              <w:t>1,815.63</w:t>
            </w:r>
          </w:p>
        </w:tc>
      </w:tr>
      <w:tr>
        <w:trPr>
          <w:trHeight w:val="275" w:hRule="atLeast"/>
        </w:trPr>
        <w:tc>
          <w:tcPr>
            <w:tcW w:w="6517" w:type="dxa"/>
          </w:tcPr>
          <w:p>
            <w:pPr>
              <w:pStyle w:val="TableParagraph"/>
              <w:spacing w:line="255" w:lineRule="exact"/>
              <w:ind w:left="175"/>
              <w:rPr>
                <w:sz w:val="24"/>
              </w:rPr>
            </w:pPr>
            <w:r>
              <w:rPr>
                <w:sz w:val="24"/>
              </w:rPr>
              <w:t>Constancias, Certificaciones y Legalizaciones</w:t>
            </w:r>
          </w:p>
        </w:tc>
        <w:tc>
          <w:tcPr>
            <w:tcW w:w="2312" w:type="dxa"/>
          </w:tcPr>
          <w:p>
            <w:pPr>
              <w:pStyle w:val="TableParagraph"/>
              <w:spacing w:line="255" w:lineRule="exact"/>
              <w:ind w:right="98"/>
              <w:jc w:val="right"/>
              <w:rPr>
                <w:sz w:val="24"/>
              </w:rPr>
            </w:pPr>
            <w:r>
              <w:rPr>
                <w:sz w:val="24"/>
              </w:rPr>
              <w:t>7,703,727.82</w:t>
            </w:r>
          </w:p>
        </w:tc>
      </w:tr>
      <w:tr>
        <w:trPr>
          <w:trHeight w:val="553" w:hRule="atLeast"/>
        </w:trPr>
        <w:tc>
          <w:tcPr>
            <w:tcW w:w="6517" w:type="dxa"/>
          </w:tcPr>
          <w:p>
            <w:pPr>
              <w:pStyle w:val="TableParagraph"/>
              <w:spacing w:line="270" w:lineRule="atLeast" w:before="2"/>
              <w:ind w:left="175"/>
              <w:rPr>
                <w:sz w:val="24"/>
              </w:rPr>
            </w:pPr>
            <w:r>
              <w:rPr>
                <w:sz w:val="24"/>
              </w:rPr>
              <w:t>Comercio Temporal en Terreno Propiedad del Fundo Municipal</w:t>
            </w:r>
          </w:p>
        </w:tc>
        <w:tc>
          <w:tcPr>
            <w:tcW w:w="2312" w:type="dxa"/>
          </w:tcPr>
          <w:p>
            <w:pPr>
              <w:pStyle w:val="TableParagraph"/>
              <w:spacing w:before="2"/>
              <w:ind w:right="97"/>
              <w:jc w:val="right"/>
              <w:rPr>
                <w:sz w:val="24"/>
              </w:rPr>
            </w:pPr>
            <w:r>
              <w:rPr>
                <w:sz w:val="24"/>
              </w:rPr>
              <w:t>1.00</w:t>
            </w:r>
          </w:p>
        </w:tc>
      </w:tr>
      <w:tr>
        <w:trPr>
          <w:trHeight w:val="275" w:hRule="atLeast"/>
        </w:trPr>
        <w:tc>
          <w:tcPr>
            <w:tcW w:w="6517" w:type="dxa"/>
          </w:tcPr>
          <w:p>
            <w:pPr>
              <w:pStyle w:val="TableParagraph"/>
              <w:spacing w:line="255" w:lineRule="exact"/>
              <w:ind w:left="175"/>
              <w:rPr>
                <w:sz w:val="24"/>
              </w:rPr>
            </w:pPr>
            <w:r>
              <w:rPr>
                <w:sz w:val="24"/>
              </w:rPr>
              <w:t>Parques y Jardines</w:t>
            </w:r>
          </w:p>
        </w:tc>
        <w:tc>
          <w:tcPr>
            <w:tcW w:w="2312" w:type="dxa"/>
          </w:tcPr>
          <w:p>
            <w:pPr>
              <w:pStyle w:val="TableParagraph"/>
              <w:spacing w:line="255" w:lineRule="exact"/>
              <w:ind w:right="98"/>
              <w:jc w:val="right"/>
              <w:rPr>
                <w:sz w:val="24"/>
              </w:rPr>
            </w:pPr>
            <w:r>
              <w:rPr>
                <w:sz w:val="24"/>
              </w:rPr>
              <w:t>3,358.62</w:t>
            </w:r>
          </w:p>
        </w:tc>
      </w:tr>
      <w:tr>
        <w:trPr>
          <w:trHeight w:val="275" w:hRule="atLeast"/>
        </w:trPr>
        <w:tc>
          <w:tcPr>
            <w:tcW w:w="6517" w:type="dxa"/>
          </w:tcPr>
          <w:p>
            <w:pPr>
              <w:pStyle w:val="TableParagraph"/>
              <w:spacing w:line="255" w:lineRule="exact"/>
              <w:ind w:left="175"/>
              <w:rPr>
                <w:sz w:val="24"/>
              </w:rPr>
            </w:pPr>
            <w:r>
              <w:rPr>
                <w:sz w:val="24"/>
              </w:rPr>
              <w:t>Estacionamiento Exclusivo en la Vía Pública</w:t>
            </w:r>
          </w:p>
        </w:tc>
        <w:tc>
          <w:tcPr>
            <w:tcW w:w="2312" w:type="dxa"/>
          </w:tcPr>
          <w:p>
            <w:pPr>
              <w:pStyle w:val="TableParagraph"/>
              <w:spacing w:line="255" w:lineRule="exact"/>
              <w:ind w:right="98"/>
              <w:jc w:val="right"/>
              <w:rPr>
                <w:sz w:val="24"/>
              </w:rPr>
            </w:pPr>
            <w:r>
              <w:rPr>
                <w:sz w:val="24"/>
              </w:rPr>
              <w:t>1,055,307.41</w:t>
            </w:r>
          </w:p>
        </w:tc>
      </w:tr>
      <w:tr>
        <w:trPr>
          <w:trHeight w:val="275" w:hRule="atLeast"/>
        </w:trPr>
        <w:tc>
          <w:tcPr>
            <w:tcW w:w="6517" w:type="dxa"/>
          </w:tcPr>
          <w:p>
            <w:pPr>
              <w:pStyle w:val="TableParagraph"/>
              <w:spacing w:line="255" w:lineRule="exact"/>
              <w:ind w:left="175"/>
              <w:rPr>
                <w:b/>
                <w:sz w:val="24"/>
              </w:rPr>
            </w:pPr>
            <w:r>
              <w:rPr>
                <w:b/>
                <w:sz w:val="24"/>
              </w:rPr>
              <w:t>Otros Derechos</w:t>
            </w:r>
          </w:p>
        </w:tc>
        <w:tc>
          <w:tcPr>
            <w:tcW w:w="2312" w:type="dxa"/>
          </w:tcPr>
          <w:p>
            <w:pPr>
              <w:pStyle w:val="TableParagraph"/>
              <w:spacing w:line="255" w:lineRule="exact"/>
              <w:ind w:right="98"/>
              <w:jc w:val="right"/>
              <w:rPr>
                <w:b/>
                <w:sz w:val="24"/>
              </w:rPr>
            </w:pPr>
            <w:r>
              <w:rPr>
                <w:b/>
                <w:sz w:val="24"/>
              </w:rPr>
              <w:t>1,298,754.78</w:t>
            </w:r>
          </w:p>
        </w:tc>
      </w:tr>
      <w:tr>
        <w:trPr>
          <w:trHeight w:val="275" w:hRule="atLeast"/>
        </w:trPr>
        <w:tc>
          <w:tcPr>
            <w:tcW w:w="6517" w:type="dxa"/>
          </w:tcPr>
          <w:p>
            <w:pPr>
              <w:pStyle w:val="TableParagraph"/>
              <w:spacing w:line="255" w:lineRule="exact"/>
              <w:ind w:left="175"/>
              <w:rPr>
                <w:sz w:val="24"/>
              </w:rPr>
            </w:pPr>
            <w:r>
              <w:rPr>
                <w:sz w:val="24"/>
              </w:rPr>
              <w:t>Registro al Padrón</w:t>
            </w:r>
          </w:p>
        </w:tc>
        <w:tc>
          <w:tcPr>
            <w:tcW w:w="2312" w:type="dxa"/>
          </w:tcPr>
          <w:p>
            <w:pPr>
              <w:pStyle w:val="TableParagraph"/>
              <w:spacing w:line="255" w:lineRule="exact"/>
              <w:ind w:right="98"/>
              <w:jc w:val="right"/>
              <w:rPr>
                <w:sz w:val="24"/>
              </w:rPr>
            </w:pPr>
            <w:r>
              <w:rPr>
                <w:sz w:val="24"/>
              </w:rPr>
              <w:t>1,298,754.78</w:t>
            </w:r>
          </w:p>
        </w:tc>
      </w:tr>
      <w:tr>
        <w:trPr>
          <w:trHeight w:val="277" w:hRule="atLeast"/>
        </w:trPr>
        <w:tc>
          <w:tcPr>
            <w:tcW w:w="6517" w:type="dxa"/>
          </w:tcPr>
          <w:p>
            <w:pPr>
              <w:pStyle w:val="TableParagraph"/>
              <w:spacing w:line="258" w:lineRule="exact"/>
              <w:ind w:left="175"/>
              <w:rPr>
                <w:b/>
                <w:sz w:val="24"/>
              </w:rPr>
            </w:pPr>
            <w:r>
              <w:rPr>
                <w:b/>
                <w:sz w:val="24"/>
              </w:rPr>
              <w:t>SIAPA Tepic</w:t>
            </w:r>
          </w:p>
        </w:tc>
        <w:tc>
          <w:tcPr>
            <w:tcW w:w="2312" w:type="dxa"/>
          </w:tcPr>
          <w:p>
            <w:pPr>
              <w:pStyle w:val="TableParagraph"/>
              <w:spacing w:line="258" w:lineRule="exact"/>
              <w:ind w:right="99"/>
              <w:jc w:val="right"/>
              <w:rPr>
                <w:b/>
                <w:sz w:val="24"/>
              </w:rPr>
            </w:pPr>
            <w:r>
              <w:rPr>
                <w:b/>
                <w:sz w:val="24"/>
              </w:rPr>
              <w:t>302,862,447.26</w:t>
            </w:r>
          </w:p>
        </w:tc>
      </w:tr>
    </w:tbl>
    <w:p>
      <w:pPr>
        <w:spacing w:after="0" w:line="258" w:lineRule="exact"/>
        <w:jc w:val="right"/>
        <w:rPr>
          <w:sz w:val="24"/>
        </w:rPr>
        <w:sectPr>
          <w:pgSz w:w="12250" w:h="15850"/>
          <w:pgMar w:header="730" w:footer="0" w:top="1000" w:bottom="280" w:left="860" w:right="820"/>
        </w:sectPr>
      </w:pPr>
    </w:p>
    <w:p>
      <w:pPr>
        <w:pStyle w:val="BodyText"/>
        <w:spacing w:before="10"/>
        <w:rPr>
          <w:sz w:val="15"/>
        </w:rPr>
      </w:pPr>
      <w:r>
        <w:rPr/>
        <w:drawing>
          <wp:anchor distT="0" distB="0" distL="0" distR="0" allowOverlap="1" layoutInCell="1" locked="0" behindDoc="1" simplePos="0" relativeHeight="227469312">
            <wp:simplePos x="0" y="0"/>
            <wp:positionH relativeFrom="page">
              <wp:posOffset>1317324</wp:posOffset>
            </wp:positionH>
            <wp:positionV relativeFrom="page">
              <wp:posOffset>2161031</wp:posOffset>
            </wp:positionV>
            <wp:extent cx="5026051" cy="5148262"/>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5026051" cy="5148262"/>
                    </a:xfrm>
                    <a:prstGeom prst="rect">
                      <a:avLst/>
                    </a:prstGeom>
                  </pic:spPr>
                </pic:pic>
              </a:graphicData>
            </a:graphic>
          </wp:anchor>
        </w:drawing>
      </w:r>
    </w:p>
    <w:tbl>
      <w:tblPr>
        <w:tblW w:w="0" w:type="auto"/>
        <w:jc w:val="left"/>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7"/>
        <w:gridCol w:w="1525"/>
        <w:gridCol w:w="458"/>
        <w:gridCol w:w="2149"/>
        <w:gridCol w:w="582"/>
        <w:gridCol w:w="2311"/>
      </w:tblGrid>
      <w:tr>
        <w:trPr>
          <w:trHeight w:val="552" w:hRule="atLeast"/>
        </w:trPr>
        <w:tc>
          <w:tcPr>
            <w:tcW w:w="7251" w:type="dxa"/>
            <w:gridSpan w:val="5"/>
          </w:tcPr>
          <w:p>
            <w:pPr>
              <w:pStyle w:val="TableParagraph"/>
              <w:ind w:left="1950"/>
              <w:rPr>
                <w:b/>
                <w:sz w:val="24"/>
              </w:rPr>
            </w:pPr>
            <w:r>
              <w:rPr>
                <w:b/>
                <w:sz w:val="24"/>
              </w:rPr>
              <w:t>MUNICIPIO DE TEPIC, NAYARIT</w:t>
            </w:r>
          </w:p>
        </w:tc>
        <w:tc>
          <w:tcPr>
            <w:tcW w:w="2311" w:type="dxa"/>
          </w:tcPr>
          <w:p>
            <w:pPr>
              <w:pStyle w:val="TableParagraph"/>
              <w:spacing w:line="270" w:lineRule="atLeast"/>
              <w:ind w:left="747" w:right="107" w:firstLine="117"/>
              <w:rPr>
                <w:b/>
                <w:sz w:val="24"/>
              </w:rPr>
            </w:pPr>
            <w:r>
              <w:rPr>
                <w:b/>
                <w:sz w:val="24"/>
              </w:rPr>
              <w:t>INGRESOS ESTIMADOS</w:t>
            </w:r>
          </w:p>
        </w:tc>
      </w:tr>
      <w:tr>
        <w:trPr>
          <w:trHeight w:val="277" w:hRule="atLeast"/>
        </w:trPr>
        <w:tc>
          <w:tcPr>
            <w:tcW w:w="7251" w:type="dxa"/>
            <w:gridSpan w:val="5"/>
          </w:tcPr>
          <w:p>
            <w:pPr>
              <w:pStyle w:val="TableParagraph"/>
              <w:spacing w:line="255" w:lineRule="exact" w:before="2"/>
              <w:ind w:left="846"/>
              <w:rPr>
                <w:b/>
                <w:sz w:val="24"/>
              </w:rPr>
            </w:pPr>
            <w:r>
              <w:rPr>
                <w:b/>
                <w:sz w:val="24"/>
              </w:rPr>
              <w:t>LEY DE INGRESOS PARA EL EJERCICIO FISCAL 2020</w:t>
            </w:r>
          </w:p>
        </w:tc>
        <w:tc>
          <w:tcPr>
            <w:tcW w:w="2311" w:type="dxa"/>
          </w:tcPr>
          <w:p>
            <w:pPr>
              <w:pStyle w:val="TableParagraph"/>
              <w:rPr>
                <w:rFonts w:ascii="Times New Roman"/>
                <w:sz w:val="20"/>
              </w:rPr>
            </w:pPr>
          </w:p>
        </w:tc>
      </w:tr>
      <w:tr>
        <w:trPr>
          <w:trHeight w:val="275" w:hRule="atLeast"/>
        </w:trPr>
        <w:tc>
          <w:tcPr>
            <w:tcW w:w="7251" w:type="dxa"/>
            <w:gridSpan w:val="5"/>
          </w:tcPr>
          <w:p>
            <w:pPr>
              <w:pStyle w:val="TableParagraph"/>
              <w:spacing w:line="255" w:lineRule="exact"/>
              <w:ind w:left="175"/>
              <w:rPr>
                <w:b/>
                <w:sz w:val="24"/>
              </w:rPr>
            </w:pPr>
            <w:r>
              <w:rPr>
                <w:b/>
                <w:sz w:val="24"/>
                <w:u w:val="thick"/>
              </w:rPr>
              <w:t>5.Productos</w:t>
            </w:r>
          </w:p>
        </w:tc>
        <w:tc>
          <w:tcPr>
            <w:tcW w:w="2311" w:type="dxa"/>
          </w:tcPr>
          <w:p>
            <w:pPr>
              <w:pStyle w:val="TableParagraph"/>
              <w:spacing w:line="255" w:lineRule="exact"/>
              <w:ind w:right="97"/>
              <w:jc w:val="right"/>
              <w:rPr>
                <w:b/>
                <w:sz w:val="24"/>
              </w:rPr>
            </w:pPr>
            <w:r>
              <w:rPr>
                <w:b/>
                <w:sz w:val="24"/>
              </w:rPr>
              <w:t>5,492,482.76</w:t>
            </w:r>
          </w:p>
        </w:tc>
      </w:tr>
      <w:tr>
        <w:trPr>
          <w:trHeight w:val="275" w:hRule="atLeast"/>
        </w:trPr>
        <w:tc>
          <w:tcPr>
            <w:tcW w:w="7251" w:type="dxa"/>
            <w:gridSpan w:val="5"/>
          </w:tcPr>
          <w:p>
            <w:pPr>
              <w:pStyle w:val="TableParagraph"/>
              <w:spacing w:line="255" w:lineRule="exact"/>
              <w:ind w:left="175"/>
              <w:rPr>
                <w:b/>
                <w:sz w:val="24"/>
              </w:rPr>
            </w:pPr>
            <w:r>
              <w:rPr>
                <w:b/>
                <w:sz w:val="24"/>
              </w:rPr>
              <w:t>Productos</w:t>
            </w:r>
          </w:p>
        </w:tc>
        <w:tc>
          <w:tcPr>
            <w:tcW w:w="2311" w:type="dxa"/>
          </w:tcPr>
          <w:p>
            <w:pPr>
              <w:pStyle w:val="TableParagraph"/>
              <w:spacing w:line="255" w:lineRule="exact"/>
              <w:ind w:right="97"/>
              <w:jc w:val="right"/>
              <w:rPr>
                <w:b/>
                <w:sz w:val="24"/>
              </w:rPr>
            </w:pPr>
            <w:r>
              <w:rPr>
                <w:b/>
                <w:sz w:val="24"/>
              </w:rPr>
              <w:t>5,492,482.76</w:t>
            </w:r>
          </w:p>
        </w:tc>
      </w:tr>
      <w:tr>
        <w:trPr>
          <w:trHeight w:val="275" w:hRule="atLeast"/>
        </w:trPr>
        <w:tc>
          <w:tcPr>
            <w:tcW w:w="7251" w:type="dxa"/>
            <w:gridSpan w:val="5"/>
          </w:tcPr>
          <w:p>
            <w:pPr>
              <w:pStyle w:val="TableParagraph"/>
              <w:spacing w:line="255" w:lineRule="exact"/>
              <w:ind w:left="175"/>
              <w:rPr>
                <w:sz w:val="24"/>
              </w:rPr>
            </w:pPr>
            <w:r>
              <w:rPr>
                <w:sz w:val="24"/>
              </w:rPr>
              <w:t>Productos financieros</w:t>
            </w:r>
          </w:p>
        </w:tc>
        <w:tc>
          <w:tcPr>
            <w:tcW w:w="2311" w:type="dxa"/>
          </w:tcPr>
          <w:p>
            <w:pPr>
              <w:pStyle w:val="TableParagraph"/>
              <w:spacing w:line="255" w:lineRule="exact"/>
              <w:ind w:right="97"/>
              <w:jc w:val="right"/>
              <w:rPr>
                <w:sz w:val="24"/>
              </w:rPr>
            </w:pPr>
            <w:r>
              <w:rPr>
                <w:sz w:val="24"/>
              </w:rPr>
              <w:t>5,326,540.78</w:t>
            </w:r>
          </w:p>
        </w:tc>
      </w:tr>
      <w:tr>
        <w:trPr>
          <w:trHeight w:val="275" w:hRule="atLeast"/>
        </w:trPr>
        <w:tc>
          <w:tcPr>
            <w:tcW w:w="7251" w:type="dxa"/>
            <w:gridSpan w:val="5"/>
          </w:tcPr>
          <w:p>
            <w:pPr>
              <w:pStyle w:val="TableParagraph"/>
              <w:spacing w:line="255" w:lineRule="exact"/>
              <w:ind w:left="175"/>
              <w:rPr>
                <w:sz w:val="24"/>
              </w:rPr>
            </w:pPr>
            <w:r>
              <w:rPr>
                <w:sz w:val="24"/>
              </w:rPr>
              <w:t>Otros Productos</w:t>
            </w:r>
          </w:p>
        </w:tc>
        <w:tc>
          <w:tcPr>
            <w:tcW w:w="2311" w:type="dxa"/>
          </w:tcPr>
          <w:p>
            <w:pPr>
              <w:pStyle w:val="TableParagraph"/>
              <w:spacing w:line="255" w:lineRule="exact"/>
              <w:ind w:right="97"/>
              <w:jc w:val="right"/>
              <w:rPr>
                <w:sz w:val="24"/>
              </w:rPr>
            </w:pPr>
            <w:r>
              <w:rPr>
                <w:sz w:val="24"/>
              </w:rPr>
              <w:t>165,941.98</w:t>
            </w:r>
          </w:p>
        </w:tc>
      </w:tr>
      <w:tr>
        <w:trPr>
          <w:trHeight w:val="275" w:hRule="atLeast"/>
        </w:trPr>
        <w:tc>
          <w:tcPr>
            <w:tcW w:w="7251" w:type="dxa"/>
            <w:gridSpan w:val="5"/>
          </w:tcPr>
          <w:p>
            <w:pPr>
              <w:pStyle w:val="TableParagraph"/>
              <w:spacing w:line="255" w:lineRule="exact"/>
              <w:ind w:left="175"/>
              <w:rPr>
                <w:b/>
                <w:sz w:val="24"/>
              </w:rPr>
            </w:pPr>
            <w:r>
              <w:rPr>
                <w:b/>
                <w:sz w:val="24"/>
                <w:u w:val="thick"/>
              </w:rPr>
              <w:t>6. Aprovechamientos</w:t>
            </w:r>
          </w:p>
        </w:tc>
        <w:tc>
          <w:tcPr>
            <w:tcW w:w="2311" w:type="dxa"/>
          </w:tcPr>
          <w:p>
            <w:pPr>
              <w:pStyle w:val="TableParagraph"/>
              <w:spacing w:line="255" w:lineRule="exact"/>
              <w:ind w:right="97"/>
              <w:jc w:val="right"/>
              <w:rPr>
                <w:b/>
                <w:sz w:val="24"/>
              </w:rPr>
            </w:pPr>
            <w:r>
              <w:rPr>
                <w:b/>
                <w:sz w:val="24"/>
              </w:rPr>
              <w:t>23,071,948.25</w:t>
            </w:r>
          </w:p>
        </w:tc>
      </w:tr>
      <w:tr>
        <w:trPr>
          <w:trHeight w:val="275" w:hRule="atLeast"/>
        </w:trPr>
        <w:tc>
          <w:tcPr>
            <w:tcW w:w="7251" w:type="dxa"/>
            <w:gridSpan w:val="5"/>
          </w:tcPr>
          <w:p>
            <w:pPr>
              <w:pStyle w:val="TableParagraph"/>
              <w:spacing w:line="255" w:lineRule="exact"/>
              <w:ind w:left="175"/>
              <w:rPr>
                <w:sz w:val="24"/>
              </w:rPr>
            </w:pPr>
            <w:r>
              <w:rPr>
                <w:sz w:val="24"/>
              </w:rPr>
              <w:t>Multas</w:t>
            </w:r>
          </w:p>
        </w:tc>
        <w:tc>
          <w:tcPr>
            <w:tcW w:w="2311" w:type="dxa"/>
          </w:tcPr>
          <w:p>
            <w:pPr>
              <w:pStyle w:val="TableParagraph"/>
              <w:spacing w:line="255" w:lineRule="exact"/>
              <w:ind w:right="97"/>
              <w:jc w:val="right"/>
              <w:rPr>
                <w:sz w:val="24"/>
              </w:rPr>
            </w:pPr>
            <w:r>
              <w:rPr>
                <w:sz w:val="24"/>
              </w:rPr>
              <w:t>16,679,363.38</w:t>
            </w:r>
          </w:p>
        </w:tc>
      </w:tr>
      <w:tr>
        <w:trPr>
          <w:trHeight w:val="277" w:hRule="atLeast"/>
        </w:trPr>
        <w:tc>
          <w:tcPr>
            <w:tcW w:w="7251" w:type="dxa"/>
            <w:gridSpan w:val="5"/>
          </w:tcPr>
          <w:p>
            <w:pPr>
              <w:pStyle w:val="TableParagraph"/>
              <w:spacing w:line="255" w:lineRule="exact" w:before="2"/>
              <w:ind w:left="175"/>
              <w:rPr>
                <w:sz w:val="24"/>
              </w:rPr>
            </w:pPr>
            <w:r>
              <w:rPr>
                <w:sz w:val="24"/>
              </w:rPr>
              <w:t>Indemnizaciones</w:t>
            </w:r>
          </w:p>
        </w:tc>
        <w:tc>
          <w:tcPr>
            <w:tcW w:w="2311" w:type="dxa"/>
          </w:tcPr>
          <w:p>
            <w:pPr>
              <w:pStyle w:val="TableParagraph"/>
              <w:spacing w:line="255" w:lineRule="exact" w:before="2"/>
              <w:ind w:right="97"/>
              <w:jc w:val="right"/>
              <w:rPr>
                <w:sz w:val="24"/>
              </w:rPr>
            </w:pPr>
            <w:r>
              <w:rPr>
                <w:sz w:val="24"/>
              </w:rPr>
              <w:t>114,813.28</w:t>
            </w:r>
          </w:p>
        </w:tc>
      </w:tr>
      <w:tr>
        <w:trPr>
          <w:trHeight w:val="275" w:hRule="atLeast"/>
        </w:trPr>
        <w:tc>
          <w:tcPr>
            <w:tcW w:w="7251" w:type="dxa"/>
            <w:gridSpan w:val="5"/>
          </w:tcPr>
          <w:p>
            <w:pPr>
              <w:pStyle w:val="TableParagraph"/>
              <w:spacing w:line="255" w:lineRule="exact"/>
              <w:ind w:left="175"/>
              <w:rPr>
                <w:sz w:val="24"/>
              </w:rPr>
            </w:pPr>
            <w:r>
              <w:rPr>
                <w:sz w:val="24"/>
              </w:rPr>
              <w:t>Accesorios de Aprovechamientos</w:t>
            </w:r>
          </w:p>
        </w:tc>
        <w:tc>
          <w:tcPr>
            <w:tcW w:w="2311" w:type="dxa"/>
          </w:tcPr>
          <w:p>
            <w:pPr>
              <w:pStyle w:val="TableParagraph"/>
              <w:spacing w:line="255" w:lineRule="exact"/>
              <w:ind w:right="97"/>
              <w:jc w:val="right"/>
              <w:rPr>
                <w:sz w:val="24"/>
              </w:rPr>
            </w:pPr>
            <w:r>
              <w:rPr>
                <w:sz w:val="24"/>
              </w:rPr>
              <w:t>168,718.55</w:t>
            </w:r>
          </w:p>
        </w:tc>
      </w:tr>
      <w:tr>
        <w:trPr>
          <w:trHeight w:val="275" w:hRule="atLeast"/>
        </w:trPr>
        <w:tc>
          <w:tcPr>
            <w:tcW w:w="7251" w:type="dxa"/>
            <w:gridSpan w:val="5"/>
          </w:tcPr>
          <w:p>
            <w:pPr>
              <w:pStyle w:val="TableParagraph"/>
              <w:spacing w:line="255" w:lineRule="exact"/>
              <w:ind w:left="175"/>
              <w:rPr>
                <w:sz w:val="24"/>
              </w:rPr>
            </w:pPr>
            <w:r>
              <w:rPr>
                <w:sz w:val="24"/>
              </w:rPr>
              <w:t>Otros aprovechamientos</w:t>
            </w:r>
          </w:p>
        </w:tc>
        <w:tc>
          <w:tcPr>
            <w:tcW w:w="2311" w:type="dxa"/>
          </w:tcPr>
          <w:p>
            <w:pPr>
              <w:pStyle w:val="TableParagraph"/>
              <w:spacing w:line="255" w:lineRule="exact"/>
              <w:ind w:right="97"/>
              <w:jc w:val="right"/>
              <w:rPr>
                <w:sz w:val="24"/>
              </w:rPr>
            </w:pPr>
            <w:r>
              <w:rPr>
                <w:sz w:val="24"/>
              </w:rPr>
              <w:t>6,109,053.04</w:t>
            </w:r>
          </w:p>
        </w:tc>
      </w:tr>
      <w:tr>
        <w:trPr>
          <w:trHeight w:val="276" w:hRule="atLeast"/>
        </w:trPr>
        <w:tc>
          <w:tcPr>
            <w:tcW w:w="7251" w:type="dxa"/>
            <w:gridSpan w:val="5"/>
          </w:tcPr>
          <w:p>
            <w:pPr>
              <w:pStyle w:val="TableParagraph"/>
              <w:spacing w:line="256" w:lineRule="exact"/>
              <w:ind w:left="175"/>
              <w:rPr>
                <w:b/>
                <w:sz w:val="24"/>
              </w:rPr>
            </w:pPr>
            <w:r>
              <w:rPr>
                <w:b/>
                <w:sz w:val="24"/>
                <w:u w:val="thick"/>
              </w:rPr>
              <w:t>8. Participaciones y Aportaciones</w:t>
            </w:r>
          </w:p>
        </w:tc>
        <w:tc>
          <w:tcPr>
            <w:tcW w:w="2311" w:type="dxa"/>
          </w:tcPr>
          <w:p>
            <w:pPr>
              <w:pStyle w:val="TableParagraph"/>
              <w:spacing w:line="256" w:lineRule="exact"/>
              <w:ind w:right="97"/>
              <w:jc w:val="right"/>
              <w:rPr>
                <w:b/>
                <w:sz w:val="24"/>
              </w:rPr>
            </w:pPr>
            <w:r>
              <w:rPr>
                <w:b/>
                <w:sz w:val="24"/>
              </w:rPr>
              <w:t>1,177,365,040.65</w:t>
            </w:r>
          </w:p>
        </w:tc>
      </w:tr>
      <w:tr>
        <w:trPr>
          <w:trHeight w:val="275" w:hRule="atLeast"/>
        </w:trPr>
        <w:tc>
          <w:tcPr>
            <w:tcW w:w="7251" w:type="dxa"/>
            <w:gridSpan w:val="5"/>
          </w:tcPr>
          <w:p>
            <w:pPr>
              <w:pStyle w:val="TableParagraph"/>
              <w:spacing w:line="255" w:lineRule="exact"/>
              <w:ind w:left="175"/>
              <w:rPr>
                <w:b/>
                <w:sz w:val="24"/>
              </w:rPr>
            </w:pPr>
            <w:r>
              <w:rPr>
                <w:b/>
                <w:sz w:val="24"/>
              </w:rPr>
              <w:t>Participaciones</w:t>
            </w:r>
          </w:p>
        </w:tc>
        <w:tc>
          <w:tcPr>
            <w:tcW w:w="2311" w:type="dxa"/>
          </w:tcPr>
          <w:p>
            <w:pPr>
              <w:pStyle w:val="TableParagraph"/>
              <w:spacing w:line="255" w:lineRule="exact"/>
              <w:ind w:right="97"/>
              <w:jc w:val="right"/>
              <w:rPr>
                <w:b/>
                <w:sz w:val="24"/>
              </w:rPr>
            </w:pPr>
            <w:r>
              <w:rPr>
                <w:b/>
                <w:sz w:val="24"/>
              </w:rPr>
              <w:t>771,865,236.82</w:t>
            </w:r>
          </w:p>
        </w:tc>
      </w:tr>
      <w:tr>
        <w:trPr>
          <w:trHeight w:val="275" w:hRule="atLeast"/>
        </w:trPr>
        <w:tc>
          <w:tcPr>
            <w:tcW w:w="7251" w:type="dxa"/>
            <w:gridSpan w:val="5"/>
          </w:tcPr>
          <w:p>
            <w:pPr>
              <w:pStyle w:val="TableParagraph"/>
              <w:spacing w:line="255" w:lineRule="exact"/>
              <w:ind w:left="175"/>
              <w:rPr>
                <w:sz w:val="24"/>
              </w:rPr>
            </w:pPr>
            <w:r>
              <w:rPr>
                <w:sz w:val="24"/>
              </w:rPr>
              <w:t>Fondo General de Participaciones</w:t>
            </w:r>
          </w:p>
        </w:tc>
        <w:tc>
          <w:tcPr>
            <w:tcW w:w="2311" w:type="dxa"/>
          </w:tcPr>
          <w:p>
            <w:pPr>
              <w:pStyle w:val="TableParagraph"/>
              <w:spacing w:line="255" w:lineRule="exact"/>
              <w:ind w:right="97"/>
              <w:jc w:val="right"/>
              <w:rPr>
                <w:sz w:val="24"/>
              </w:rPr>
            </w:pPr>
            <w:r>
              <w:rPr>
                <w:sz w:val="24"/>
              </w:rPr>
              <w:t>496,569,854.00</w:t>
            </w:r>
          </w:p>
        </w:tc>
      </w:tr>
      <w:tr>
        <w:trPr>
          <w:trHeight w:val="278" w:hRule="atLeast"/>
        </w:trPr>
        <w:tc>
          <w:tcPr>
            <w:tcW w:w="7251" w:type="dxa"/>
            <w:gridSpan w:val="5"/>
          </w:tcPr>
          <w:p>
            <w:pPr>
              <w:pStyle w:val="TableParagraph"/>
              <w:spacing w:line="255" w:lineRule="exact" w:before="2"/>
              <w:ind w:left="175"/>
              <w:rPr>
                <w:sz w:val="24"/>
              </w:rPr>
            </w:pPr>
            <w:r>
              <w:rPr>
                <w:sz w:val="24"/>
              </w:rPr>
              <w:t>Fondo de Fomento Municipal</w:t>
            </w:r>
          </w:p>
        </w:tc>
        <w:tc>
          <w:tcPr>
            <w:tcW w:w="2311" w:type="dxa"/>
          </w:tcPr>
          <w:p>
            <w:pPr>
              <w:pStyle w:val="TableParagraph"/>
              <w:spacing w:line="255" w:lineRule="exact" w:before="2"/>
              <w:ind w:right="97"/>
              <w:jc w:val="right"/>
              <w:rPr>
                <w:sz w:val="24"/>
              </w:rPr>
            </w:pPr>
            <w:r>
              <w:rPr>
                <w:sz w:val="24"/>
              </w:rPr>
              <w:t>193,484,019.00</w:t>
            </w:r>
          </w:p>
        </w:tc>
      </w:tr>
      <w:tr>
        <w:trPr>
          <w:trHeight w:val="275" w:hRule="atLeast"/>
        </w:trPr>
        <w:tc>
          <w:tcPr>
            <w:tcW w:w="7251" w:type="dxa"/>
            <w:gridSpan w:val="5"/>
          </w:tcPr>
          <w:p>
            <w:pPr>
              <w:pStyle w:val="TableParagraph"/>
              <w:spacing w:line="255" w:lineRule="exact"/>
              <w:ind w:left="175"/>
              <w:rPr>
                <w:sz w:val="24"/>
              </w:rPr>
            </w:pPr>
            <w:r>
              <w:rPr>
                <w:sz w:val="24"/>
              </w:rPr>
              <w:t>Fondo de Fiscalización y Recaudación</w:t>
            </w:r>
          </w:p>
        </w:tc>
        <w:tc>
          <w:tcPr>
            <w:tcW w:w="2311" w:type="dxa"/>
          </w:tcPr>
          <w:p>
            <w:pPr>
              <w:pStyle w:val="TableParagraph"/>
              <w:spacing w:line="255" w:lineRule="exact"/>
              <w:ind w:right="97"/>
              <w:jc w:val="right"/>
              <w:rPr>
                <w:sz w:val="24"/>
              </w:rPr>
            </w:pPr>
            <w:r>
              <w:rPr>
                <w:sz w:val="24"/>
              </w:rPr>
              <w:t>35,021,114.00</w:t>
            </w:r>
          </w:p>
        </w:tc>
      </w:tr>
      <w:tr>
        <w:trPr>
          <w:trHeight w:val="275" w:hRule="atLeast"/>
        </w:trPr>
        <w:tc>
          <w:tcPr>
            <w:tcW w:w="7251" w:type="dxa"/>
            <w:gridSpan w:val="5"/>
          </w:tcPr>
          <w:p>
            <w:pPr>
              <w:pStyle w:val="TableParagraph"/>
              <w:spacing w:line="255" w:lineRule="exact"/>
              <w:ind w:left="175"/>
              <w:rPr>
                <w:sz w:val="24"/>
              </w:rPr>
            </w:pPr>
            <w:r>
              <w:rPr>
                <w:sz w:val="24"/>
              </w:rPr>
              <w:t>Fondo de Compensación</w:t>
            </w:r>
          </w:p>
        </w:tc>
        <w:tc>
          <w:tcPr>
            <w:tcW w:w="2311" w:type="dxa"/>
          </w:tcPr>
          <w:p>
            <w:pPr>
              <w:pStyle w:val="TableParagraph"/>
              <w:spacing w:line="255" w:lineRule="exact"/>
              <w:ind w:right="96"/>
              <w:jc w:val="right"/>
              <w:rPr>
                <w:sz w:val="24"/>
              </w:rPr>
            </w:pPr>
            <w:r>
              <w:rPr>
                <w:sz w:val="24"/>
              </w:rPr>
              <w:t>1.00</w:t>
            </w:r>
          </w:p>
        </w:tc>
      </w:tr>
      <w:tr>
        <w:trPr>
          <w:trHeight w:val="275" w:hRule="atLeast"/>
        </w:trPr>
        <w:tc>
          <w:tcPr>
            <w:tcW w:w="7251" w:type="dxa"/>
            <w:gridSpan w:val="5"/>
          </w:tcPr>
          <w:p>
            <w:pPr>
              <w:pStyle w:val="TableParagraph"/>
              <w:spacing w:line="255" w:lineRule="exact"/>
              <w:ind w:left="175"/>
              <w:rPr>
                <w:sz w:val="24"/>
              </w:rPr>
            </w:pPr>
            <w:r>
              <w:rPr>
                <w:sz w:val="24"/>
              </w:rPr>
              <w:t>Impuesto Especial Sobre Producción y Servicios</w:t>
            </w:r>
          </w:p>
        </w:tc>
        <w:tc>
          <w:tcPr>
            <w:tcW w:w="2311" w:type="dxa"/>
          </w:tcPr>
          <w:p>
            <w:pPr>
              <w:pStyle w:val="TableParagraph"/>
              <w:spacing w:line="255" w:lineRule="exact"/>
              <w:ind w:right="97"/>
              <w:jc w:val="right"/>
              <w:rPr>
                <w:sz w:val="24"/>
              </w:rPr>
            </w:pPr>
            <w:r>
              <w:rPr>
                <w:sz w:val="24"/>
              </w:rPr>
              <w:t>854,436.00</w:t>
            </w:r>
          </w:p>
        </w:tc>
      </w:tr>
      <w:tr>
        <w:trPr>
          <w:trHeight w:val="275" w:hRule="atLeast"/>
        </w:trPr>
        <w:tc>
          <w:tcPr>
            <w:tcW w:w="7251" w:type="dxa"/>
            <w:gridSpan w:val="5"/>
          </w:tcPr>
          <w:p>
            <w:pPr>
              <w:pStyle w:val="TableParagraph"/>
              <w:spacing w:line="255" w:lineRule="exact"/>
              <w:ind w:left="175"/>
              <w:rPr>
                <w:sz w:val="24"/>
              </w:rPr>
            </w:pPr>
            <w:r>
              <w:rPr>
                <w:sz w:val="24"/>
              </w:rPr>
              <w:t>I.E.P.S. Gasolina y Diésel</w:t>
            </w:r>
          </w:p>
        </w:tc>
        <w:tc>
          <w:tcPr>
            <w:tcW w:w="2311" w:type="dxa"/>
          </w:tcPr>
          <w:p>
            <w:pPr>
              <w:pStyle w:val="TableParagraph"/>
              <w:spacing w:line="255" w:lineRule="exact"/>
              <w:ind w:right="97"/>
              <w:jc w:val="right"/>
              <w:rPr>
                <w:sz w:val="24"/>
              </w:rPr>
            </w:pPr>
            <w:r>
              <w:rPr>
                <w:sz w:val="24"/>
              </w:rPr>
              <w:t>19,170,686.00</w:t>
            </w:r>
          </w:p>
        </w:tc>
      </w:tr>
      <w:tr>
        <w:trPr>
          <w:trHeight w:val="275" w:hRule="atLeast"/>
        </w:trPr>
        <w:tc>
          <w:tcPr>
            <w:tcW w:w="7251" w:type="dxa"/>
            <w:gridSpan w:val="5"/>
          </w:tcPr>
          <w:p>
            <w:pPr>
              <w:pStyle w:val="TableParagraph"/>
              <w:spacing w:line="255" w:lineRule="exact"/>
              <w:ind w:left="175"/>
              <w:rPr>
                <w:sz w:val="24"/>
              </w:rPr>
            </w:pPr>
            <w:r>
              <w:rPr>
                <w:sz w:val="24"/>
              </w:rPr>
              <w:t>Fondo I.S.R.</w:t>
            </w:r>
          </w:p>
        </w:tc>
        <w:tc>
          <w:tcPr>
            <w:tcW w:w="2311" w:type="dxa"/>
          </w:tcPr>
          <w:p>
            <w:pPr>
              <w:pStyle w:val="TableParagraph"/>
              <w:spacing w:line="255" w:lineRule="exact"/>
              <w:ind w:right="97"/>
              <w:jc w:val="right"/>
              <w:rPr>
                <w:sz w:val="24"/>
              </w:rPr>
            </w:pPr>
            <w:r>
              <w:rPr>
                <w:sz w:val="24"/>
              </w:rPr>
              <w:t>23,959,942.00</w:t>
            </w:r>
          </w:p>
        </w:tc>
      </w:tr>
      <w:tr>
        <w:trPr>
          <w:trHeight w:val="277" w:hRule="atLeast"/>
        </w:trPr>
        <w:tc>
          <w:tcPr>
            <w:tcW w:w="7251" w:type="dxa"/>
            <w:gridSpan w:val="5"/>
          </w:tcPr>
          <w:p>
            <w:pPr>
              <w:pStyle w:val="TableParagraph"/>
              <w:spacing w:line="255" w:lineRule="exact" w:before="2"/>
              <w:ind w:left="175"/>
              <w:rPr>
                <w:sz w:val="24"/>
              </w:rPr>
            </w:pPr>
            <w:r>
              <w:rPr>
                <w:sz w:val="24"/>
              </w:rPr>
              <w:t>Impuesto sobre Autos Nuevos</w:t>
            </w:r>
          </w:p>
        </w:tc>
        <w:tc>
          <w:tcPr>
            <w:tcW w:w="2311" w:type="dxa"/>
          </w:tcPr>
          <w:p>
            <w:pPr>
              <w:pStyle w:val="TableParagraph"/>
              <w:spacing w:line="255" w:lineRule="exact" w:before="2"/>
              <w:ind w:right="97"/>
              <w:jc w:val="right"/>
              <w:rPr>
                <w:sz w:val="24"/>
              </w:rPr>
            </w:pPr>
            <w:r>
              <w:rPr>
                <w:sz w:val="24"/>
              </w:rPr>
              <w:t>1,937,332.00</w:t>
            </w:r>
          </w:p>
        </w:tc>
      </w:tr>
      <w:tr>
        <w:trPr>
          <w:trHeight w:val="275" w:hRule="atLeast"/>
        </w:trPr>
        <w:tc>
          <w:tcPr>
            <w:tcW w:w="7251" w:type="dxa"/>
            <w:gridSpan w:val="5"/>
          </w:tcPr>
          <w:p>
            <w:pPr>
              <w:pStyle w:val="TableParagraph"/>
              <w:spacing w:line="255" w:lineRule="exact"/>
              <w:ind w:left="175"/>
              <w:rPr>
                <w:sz w:val="24"/>
              </w:rPr>
            </w:pPr>
            <w:r>
              <w:rPr>
                <w:sz w:val="24"/>
              </w:rPr>
              <w:t>Impuesto Sobre Tenencia y Uso de Vehículos</w:t>
            </w:r>
          </w:p>
        </w:tc>
        <w:tc>
          <w:tcPr>
            <w:tcW w:w="2311" w:type="dxa"/>
          </w:tcPr>
          <w:p>
            <w:pPr>
              <w:pStyle w:val="TableParagraph"/>
              <w:spacing w:line="255" w:lineRule="exact"/>
              <w:ind w:right="97"/>
              <w:jc w:val="right"/>
              <w:rPr>
                <w:sz w:val="24"/>
              </w:rPr>
            </w:pPr>
            <w:r>
              <w:rPr>
                <w:sz w:val="24"/>
              </w:rPr>
              <w:t>306,571.82</w:t>
            </w:r>
          </w:p>
        </w:tc>
      </w:tr>
      <w:tr>
        <w:trPr>
          <w:trHeight w:val="275" w:hRule="atLeast"/>
        </w:trPr>
        <w:tc>
          <w:tcPr>
            <w:tcW w:w="7251" w:type="dxa"/>
            <w:gridSpan w:val="5"/>
          </w:tcPr>
          <w:p>
            <w:pPr>
              <w:pStyle w:val="TableParagraph"/>
              <w:spacing w:line="255" w:lineRule="exact"/>
              <w:ind w:left="175"/>
              <w:rPr>
                <w:sz w:val="24"/>
              </w:rPr>
            </w:pPr>
            <w:r>
              <w:rPr>
                <w:sz w:val="24"/>
              </w:rPr>
              <w:t>Fondo de Compensación del Impuesto S/A. Nuevos</w:t>
            </w:r>
          </w:p>
        </w:tc>
        <w:tc>
          <w:tcPr>
            <w:tcW w:w="2311" w:type="dxa"/>
          </w:tcPr>
          <w:p>
            <w:pPr>
              <w:pStyle w:val="TableParagraph"/>
              <w:spacing w:line="255" w:lineRule="exact"/>
              <w:ind w:right="97"/>
              <w:jc w:val="right"/>
              <w:rPr>
                <w:sz w:val="24"/>
              </w:rPr>
            </w:pPr>
            <w:r>
              <w:rPr>
                <w:sz w:val="24"/>
              </w:rPr>
              <w:t>561,281.00</w:t>
            </w:r>
          </w:p>
        </w:tc>
      </w:tr>
      <w:tr>
        <w:trPr>
          <w:trHeight w:val="276" w:hRule="atLeast"/>
        </w:trPr>
        <w:tc>
          <w:tcPr>
            <w:tcW w:w="7251" w:type="dxa"/>
            <w:gridSpan w:val="5"/>
          </w:tcPr>
          <w:p>
            <w:pPr>
              <w:pStyle w:val="TableParagraph"/>
              <w:spacing w:line="255" w:lineRule="exact"/>
              <w:ind w:left="175"/>
              <w:rPr>
                <w:b/>
                <w:sz w:val="24"/>
              </w:rPr>
            </w:pPr>
            <w:r>
              <w:rPr>
                <w:b/>
                <w:sz w:val="24"/>
              </w:rPr>
              <w:t>Aportaciones</w:t>
            </w:r>
          </w:p>
        </w:tc>
        <w:tc>
          <w:tcPr>
            <w:tcW w:w="2311" w:type="dxa"/>
          </w:tcPr>
          <w:p>
            <w:pPr>
              <w:pStyle w:val="TableParagraph"/>
              <w:spacing w:line="255" w:lineRule="exact"/>
              <w:ind w:right="97"/>
              <w:jc w:val="right"/>
              <w:rPr>
                <w:b/>
                <w:sz w:val="24"/>
              </w:rPr>
            </w:pPr>
            <w:r>
              <w:rPr>
                <w:b/>
                <w:sz w:val="24"/>
              </w:rPr>
              <w:t>387,004,374.83</w:t>
            </w:r>
          </w:p>
        </w:tc>
      </w:tr>
      <w:tr>
        <w:trPr>
          <w:trHeight w:val="551" w:hRule="atLeast"/>
        </w:trPr>
        <w:tc>
          <w:tcPr>
            <w:tcW w:w="7251" w:type="dxa"/>
            <w:gridSpan w:val="5"/>
          </w:tcPr>
          <w:p>
            <w:pPr>
              <w:pStyle w:val="TableParagraph"/>
              <w:spacing w:line="270" w:lineRule="atLeast"/>
              <w:ind w:left="175"/>
              <w:rPr>
                <w:sz w:val="24"/>
              </w:rPr>
            </w:pPr>
            <w:r>
              <w:rPr>
                <w:sz w:val="24"/>
              </w:rPr>
              <w:t>Fondo III.- Fondo para la infraestructura Social Municipal y de las Demarcaciones territoriales del Distrito Federal</w:t>
            </w:r>
          </w:p>
        </w:tc>
        <w:tc>
          <w:tcPr>
            <w:tcW w:w="2311" w:type="dxa"/>
          </w:tcPr>
          <w:p>
            <w:pPr>
              <w:pStyle w:val="TableParagraph"/>
              <w:rPr>
                <w:sz w:val="24"/>
              </w:rPr>
            </w:pPr>
          </w:p>
          <w:p>
            <w:pPr>
              <w:pStyle w:val="TableParagraph"/>
              <w:spacing w:line="255" w:lineRule="exact"/>
              <w:ind w:right="97"/>
              <w:jc w:val="right"/>
              <w:rPr>
                <w:sz w:val="24"/>
              </w:rPr>
            </w:pPr>
            <w:r>
              <w:rPr>
                <w:sz w:val="24"/>
              </w:rPr>
              <w:t>75,151,970.93</w:t>
            </w:r>
          </w:p>
        </w:tc>
      </w:tr>
      <w:tr>
        <w:trPr>
          <w:trHeight w:val="827" w:hRule="atLeast"/>
        </w:trPr>
        <w:tc>
          <w:tcPr>
            <w:tcW w:w="7251" w:type="dxa"/>
            <w:gridSpan w:val="5"/>
          </w:tcPr>
          <w:p>
            <w:pPr>
              <w:pStyle w:val="TableParagraph"/>
              <w:spacing w:line="270" w:lineRule="atLeast"/>
              <w:ind w:left="175" w:right="97"/>
              <w:jc w:val="both"/>
              <w:rPr>
                <w:sz w:val="24"/>
              </w:rPr>
            </w:pPr>
            <w:r>
              <w:rPr>
                <w:sz w:val="24"/>
              </w:rPr>
              <w:t>Fondo IV.- Fondo de aportación para el Fortalecimiento de los Municipios y de las Demarcaciones Territoriales del Distrito Federal.</w:t>
            </w:r>
          </w:p>
        </w:tc>
        <w:tc>
          <w:tcPr>
            <w:tcW w:w="2311" w:type="dxa"/>
          </w:tcPr>
          <w:p>
            <w:pPr>
              <w:pStyle w:val="TableParagraph"/>
              <w:spacing w:before="11"/>
              <w:rPr>
                <w:sz w:val="23"/>
              </w:rPr>
            </w:pPr>
          </w:p>
          <w:p>
            <w:pPr>
              <w:pStyle w:val="TableParagraph"/>
              <w:ind w:right="97"/>
              <w:jc w:val="right"/>
              <w:rPr>
                <w:sz w:val="24"/>
              </w:rPr>
            </w:pPr>
            <w:r>
              <w:rPr>
                <w:sz w:val="24"/>
              </w:rPr>
              <w:t>311,852,403.90</w:t>
            </w:r>
          </w:p>
        </w:tc>
      </w:tr>
      <w:tr>
        <w:trPr>
          <w:trHeight w:val="274" w:hRule="atLeast"/>
        </w:trPr>
        <w:tc>
          <w:tcPr>
            <w:tcW w:w="7251" w:type="dxa"/>
            <w:gridSpan w:val="5"/>
          </w:tcPr>
          <w:p>
            <w:pPr>
              <w:pStyle w:val="TableParagraph"/>
              <w:rPr>
                <w:rFonts w:ascii="Times New Roman"/>
                <w:sz w:val="20"/>
              </w:rPr>
            </w:pPr>
          </w:p>
        </w:tc>
        <w:tc>
          <w:tcPr>
            <w:tcW w:w="2311" w:type="dxa"/>
          </w:tcPr>
          <w:p>
            <w:pPr>
              <w:pStyle w:val="TableParagraph"/>
              <w:rPr>
                <w:rFonts w:ascii="Times New Roman"/>
                <w:sz w:val="20"/>
              </w:rPr>
            </w:pPr>
          </w:p>
        </w:tc>
      </w:tr>
      <w:tr>
        <w:trPr>
          <w:trHeight w:val="554" w:hRule="atLeast"/>
        </w:trPr>
        <w:tc>
          <w:tcPr>
            <w:tcW w:w="7251" w:type="dxa"/>
            <w:gridSpan w:val="5"/>
          </w:tcPr>
          <w:p>
            <w:pPr>
              <w:pStyle w:val="TableParagraph"/>
              <w:rPr>
                <w:rFonts w:ascii="Times New Roman"/>
                <w:sz w:val="24"/>
              </w:rPr>
            </w:pPr>
          </w:p>
        </w:tc>
        <w:tc>
          <w:tcPr>
            <w:tcW w:w="2311" w:type="dxa"/>
          </w:tcPr>
          <w:p>
            <w:pPr>
              <w:pStyle w:val="TableParagraph"/>
              <w:spacing w:line="270" w:lineRule="atLeast" w:before="2"/>
              <w:ind w:left="773" w:right="81" w:firstLine="158"/>
              <w:rPr>
                <w:b/>
                <w:sz w:val="24"/>
              </w:rPr>
            </w:pPr>
            <w:r>
              <w:rPr>
                <w:b/>
                <w:sz w:val="24"/>
              </w:rPr>
              <w:t>INGRESOS ESTIMADOS</w:t>
            </w:r>
          </w:p>
        </w:tc>
      </w:tr>
      <w:tr>
        <w:trPr>
          <w:trHeight w:val="275" w:hRule="atLeast"/>
        </w:trPr>
        <w:tc>
          <w:tcPr>
            <w:tcW w:w="7251" w:type="dxa"/>
            <w:gridSpan w:val="5"/>
          </w:tcPr>
          <w:p>
            <w:pPr>
              <w:pStyle w:val="TableParagraph"/>
              <w:spacing w:line="255" w:lineRule="exact"/>
              <w:ind w:left="175"/>
              <w:rPr>
                <w:b/>
                <w:sz w:val="24"/>
              </w:rPr>
            </w:pPr>
            <w:r>
              <w:rPr>
                <w:b/>
                <w:sz w:val="24"/>
              </w:rPr>
              <w:t>Convenios</w:t>
            </w:r>
          </w:p>
        </w:tc>
        <w:tc>
          <w:tcPr>
            <w:tcW w:w="2311" w:type="dxa"/>
          </w:tcPr>
          <w:p>
            <w:pPr>
              <w:pStyle w:val="TableParagraph"/>
              <w:spacing w:line="255" w:lineRule="exact"/>
              <w:ind w:right="97"/>
              <w:jc w:val="right"/>
              <w:rPr>
                <w:b/>
                <w:sz w:val="24"/>
              </w:rPr>
            </w:pPr>
            <w:r>
              <w:rPr>
                <w:b/>
                <w:sz w:val="24"/>
              </w:rPr>
              <w:t>18,495,428.00</w:t>
            </w:r>
          </w:p>
        </w:tc>
      </w:tr>
      <w:tr>
        <w:trPr>
          <w:trHeight w:val="275" w:hRule="atLeast"/>
        </w:trPr>
        <w:tc>
          <w:tcPr>
            <w:tcW w:w="7251" w:type="dxa"/>
            <w:gridSpan w:val="5"/>
          </w:tcPr>
          <w:p>
            <w:pPr>
              <w:pStyle w:val="TableParagraph"/>
              <w:spacing w:line="255" w:lineRule="exact"/>
              <w:ind w:left="175"/>
              <w:rPr>
                <w:sz w:val="24"/>
              </w:rPr>
            </w:pPr>
            <w:r>
              <w:rPr>
                <w:sz w:val="24"/>
              </w:rPr>
              <w:t>FORTASEG</w:t>
            </w:r>
          </w:p>
        </w:tc>
        <w:tc>
          <w:tcPr>
            <w:tcW w:w="2311" w:type="dxa"/>
          </w:tcPr>
          <w:p>
            <w:pPr>
              <w:pStyle w:val="TableParagraph"/>
              <w:spacing w:line="255" w:lineRule="exact"/>
              <w:ind w:right="97"/>
              <w:jc w:val="right"/>
              <w:rPr>
                <w:sz w:val="24"/>
              </w:rPr>
            </w:pPr>
            <w:r>
              <w:rPr>
                <w:sz w:val="24"/>
              </w:rPr>
              <w:t>18,495,426.00</w:t>
            </w:r>
          </w:p>
        </w:tc>
      </w:tr>
      <w:tr>
        <w:trPr>
          <w:trHeight w:val="276" w:hRule="atLeast"/>
        </w:trPr>
        <w:tc>
          <w:tcPr>
            <w:tcW w:w="7251" w:type="dxa"/>
            <w:gridSpan w:val="5"/>
          </w:tcPr>
          <w:p>
            <w:pPr>
              <w:pStyle w:val="TableParagraph"/>
              <w:spacing w:line="256" w:lineRule="exact"/>
              <w:ind w:left="175"/>
              <w:rPr>
                <w:sz w:val="24"/>
              </w:rPr>
            </w:pPr>
            <w:r>
              <w:rPr>
                <w:sz w:val="24"/>
              </w:rPr>
              <w:t>Refrendo para el Ramo 33</w:t>
            </w:r>
          </w:p>
        </w:tc>
        <w:tc>
          <w:tcPr>
            <w:tcW w:w="2311" w:type="dxa"/>
          </w:tcPr>
          <w:p>
            <w:pPr>
              <w:pStyle w:val="TableParagraph"/>
              <w:spacing w:line="256" w:lineRule="exact"/>
              <w:ind w:right="96"/>
              <w:jc w:val="right"/>
              <w:rPr>
                <w:sz w:val="24"/>
              </w:rPr>
            </w:pPr>
            <w:r>
              <w:rPr>
                <w:sz w:val="24"/>
              </w:rPr>
              <w:t>1.00</w:t>
            </w:r>
          </w:p>
        </w:tc>
      </w:tr>
      <w:tr>
        <w:trPr>
          <w:trHeight w:val="275" w:hRule="atLeast"/>
        </w:trPr>
        <w:tc>
          <w:tcPr>
            <w:tcW w:w="7251" w:type="dxa"/>
            <w:gridSpan w:val="5"/>
          </w:tcPr>
          <w:p>
            <w:pPr>
              <w:pStyle w:val="TableParagraph"/>
              <w:spacing w:line="255" w:lineRule="exact"/>
              <w:ind w:left="175"/>
              <w:rPr>
                <w:sz w:val="24"/>
              </w:rPr>
            </w:pPr>
            <w:r>
              <w:rPr>
                <w:sz w:val="24"/>
              </w:rPr>
              <w:t>Subsidios para el Desarrollo Social</w:t>
            </w:r>
          </w:p>
        </w:tc>
        <w:tc>
          <w:tcPr>
            <w:tcW w:w="2311" w:type="dxa"/>
          </w:tcPr>
          <w:p>
            <w:pPr>
              <w:pStyle w:val="TableParagraph"/>
              <w:spacing w:line="255" w:lineRule="exact"/>
              <w:ind w:right="96"/>
              <w:jc w:val="right"/>
              <w:rPr>
                <w:sz w:val="24"/>
              </w:rPr>
            </w:pPr>
            <w:r>
              <w:rPr>
                <w:sz w:val="24"/>
              </w:rPr>
              <w:t>1.00</w:t>
            </w:r>
          </w:p>
        </w:tc>
      </w:tr>
      <w:tr>
        <w:trPr>
          <w:trHeight w:val="551" w:hRule="atLeast"/>
        </w:trPr>
        <w:tc>
          <w:tcPr>
            <w:tcW w:w="2537" w:type="dxa"/>
            <w:tcBorders>
              <w:right w:val="nil"/>
            </w:tcBorders>
          </w:tcPr>
          <w:p>
            <w:pPr>
              <w:pStyle w:val="TableParagraph"/>
              <w:spacing w:line="270" w:lineRule="atLeast"/>
              <w:ind w:left="175" w:right="123"/>
              <w:rPr>
                <w:b/>
                <w:sz w:val="24"/>
              </w:rPr>
            </w:pPr>
            <w:r>
              <w:rPr>
                <w:b/>
                <w:sz w:val="24"/>
              </w:rPr>
              <w:t>TRANSFERENCIAS SECTOR PUBLICO</w:t>
            </w:r>
          </w:p>
        </w:tc>
        <w:tc>
          <w:tcPr>
            <w:tcW w:w="1525" w:type="dxa"/>
            <w:tcBorders>
              <w:left w:val="nil"/>
              <w:right w:val="nil"/>
            </w:tcBorders>
          </w:tcPr>
          <w:p>
            <w:pPr>
              <w:pStyle w:val="TableParagraph"/>
              <w:ind w:left="152"/>
              <w:rPr>
                <w:b/>
                <w:sz w:val="24"/>
              </w:rPr>
            </w:pPr>
            <w:r>
              <w:rPr>
                <w:b/>
                <w:sz w:val="24"/>
              </w:rPr>
              <w:t>INTERNAS</w:t>
            </w:r>
          </w:p>
        </w:tc>
        <w:tc>
          <w:tcPr>
            <w:tcW w:w="458" w:type="dxa"/>
            <w:tcBorders>
              <w:left w:val="nil"/>
              <w:right w:val="nil"/>
            </w:tcBorders>
          </w:tcPr>
          <w:p>
            <w:pPr>
              <w:pStyle w:val="TableParagraph"/>
              <w:ind w:left="153"/>
              <w:rPr>
                <w:b/>
                <w:sz w:val="24"/>
              </w:rPr>
            </w:pPr>
            <w:r>
              <w:rPr>
                <w:b/>
                <w:w w:val="100"/>
                <w:sz w:val="24"/>
              </w:rPr>
              <w:t>Y</w:t>
            </w:r>
          </w:p>
        </w:tc>
        <w:tc>
          <w:tcPr>
            <w:tcW w:w="2149" w:type="dxa"/>
            <w:tcBorders>
              <w:left w:val="nil"/>
              <w:right w:val="nil"/>
            </w:tcBorders>
          </w:tcPr>
          <w:p>
            <w:pPr>
              <w:pStyle w:val="TableParagraph"/>
              <w:ind w:left="153"/>
              <w:rPr>
                <w:b/>
                <w:sz w:val="24"/>
              </w:rPr>
            </w:pPr>
            <w:r>
              <w:rPr>
                <w:b/>
                <w:sz w:val="24"/>
              </w:rPr>
              <w:t>ASIGNACIONES</w:t>
            </w:r>
          </w:p>
        </w:tc>
        <w:tc>
          <w:tcPr>
            <w:tcW w:w="582" w:type="dxa"/>
            <w:tcBorders>
              <w:left w:val="nil"/>
            </w:tcBorders>
          </w:tcPr>
          <w:p>
            <w:pPr>
              <w:pStyle w:val="TableParagraph"/>
              <w:ind w:left="153"/>
              <w:rPr>
                <w:b/>
                <w:sz w:val="24"/>
              </w:rPr>
            </w:pPr>
            <w:r>
              <w:rPr>
                <w:b/>
                <w:sz w:val="24"/>
              </w:rPr>
              <w:t>AL</w:t>
            </w:r>
          </w:p>
        </w:tc>
        <w:tc>
          <w:tcPr>
            <w:tcW w:w="2311" w:type="dxa"/>
          </w:tcPr>
          <w:p>
            <w:pPr>
              <w:pStyle w:val="TableParagraph"/>
              <w:ind w:right="96"/>
              <w:jc w:val="right"/>
              <w:rPr>
                <w:b/>
                <w:sz w:val="24"/>
              </w:rPr>
            </w:pPr>
            <w:r>
              <w:rPr>
                <w:b/>
                <w:sz w:val="24"/>
              </w:rPr>
              <w:t>1.00</w:t>
            </w:r>
          </w:p>
        </w:tc>
      </w:tr>
      <w:tr>
        <w:trPr>
          <w:trHeight w:val="277" w:hRule="atLeast"/>
        </w:trPr>
        <w:tc>
          <w:tcPr>
            <w:tcW w:w="7251" w:type="dxa"/>
            <w:gridSpan w:val="5"/>
          </w:tcPr>
          <w:p>
            <w:pPr>
              <w:pStyle w:val="TableParagraph"/>
              <w:rPr>
                <w:rFonts w:ascii="Times New Roman"/>
                <w:sz w:val="20"/>
              </w:rPr>
            </w:pPr>
          </w:p>
        </w:tc>
        <w:tc>
          <w:tcPr>
            <w:tcW w:w="2311" w:type="dxa"/>
          </w:tcPr>
          <w:p>
            <w:pPr>
              <w:pStyle w:val="TableParagraph"/>
              <w:rPr>
                <w:rFonts w:ascii="Times New Roman"/>
                <w:sz w:val="20"/>
              </w:rPr>
            </w:pPr>
          </w:p>
        </w:tc>
      </w:tr>
      <w:tr>
        <w:trPr>
          <w:trHeight w:val="275" w:hRule="atLeast"/>
        </w:trPr>
        <w:tc>
          <w:tcPr>
            <w:tcW w:w="7251" w:type="dxa"/>
            <w:gridSpan w:val="5"/>
          </w:tcPr>
          <w:p>
            <w:pPr>
              <w:pStyle w:val="TableParagraph"/>
              <w:spacing w:line="255" w:lineRule="exact"/>
              <w:ind w:left="175"/>
              <w:rPr>
                <w:sz w:val="24"/>
              </w:rPr>
            </w:pPr>
            <w:r>
              <w:rPr>
                <w:sz w:val="24"/>
              </w:rPr>
              <w:t>TRANSFERENCIAS DE LIBRE DISPOSICION</w:t>
            </w:r>
          </w:p>
        </w:tc>
        <w:tc>
          <w:tcPr>
            <w:tcW w:w="2311" w:type="dxa"/>
          </w:tcPr>
          <w:p>
            <w:pPr>
              <w:pStyle w:val="TableParagraph"/>
              <w:spacing w:line="255" w:lineRule="exact"/>
              <w:ind w:right="96"/>
              <w:jc w:val="right"/>
              <w:rPr>
                <w:sz w:val="24"/>
              </w:rPr>
            </w:pPr>
            <w:r>
              <w:rPr>
                <w:sz w:val="24"/>
              </w:rPr>
              <w:t>1.00</w:t>
            </w:r>
          </w:p>
        </w:tc>
      </w:tr>
      <w:tr>
        <w:trPr>
          <w:trHeight w:val="275" w:hRule="atLeast"/>
        </w:trPr>
        <w:tc>
          <w:tcPr>
            <w:tcW w:w="7251" w:type="dxa"/>
            <w:gridSpan w:val="5"/>
          </w:tcPr>
          <w:p>
            <w:pPr>
              <w:pStyle w:val="TableParagraph"/>
              <w:spacing w:line="255" w:lineRule="exact"/>
              <w:ind w:left="175"/>
              <w:rPr>
                <w:b/>
                <w:sz w:val="24"/>
              </w:rPr>
            </w:pPr>
            <w:r>
              <w:rPr>
                <w:b/>
                <w:sz w:val="24"/>
                <w:u w:val="thick"/>
              </w:rPr>
              <w:t>TOTAL DE INGRESOS DEL AYUNTAMIENTO</w:t>
            </w:r>
          </w:p>
        </w:tc>
        <w:tc>
          <w:tcPr>
            <w:tcW w:w="2311" w:type="dxa"/>
          </w:tcPr>
          <w:p>
            <w:pPr>
              <w:pStyle w:val="TableParagraph"/>
              <w:spacing w:line="255" w:lineRule="exact"/>
              <w:ind w:right="97"/>
              <w:jc w:val="right"/>
              <w:rPr>
                <w:b/>
                <w:sz w:val="24"/>
              </w:rPr>
            </w:pPr>
            <w:r>
              <w:rPr>
                <w:b/>
                <w:sz w:val="24"/>
              </w:rPr>
              <w:t>1,757,141,945.79</w:t>
            </w:r>
          </w:p>
        </w:tc>
      </w:tr>
      <w:tr>
        <w:trPr>
          <w:trHeight w:val="275" w:hRule="atLeast"/>
        </w:trPr>
        <w:tc>
          <w:tcPr>
            <w:tcW w:w="7251" w:type="dxa"/>
            <w:gridSpan w:val="5"/>
          </w:tcPr>
          <w:p>
            <w:pPr>
              <w:pStyle w:val="TableParagraph"/>
              <w:rPr>
                <w:rFonts w:ascii="Times New Roman"/>
                <w:sz w:val="20"/>
              </w:rPr>
            </w:pPr>
          </w:p>
        </w:tc>
        <w:tc>
          <w:tcPr>
            <w:tcW w:w="2311" w:type="dxa"/>
          </w:tcPr>
          <w:p>
            <w:pPr>
              <w:pStyle w:val="TableParagraph"/>
              <w:rPr>
                <w:rFonts w:ascii="Times New Roman"/>
                <w:sz w:val="20"/>
              </w:rPr>
            </w:pPr>
          </w:p>
        </w:tc>
      </w:tr>
    </w:tbl>
    <w:p>
      <w:pPr>
        <w:spacing w:after="0"/>
        <w:rPr>
          <w:rFonts w:ascii="Times New Roman"/>
          <w:sz w:val="20"/>
        </w:rPr>
        <w:sectPr>
          <w:pgSz w:w="12250" w:h="15850"/>
          <w:pgMar w:header="730" w:footer="0" w:top="1000" w:bottom="280" w:left="860" w:right="820"/>
        </w:sectPr>
      </w:pPr>
    </w:p>
    <w:p>
      <w:pPr>
        <w:pStyle w:val="BodyText"/>
        <w:spacing w:before="1"/>
        <w:rPr>
          <w:sz w:val="9"/>
        </w:rPr>
      </w:pPr>
    </w:p>
    <w:p>
      <w:pPr>
        <w:pStyle w:val="BodyText"/>
        <w:spacing w:before="93"/>
        <w:ind w:left="400"/>
      </w:pPr>
      <w:r>
        <w:rPr>
          <w:b/>
        </w:rPr>
        <w:t>Artículo 2.- </w:t>
      </w:r>
      <w:r>
        <w:rPr/>
        <w:t>Para los efectos de esta Ley se establecen las siguientes definiciones:</w:t>
      </w:r>
    </w:p>
    <w:p>
      <w:pPr>
        <w:pStyle w:val="BodyText"/>
      </w:pPr>
    </w:p>
    <w:p>
      <w:pPr>
        <w:pStyle w:val="ListParagraph"/>
        <w:numPr>
          <w:ilvl w:val="0"/>
          <w:numId w:val="1"/>
        </w:numPr>
        <w:tabs>
          <w:tab w:pos="1393" w:val="left" w:leader="none"/>
          <w:tab w:pos="1394" w:val="left" w:leader="none"/>
        </w:tabs>
        <w:spacing w:line="240" w:lineRule="auto" w:before="0" w:after="0"/>
        <w:ind w:left="1394" w:right="0" w:hanging="994"/>
        <w:jc w:val="left"/>
        <w:rPr>
          <w:sz w:val="24"/>
        </w:rPr>
      </w:pPr>
      <w:r>
        <w:rPr>
          <w:b/>
          <w:sz w:val="24"/>
        </w:rPr>
        <w:t>Adquirente: </w:t>
      </w:r>
      <w:r>
        <w:rPr>
          <w:sz w:val="24"/>
        </w:rPr>
        <w:t>Es la persona que adquiere un Bien</w:t>
      </w:r>
      <w:r>
        <w:rPr>
          <w:spacing w:val="-12"/>
          <w:sz w:val="24"/>
        </w:rPr>
        <w:t> </w:t>
      </w:r>
      <w:r>
        <w:rPr>
          <w:sz w:val="24"/>
        </w:rPr>
        <w:t>inmueble.</w:t>
      </w:r>
    </w:p>
    <w:p>
      <w:pPr>
        <w:pStyle w:val="BodyText"/>
      </w:pPr>
    </w:p>
    <w:p>
      <w:pPr>
        <w:pStyle w:val="ListParagraph"/>
        <w:numPr>
          <w:ilvl w:val="0"/>
          <w:numId w:val="1"/>
        </w:numPr>
        <w:tabs>
          <w:tab w:pos="1393" w:val="left" w:leader="none"/>
          <w:tab w:pos="1394" w:val="left" w:leader="none"/>
        </w:tabs>
        <w:spacing w:line="240" w:lineRule="auto" w:before="0" w:after="0"/>
        <w:ind w:left="1394" w:right="432" w:hanging="994"/>
        <w:jc w:val="both"/>
        <w:rPr>
          <w:sz w:val="24"/>
        </w:rPr>
      </w:pPr>
      <w:r>
        <w:rPr/>
        <w:drawing>
          <wp:anchor distT="0" distB="0" distL="0" distR="0" allowOverlap="1" layoutInCell="1" locked="0" behindDoc="1" simplePos="0" relativeHeight="227470336">
            <wp:simplePos x="0" y="0"/>
            <wp:positionH relativeFrom="page">
              <wp:posOffset>1326849</wp:posOffset>
            </wp:positionH>
            <wp:positionV relativeFrom="paragraph">
              <wp:posOffset>686763</wp:posOffset>
            </wp:positionV>
            <wp:extent cx="5022642" cy="514477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5022642" cy="5144770"/>
                    </a:xfrm>
                    <a:prstGeom prst="rect">
                      <a:avLst/>
                    </a:prstGeom>
                  </pic:spPr>
                </pic:pic>
              </a:graphicData>
            </a:graphic>
          </wp:anchor>
        </w:drawing>
      </w:r>
      <w:r>
        <w:rPr>
          <w:b/>
          <w:sz w:val="24"/>
        </w:rPr>
        <w:t>Aguas residuales: </w:t>
      </w:r>
      <w:r>
        <w:rPr>
          <w:sz w:val="24"/>
        </w:rPr>
        <w:t>Los líquidos de composición variada provenientes de las descargas de los usos industriales, comerciales, de servicios, agrícolas, pecuarios, domésticos, de tratamientos de aguas incluyendo fraccionamientos; y en general de cualquier uso, así como la mezcla de</w:t>
      </w:r>
      <w:r>
        <w:rPr>
          <w:spacing w:val="-12"/>
          <w:sz w:val="24"/>
        </w:rPr>
        <w:t> </w:t>
      </w:r>
      <w:r>
        <w:rPr>
          <w:sz w:val="24"/>
        </w:rPr>
        <w:t>ellas.</w:t>
      </w:r>
    </w:p>
    <w:p>
      <w:pPr>
        <w:pStyle w:val="BodyText"/>
      </w:pPr>
    </w:p>
    <w:p>
      <w:pPr>
        <w:pStyle w:val="BodyText"/>
        <w:ind w:left="1394" w:right="441"/>
        <w:jc w:val="both"/>
      </w:pPr>
      <w:r>
        <w:rPr/>
        <w:t>Cuando el usuario no separe el agua pluvial de las residuales, (sanitaría) la totalidad de la descarga se considerará para los efectos de esta Ley como aguas residuales.</w:t>
      </w:r>
    </w:p>
    <w:p>
      <w:pPr>
        <w:pStyle w:val="BodyText"/>
        <w:spacing w:before="1"/>
      </w:pPr>
    </w:p>
    <w:p>
      <w:pPr>
        <w:pStyle w:val="ListParagraph"/>
        <w:numPr>
          <w:ilvl w:val="0"/>
          <w:numId w:val="1"/>
        </w:numPr>
        <w:tabs>
          <w:tab w:pos="1393" w:val="left" w:leader="none"/>
          <w:tab w:pos="1394" w:val="left" w:leader="none"/>
        </w:tabs>
        <w:spacing w:line="240" w:lineRule="auto" w:before="0" w:after="0"/>
        <w:ind w:left="1394" w:right="437" w:hanging="994"/>
        <w:jc w:val="both"/>
        <w:rPr>
          <w:sz w:val="24"/>
        </w:rPr>
      </w:pPr>
      <w:r>
        <w:rPr>
          <w:b/>
          <w:sz w:val="24"/>
        </w:rPr>
        <w:t>Anuncios audiovisuales</w:t>
      </w:r>
      <w:r>
        <w:rPr>
          <w:sz w:val="24"/>
        </w:rPr>
        <w:t>: Transmisión sonora y visual de mensajes publicitarios para la promoción de productos y servicios, los cuales pueden realizarse a través de aeronaves, vehículos, equipos personales móviles y/o fijos en un establecimiento. El nivel máximo permisible de dichos anuncios están regulados por la NOM-081-</w:t>
      </w:r>
      <w:r>
        <w:rPr>
          <w:spacing w:val="-2"/>
          <w:sz w:val="24"/>
        </w:rPr>
        <w:t> </w:t>
      </w:r>
      <w:r>
        <w:rPr>
          <w:sz w:val="24"/>
        </w:rPr>
        <w:t>SEMARNAT-1994.</w:t>
      </w:r>
    </w:p>
    <w:p>
      <w:pPr>
        <w:pStyle w:val="BodyText"/>
      </w:pPr>
    </w:p>
    <w:p>
      <w:pPr>
        <w:pStyle w:val="ListParagraph"/>
        <w:numPr>
          <w:ilvl w:val="0"/>
          <w:numId w:val="1"/>
        </w:numPr>
        <w:tabs>
          <w:tab w:pos="1394" w:val="left" w:leader="none"/>
        </w:tabs>
        <w:spacing w:line="240" w:lineRule="auto" w:before="0" w:after="0"/>
        <w:ind w:left="1394" w:right="432" w:hanging="994"/>
        <w:jc w:val="both"/>
        <w:rPr>
          <w:sz w:val="24"/>
        </w:rPr>
      </w:pPr>
      <w:r>
        <w:rPr>
          <w:b/>
          <w:sz w:val="24"/>
        </w:rPr>
        <w:t>Anuncios Sonoros: </w:t>
      </w:r>
      <w:r>
        <w:rPr>
          <w:sz w:val="24"/>
        </w:rPr>
        <w:t>Transmisión sonora de mensajes publicitarios para la promoción de productos y servicios, los cuales pueden realizarse a través de aeronaves, vehículos, equipos personales móviles y/o fijos en un establecimiento. El nivel máximo permisible de dichos anuncios están regulados por la NOM-081- SEMARNAT-1994</w:t>
      </w:r>
    </w:p>
    <w:p>
      <w:pPr>
        <w:pStyle w:val="BodyText"/>
        <w:spacing w:before="1"/>
      </w:pPr>
    </w:p>
    <w:p>
      <w:pPr>
        <w:pStyle w:val="ListParagraph"/>
        <w:numPr>
          <w:ilvl w:val="0"/>
          <w:numId w:val="1"/>
        </w:numPr>
        <w:tabs>
          <w:tab w:pos="1393" w:val="left" w:leader="none"/>
          <w:tab w:pos="1394" w:val="left" w:leader="none"/>
        </w:tabs>
        <w:spacing w:line="240" w:lineRule="auto" w:before="0" w:after="0"/>
        <w:ind w:left="1394" w:right="435" w:hanging="994"/>
        <w:jc w:val="both"/>
        <w:rPr>
          <w:sz w:val="24"/>
        </w:rPr>
      </w:pPr>
      <w:r>
        <w:rPr>
          <w:b/>
          <w:sz w:val="24"/>
        </w:rPr>
        <w:t>Aprovechamiento sustentable: </w:t>
      </w:r>
      <w:r>
        <w:rPr>
          <w:sz w:val="24"/>
        </w:rPr>
        <w:t>La utilización de los recursos naturales en forma tal que se respete la integridad funcional y las capacidades de carga de los ecosistemas de los que forman parte dichos recursos, por periodos</w:t>
      </w:r>
      <w:r>
        <w:rPr>
          <w:spacing w:val="-22"/>
          <w:sz w:val="24"/>
        </w:rPr>
        <w:t> </w:t>
      </w:r>
      <w:r>
        <w:rPr>
          <w:sz w:val="24"/>
        </w:rPr>
        <w:t>indefinidos;</w:t>
      </w:r>
    </w:p>
    <w:p>
      <w:pPr>
        <w:pStyle w:val="BodyText"/>
      </w:pPr>
    </w:p>
    <w:p>
      <w:pPr>
        <w:pStyle w:val="ListParagraph"/>
        <w:numPr>
          <w:ilvl w:val="0"/>
          <w:numId w:val="1"/>
        </w:numPr>
        <w:tabs>
          <w:tab w:pos="1394" w:val="left" w:leader="none"/>
        </w:tabs>
        <w:spacing w:line="240" w:lineRule="auto" w:before="0" w:after="0"/>
        <w:ind w:left="1394" w:right="431" w:hanging="994"/>
        <w:jc w:val="both"/>
        <w:rPr>
          <w:sz w:val="24"/>
        </w:rPr>
      </w:pPr>
      <w:r>
        <w:rPr>
          <w:b/>
          <w:sz w:val="24"/>
        </w:rPr>
        <w:t>Áreas naturales protegidas municipales: </w:t>
      </w:r>
      <w:r>
        <w:rPr>
          <w:sz w:val="24"/>
        </w:rPr>
        <w:t>Las áreas naturales protegidas municipales son zonas del territorio nacional, terrestres o acuáticas, en donde los ambientes y ecosistemas originales, no han sido significativamente alterados por la actividad del ser humano o que, por su relevancia paisajística, importancia ecológica o presencia de especies particulares, requieren ser conservadas, protegidas o</w:t>
      </w:r>
      <w:r>
        <w:rPr>
          <w:spacing w:val="-3"/>
          <w:sz w:val="24"/>
        </w:rPr>
        <w:t> </w:t>
      </w:r>
      <w:r>
        <w:rPr>
          <w:sz w:val="24"/>
        </w:rPr>
        <w:t>restauradas;</w:t>
      </w:r>
    </w:p>
    <w:p>
      <w:pPr>
        <w:pStyle w:val="BodyText"/>
        <w:spacing w:before="9"/>
        <w:rPr>
          <w:sz w:val="23"/>
        </w:rPr>
      </w:pPr>
    </w:p>
    <w:p>
      <w:pPr>
        <w:pStyle w:val="ListParagraph"/>
        <w:numPr>
          <w:ilvl w:val="0"/>
          <w:numId w:val="1"/>
        </w:numPr>
        <w:tabs>
          <w:tab w:pos="1394" w:val="left" w:leader="none"/>
        </w:tabs>
        <w:spacing w:line="240" w:lineRule="auto" w:before="0" w:after="0"/>
        <w:ind w:left="1394" w:right="438" w:hanging="994"/>
        <w:jc w:val="both"/>
        <w:rPr>
          <w:sz w:val="24"/>
        </w:rPr>
      </w:pPr>
      <w:r>
        <w:rPr>
          <w:b/>
          <w:sz w:val="24"/>
        </w:rPr>
        <w:t>Carga de contaminantes: </w:t>
      </w:r>
      <w:r>
        <w:rPr>
          <w:sz w:val="24"/>
        </w:rPr>
        <w:t>Cantidad de un contaminante expresado en unidades de masa por unidad de tiempo, aportada en una descarga de aguas</w:t>
      </w:r>
      <w:r>
        <w:rPr>
          <w:spacing w:val="-25"/>
          <w:sz w:val="24"/>
        </w:rPr>
        <w:t> </w:t>
      </w:r>
      <w:r>
        <w:rPr>
          <w:sz w:val="24"/>
        </w:rPr>
        <w:t>residuales.</w:t>
      </w:r>
    </w:p>
    <w:p>
      <w:pPr>
        <w:pStyle w:val="BodyText"/>
        <w:spacing w:before="1"/>
      </w:pPr>
    </w:p>
    <w:p>
      <w:pPr>
        <w:pStyle w:val="ListParagraph"/>
        <w:numPr>
          <w:ilvl w:val="0"/>
          <w:numId w:val="1"/>
        </w:numPr>
        <w:tabs>
          <w:tab w:pos="1394" w:val="left" w:leader="none"/>
        </w:tabs>
        <w:spacing w:line="240" w:lineRule="auto" w:before="0" w:after="0"/>
        <w:ind w:left="1394" w:right="432" w:hanging="994"/>
        <w:jc w:val="both"/>
        <w:rPr>
          <w:sz w:val="24"/>
        </w:rPr>
      </w:pPr>
      <w:r>
        <w:rPr>
          <w:b/>
          <w:sz w:val="24"/>
        </w:rPr>
        <w:t>Centro de Acopio: </w:t>
      </w:r>
      <w:r>
        <w:rPr>
          <w:sz w:val="24"/>
        </w:rPr>
        <w:t>Instalación donde se reciben, reúnen, transvasan y acumulan temporalmente los residuos de una o diferentes fuentes para su</w:t>
      </w:r>
      <w:r>
        <w:rPr>
          <w:spacing w:val="-16"/>
          <w:sz w:val="24"/>
        </w:rPr>
        <w:t> </w:t>
      </w:r>
      <w:r>
        <w:rPr>
          <w:sz w:val="24"/>
        </w:rPr>
        <w:t>manejo;</w:t>
      </w:r>
    </w:p>
    <w:p>
      <w:pPr>
        <w:pStyle w:val="BodyText"/>
      </w:pPr>
    </w:p>
    <w:p>
      <w:pPr>
        <w:pStyle w:val="ListParagraph"/>
        <w:numPr>
          <w:ilvl w:val="0"/>
          <w:numId w:val="1"/>
        </w:numPr>
        <w:tabs>
          <w:tab w:pos="1394" w:val="left" w:leader="none"/>
        </w:tabs>
        <w:spacing w:line="240" w:lineRule="auto" w:before="0" w:after="0"/>
        <w:ind w:left="1394" w:right="436" w:hanging="994"/>
        <w:jc w:val="both"/>
        <w:rPr>
          <w:sz w:val="24"/>
        </w:rPr>
      </w:pPr>
      <w:r>
        <w:rPr>
          <w:b/>
          <w:sz w:val="24"/>
        </w:rPr>
        <w:t>Compatibilidad Ambiental: </w:t>
      </w:r>
      <w:r>
        <w:rPr>
          <w:sz w:val="24"/>
        </w:rPr>
        <w:t>Documento técnico que se requiere para determinar si es factible o no, cualquier construcción que se realiza para comercio, servicio, explotación de recursos naturales no reservados a la federación o asentamientos humanos en base a características ambientales técnicas, y también con los instrumentos de planeación y ordenamiento ecológico y territorial</w:t>
      </w:r>
      <w:r>
        <w:rPr>
          <w:spacing w:val="-15"/>
          <w:sz w:val="24"/>
        </w:rPr>
        <w:t> </w:t>
      </w:r>
      <w:r>
        <w:rPr>
          <w:sz w:val="24"/>
        </w:rPr>
        <w:t>vigentes.</w:t>
      </w:r>
    </w:p>
    <w:p>
      <w:pPr>
        <w:spacing w:after="0" w:line="240" w:lineRule="auto"/>
        <w:jc w:val="both"/>
        <w:rPr>
          <w:sz w:val="24"/>
        </w:rPr>
        <w:sectPr>
          <w:pgSz w:w="12250" w:h="15850"/>
          <w:pgMar w:header="730" w:footer="0" w:top="1000" w:bottom="280" w:left="860" w:right="820"/>
        </w:sectPr>
      </w:pPr>
    </w:p>
    <w:p>
      <w:pPr>
        <w:pStyle w:val="ListParagraph"/>
        <w:numPr>
          <w:ilvl w:val="0"/>
          <w:numId w:val="1"/>
        </w:numPr>
        <w:tabs>
          <w:tab w:pos="1393" w:val="left" w:leader="none"/>
          <w:tab w:pos="1394" w:val="left" w:leader="none"/>
        </w:tabs>
        <w:spacing w:line="240" w:lineRule="auto" w:before="183" w:after="0"/>
        <w:ind w:left="1394" w:right="431" w:hanging="994"/>
        <w:jc w:val="both"/>
        <w:rPr>
          <w:sz w:val="24"/>
        </w:rPr>
      </w:pPr>
      <w:r>
        <w:rPr>
          <w:b/>
          <w:sz w:val="24"/>
        </w:rPr>
        <w:t>Condiciones particulares de descarga: </w:t>
      </w:r>
      <w:r>
        <w:rPr>
          <w:sz w:val="24"/>
        </w:rPr>
        <w:t>El conjunto de parámetros físicos, químicos, biológicos y de sus niveles máximos permitidos en las descargas de agua residual, fijado por el SIAPA para un usuario o grupo de usuarios para un determinado uso, con el fin de preservar y controlar la calidad de las aguas conforme a las normas oficiales</w:t>
      </w:r>
      <w:r>
        <w:rPr>
          <w:spacing w:val="-10"/>
          <w:sz w:val="24"/>
        </w:rPr>
        <w:t> </w:t>
      </w:r>
      <w:r>
        <w:rPr>
          <w:sz w:val="24"/>
        </w:rPr>
        <w:t>mexicanas.</w:t>
      </w:r>
    </w:p>
    <w:p>
      <w:pPr>
        <w:pStyle w:val="ListParagraph"/>
        <w:numPr>
          <w:ilvl w:val="0"/>
          <w:numId w:val="1"/>
        </w:numPr>
        <w:tabs>
          <w:tab w:pos="1394" w:val="left" w:leader="none"/>
        </w:tabs>
        <w:spacing w:line="240" w:lineRule="auto" w:before="0" w:after="0"/>
        <w:ind w:left="1394" w:right="433" w:hanging="994"/>
        <w:jc w:val="both"/>
        <w:rPr>
          <w:sz w:val="24"/>
        </w:rPr>
      </w:pPr>
      <w:r>
        <w:rPr/>
        <w:drawing>
          <wp:anchor distT="0" distB="0" distL="0" distR="0" allowOverlap="1" layoutInCell="1" locked="0" behindDoc="1" simplePos="0" relativeHeight="227471360">
            <wp:simplePos x="0" y="0"/>
            <wp:positionH relativeFrom="page">
              <wp:posOffset>1317324</wp:posOffset>
            </wp:positionH>
            <wp:positionV relativeFrom="paragraph">
              <wp:posOffset>520647</wp:posOffset>
            </wp:positionV>
            <wp:extent cx="5022642" cy="514477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5022642" cy="5144770"/>
                    </a:xfrm>
                    <a:prstGeom prst="rect">
                      <a:avLst/>
                    </a:prstGeom>
                  </pic:spPr>
                </pic:pic>
              </a:graphicData>
            </a:graphic>
          </wp:anchor>
        </w:drawing>
      </w:r>
      <w:r>
        <w:rPr>
          <w:b/>
          <w:sz w:val="24"/>
        </w:rPr>
        <w:t>Contaminantes básicos: </w:t>
      </w:r>
      <w:r>
        <w:rPr>
          <w:sz w:val="24"/>
        </w:rPr>
        <w:t>Son aquellos compuestos que se presentan en las descargas de aguas residuales y pueden ser removidos o estabilizados mediante tratamientos convencionales. Se consideran las grasas y aceites de los sólidos suspendidos totales, la demanda bioquímica de oxígeno total los sólidos sedimentales al nitrógeno total y el fosforo</w:t>
      </w:r>
      <w:r>
        <w:rPr>
          <w:spacing w:val="-9"/>
          <w:sz w:val="24"/>
        </w:rPr>
        <w:t> </w:t>
      </w:r>
      <w:r>
        <w:rPr>
          <w:sz w:val="24"/>
        </w:rPr>
        <w:t>total.</w:t>
      </w:r>
    </w:p>
    <w:p>
      <w:pPr>
        <w:pStyle w:val="BodyText"/>
      </w:pPr>
    </w:p>
    <w:p>
      <w:pPr>
        <w:pStyle w:val="ListParagraph"/>
        <w:numPr>
          <w:ilvl w:val="0"/>
          <w:numId w:val="1"/>
        </w:numPr>
        <w:tabs>
          <w:tab w:pos="1394" w:val="left" w:leader="none"/>
        </w:tabs>
        <w:spacing w:line="240" w:lineRule="auto" w:before="1" w:after="0"/>
        <w:ind w:left="1394" w:right="440" w:hanging="994"/>
        <w:jc w:val="both"/>
        <w:rPr>
          <w:sz w:val="24"/>
        </w:rPr>
      </w:pPr>
      <w:r>
        <w:rPr>
          <w:b/>
          <w:sz w:val="24"/>
        </w:rPr>
        <w:t>Contribuyente: </w:t>
      </w:r>
      <w:r>
        <w:rPr>
          <w:sz w:val="24"/>
        </w:rPr>
        <w:t>Es la persona natural o jurídica a quien la Ley impone la carga tributaria derivada del hecho</w:t>
      </w:r>
      <w:r>
        <w:rPr>
          <w:spacing w:val="-8"/>
          <w:sz w:val="24"/>
        </w:rPr>
        <w:t> </w:t>
      </w:r>
      <w:r>
        <w:rPr>
          <w:sz w:val="24"/>
        </w:rPr>
        <w:t>imponible.</w:t>
      </w:r>
    </w:p>
    <w:p>
      <w:pPr>
        <w:pStyle w:val="BodyText"/>
      </w:pPr>
    </w:p>
    <w:p>
      <w:pPr>
        <w:pStyle w:val="ListParagraph"/>
        <w:numPr>
          <w:ilvl w:val="0"/>
          <w:numId w:val="1"/>
        </w:numPr>
        <w:tabs>
          <w:tab w:pos="1394" w:val="left" w:leader="none"/>
        </w:tabs>
        <w:spacing w:line="240" w:lineRule="auto" w:before="0" w:after="0"/>
        <w:ind w:left="1394" w:right="440" w:hanging="994"/>
        <w:jc w:val="both"/>
        <w:rPr>
          <w:sz w:val="24"/>
        </w:rPr>
      </w:pPr>
      <w:r>
        <w:rPr>
          <w:b/>
          <w:sz w:val="24"/>
        </w:rPr>
        <w:t>Descarga: </w:t>
      </w:r>
      <w:r>
        <w:rPr>
          <w:sz w:val="24"/>
        </w:rPr>
        <w:t>La acción de verter aguas residuales al sistema de alcantarillado o drenaje.</w:t>
      </w:r>
    </w:p>
    <w:p>
      <w:pPr>
        <w:pStyle w:val="BodyText"/>
      </w:pPr>
    </w:p>
    <w:p>
      <w:pPr>
        <w:pStyle w:val="ListParagraph"/>
        <w:numPr>
          <w:ilvl w:val="0"/>
          <w:numId w:val="1"/>
        </w:numPr>
        <w:tabs>
          <w:tab w:pos="1394" w:val="left" w:leader="none"/>
        </w:tabs>
        <w:spacing w:line="240" w:lineRule="auto" w:before="0" w:after="0"/>
        <w:ind w:left="1394" w:right="441" w:hanging="994"/>
        <w:jc w:val="both"/>
        <w:rPr>
          <w:sz w:val="24"/>
        </w:rPr>
      </w:pPr>
      <w:r>
        <w:rPr>
          <w:b/>
          <w:sz w:val="24"/>
        </w:rPr>
        <w:t>Destinos: </w:t>
      </w:r>
      <w:r>
        <w:rPr>
          <w:sz w:val="24"/>
        </w:rPr>
        <w:t>Los fines públicos a que se prevén dedicar determinadas zonas, áreas y predios de un centro de</w:t>
      </w:r>
      <w:r>
        <w:rPr>
          <w:spacing w:val="-9"/>
          <w:sz w:val="24"/>
        </w:rPr>
        <w:t> </w:t>
      </w:r>
      <w:r>
        <w:rPr>
          <w:sz w:val="24"/>
        </w:rPr>
        <w:t>población.</w:t>
      </w:r>
    </w:p>
    <w:p>
      <w:pPr>
        <w:pStyle w:val="BodyText"/>
      </w:pPr>
    </w:p>
    <w:p>
      <w:pPr>
        <w:pStyle w:val="ListParagraph"/>
        <w:numPr>
          <w:ilvl w:val="0"/>
          <w:numId w:val="1"/>
        </w:numPr>
        <w:tabs>
          <w:tab w:pos="1394" w:val="left" w:leader="none"/>
        </w:tabs>
        <w:spacing w:line="240" w:lineRule="auto" w:before="0" w:after="0"/>
        <w:ind w:left="1394" w:right="433" w:hanging="994"/>
        <w:jc w:val="both"/>
        <w:rPr>
          <w:sz w:val="24"/>
        </w:rPr>
      </w:pPr>
      <w:r>
        <w:rPr>
          <w:b/>
          <w:sz w:val="24"/>
        </w:rPr>
        <w:t>Dictamen de factibilidad ambiental</w:t>
      </w:r>
      <w:r>
        <w:rPr>
          <w:sz w:val="24"/>
        </w:rPr>
        <w:t>: Dictamen técnico realizado con el fin de verificar que los establecimientos comerciales, (negocios) cumplan con la normatividad ambiental vigente, (en relación a las emisiones a la atmosfera, descargas de aguas residuales, ruido y vibraciones, residuos sólidos y de manejo especial que) controlando y minimizando la contaminación que generan en el desarrollo de sus procesos productivos o de la prestación de sus servicios. En caso de no cumplir podrá resultar</w:t>
      </w:r>
      <w:r>
        <w:rPr>
          <w:spacing w:val="-2"/>
          <w:sz w:val="24"/>
        </w:rPr>
        <w:t> </w:t>
      </w:r>
      <w:r>
        <w:rPr>
          <w:sz w:val="24"/>
        </w:rPr>
        <w:t>improcedente.</w:t>
      </w:r>
    </w:p>
    <w:p>
      <w:pPr>
        <w:pStyle w:val="BodyText"/>
        <w:spacing w:before="1"/>
      </w:pPr>
    </w:p>
    <w:p>
      <w:pPr>
        <w:pStyle w:val="ListParagraph"/>
        <w:numPr>
          <w:ilvl w:val="0"/>
          <w:numId w:val="1"/>
        </w:numPr>
        <w:tabs>
          <w:tab w:pos="1394" w:val="left" w:leader="none"/>
        </w:tabs>
        <w:spacing w:line="240" w:lineRule="auto" w:before="0" w:after="0"/>
        <w:ind w:left="1394" w:right="435" w:hanging="994"/>
        <w:jc w:val="both"/>
        <w:rPr>
          <w:sz w:val="24"/>
        </w:rPr>
      </w:pPr>
      <w:r>
        <w:rPr>
          <w:b/>
          <w:sz w:val="24"/>
        </w:rPr>
        <w:t>Ecoturismo: </w:t>
      </w:r>
      <w:r>
        <w:rPr>
          <w:sz w:val="24"/>
        </w:rPr>
        <w:t>Actividad turística basada en la observación y apreciación de la naturaleza la cual posee como principal característica su bajo impacto en las áreas naturales donde se</w:t>
      </w:r>
      <w:r>
        <w:rPr>
          <w:spacing w:val="-3"/>
          <w:sz w:val="24"/>
        </w:rPr>
        <w:t> </w:t>
      </w:r>
      <w:r>
        <w:rPr>
          <w:sz w:val="24"/>
        </w:rPr>
        <w:t>desarrolla.</w:t>
      </w:r>
    </w:p>
    <w:p>
      <w:pPr>
        <w:pStyle w:val="BodyText"/>
      </w:pPr>
    </w:p>
    <w:p>
      <w:pPr>
        <w:pStyle w:val="ListParagraph"/>
        <w:numPr>
          <w:ilvl w:val="0"/>
          <w:numId w:val="1"/>
        </w:numPr>
        <w:tabs>
          <w:tab w:pos="1394" w:val="left" w:leader="none"/>
        </w:tabs>
        <w:spacing w:line="240" w:lineRule="auto" w:before="0" w:after="0"/>
        <w:ind w:left="1394" w:right="436" w:hanging="994"/>
        <w:jc w:val="both"/>
        <w:rPr>
          <w:sz w:val="24"/>
        </w:rPr>
      </w:pPr>
      <w:r>
        <w:rPr>
          <w:b/>
          <w:sz w:val="24"/>
        </w:rPr>
        <w:t>Empresa constructora: </w:t>
      </w:r>
      <w:r>
        <w:rPr>
          <w:sz w:val="24"/>
        </w:rPr>
        <w:t>Persona física o moral que fundamentalmente posee capacidad técnico-administrativa para desarrollar y controlar la realización de obras y aplicar procesos de</w:t>
      </w:r>
      <w:r>
        <w:rPr>
          <w:spacing w:val="-5"/>
          <w:sz w:val="24"/>
        </w:rPr>
        <w:t> </w:t>
      </w:r>
      <w:r>
        <w:rPr>
          <w:sz w:val="24"/>
        </w:rPr>
        <w:t>construcción.</w:t>
      </w:r>
    </w:p>
    <w:p>
      <w:pPr>
        <w:pStyle w:val="BodyText"/>
      </w:pPr>
    </w:p>
    <w:p>
      <w:pPr>
        <w:pStyle w:val="ListParagraph"/>
        <w:numPr>
          <w:ilvl w:val="0"/>
          <w:numId w:val="1"/>
        </w:numPr>
        <w:tabs>
          <w:tab w:pos="1394" w:val="left" w:leader="none"/>
        </w:tabs>
        <w:spacing w:line="240" w:lineRule="auto" w:before="0" w:after="0"/>
        <w:ind w:left="1394" w:right="438" w:hanging="994"/>
        <w:jc w:val="both"/>
        <w:rPr>
          <w:sz w:val="24"/>
        </w:rPr>
      </w:pPr>
      <w:r>
        <w:rPr>
          <w:b/>
          <w:sz w:val="24"/>
        </w:rPr>
        <w:t>Empresa fraccionadora: </w:t>
      </w:r>
      <w:r>
        <w:rPr>
          <w:sz w:val="24"/>
        </w:rPr>
        <w:t>Persona física moral, dedicada a la urbanización y división de lotes de terreno para la</w:t>
      </w:r>
      <w:r>
        <w:rPr>
          <w:spacing w:val="-6"/>
          <w:sz w:val="24"/>
        </w:rPr>
        <w:t> </w:t>
      </w:r>
      <w:r>
        <w:rPr>
          <w:sz w:val="24"/>
        </w:rPr>
        <w:t>construcción.</w:t>
      </w:r>
    </w:p>
    <w:p>
      <w:pPr>
        <w:pStyle w:val="BodyText"/>
        <w:spacing w:before="1"/>
      </w:pPr>
    </w:p>
    <w:p>
      <w:pPr>
        <w:pStyle w:val="ListParagraph"/>
        <w:numPr>
          <w:ilvl w:val="0"/>
          <w:numId w:val="1"/>
        </w:numPr>
        <w:tabs>
          <w:tab w:pos="1394" w:val="left" w:leader="none"/>
        </w:tabs>
        <w:spacing w:line="240" w:lineRule="auto" w:before="0" w:after="0"/>
        <w:ind w:left="1394" w:right="436" w:hanging="994"/>
        <w:jc w:val="both"/>
        <w:rPr>
          <w:sz w:val="24"/>
        </w:rPr>
      </w:pPr>
      <w:r>
        <w:rPr>
          <w:b/>
          <w:sz w:val="24"/>
        </w:rPr>
        <w:t>Empresa Recolectora: </w:t>
      </w:r>
      <w:r>
        <w:rPr>
          <w:sz w:val="24"/>
        </w:rPr>
        <w:t>Persona física o moral dedicada a recoger residuos para transportarlos o trasladarlos a otras áreas o instalaciones para su manejo  integral;</w:t>
      </w:r>
    </w:p>
    <w:p>
      <w:pPr>
        <w:pStyle w:val="BodyText"/>
      </w:pPr>
    </w:p>
    <w:p>
      <w:pPr>
        <w:pStyle w:val="ListParagraph"/>
        <w:numPr>
          <w:ilvl w:val="0"/>
          <w:numId w:val="1"/>
        </w:numPr>
        <w:tabs>
          <w:tab w:pos="1394" w:val="left" w:leader="none"/>
        </w:tabs>
        <w:spacing w:line="240" w:lineRule="auto" w:before="0" w:after="0"/>
        <w:ind w:left="1394" w:right="434" w:hanging="994"/>
        <w:jc w:val="both"/>
        <w:rPr>
          <w:sz w:val="24"/>
        </w:rPr>
      </w:pPr>
      <w:r>
        <w:rPr>
          <w:b/>
          <w:sz w:val="24"/>
        </w:rPr>
        <w:t>Equipamiento: </w:t>
      </w:r>
      <w:r>
        <w:rPr>
          <w:sz w:val="24"/>
        </w:rPr>
        <w:t>Toda la obra pública relativa a la construcción de edificios o inmuebles públicos, como escuelas, hospitales, comunitarios, parques y jardines, entre</w:t>
      </w:r>
      <w:r>
        <w:rPr>
          <w:spacing w:val="-2"/>
          <w:sz w:val="24"/>
        </w:rPr>
        <w:t> </w:t>
      </w:r>
      <w:r>
        <w:rPr>
          <w:sz w:val="24"/>
        </w:rPr>
        <w:t>otros.</w:t>
      </w:r>
    </w:p>
    <w:p>
      <w:pPr>
        <w:pStyle w:val="BodyText"/>
      </w:pPr>
    </w:p>
    <w:p>
      <w:pPr>
        <w:pStyle w:val="ListParagraph"/>
        <w:numPr>
          <w:ilvl w:val="0"/>
          <w:numId w:val="1"/>
        </w:numPr>
        <w:tabs>
          <w:tab w:pos="1393" w:val="left" w:leader="none"/>
          <w:tab w:pos="1394" w:val="left" w:leader="none"/>
        </w:tabs>
        <w:spacing w:line="240" w:lineRule="auto" w:before="0" w:after="0"/>
        <w:ind w:left="1394" w:right="0" w:hanging="994"/>
        <w:jc w:val="left"/>
        <w:rPr>
          <w:sz w:val="24"/>
        </w:rPr>
      </w:pPr>
      <w:r>
        <w:rPr>
          <w:b/>
          <w:sz w:val="24"/>
        </w:rPr>
        <w:t>Enajenante: </w:t>
      </w:r>
      <w:r>
        <w:rPr>
          <w:sz w:val="24"/>
        </w:rPr>
        <w:t>Es la persona quien enajena o transmite sus Bienes</w:t>
      </w:r>
      <w:r>
        <w:rPr>
          <w:spacing w:val="-17"/>
          <w:sz w:val="24"/>
        </w:rPr>
        <w:t> </w:t>
      </w:r>
      <w:r>
        <w:rPr>
          <w:sz w:val="24"/>
        </w:rPr>
        <w:t>Inmuebles.</w:t>
      </w:r>
    </w:p>
    <w:p>
      <w:pPr>
        <w:spacing w:after="0" w:line="240" w:lineRule="auto"/>
        <w:jc w:val="left"/>
        <w:rPr>
          <w:sz w:val="24"/>
        </w:rPr>
        <w:sectPr>
          <w:pgSz w:w="12250" w:h="15850"/>
          <w:pgMar w:header="730" w:footer="0" w:top="1000" w:bottom="280" w:left="860" w:right="820"/>
        </w:sectPr>
      </w:pPr>
    </w:p>
    <w:p>
      <w:pPr>
        <w:pStyle w:val="BodyText"/>
        <w:spacing w:before="1"/>
        <w:rPr>
          <w:sz w:val="9"/>
        </w:rPr>
      </w:pPr>
    </w:p>
    <w:p>
      <w:pPr>
        <w:pStyle w:val="ListParagraph"/>
        <w:numPr>
          <w:ilvl w:val="0"/>
          <w:numId w:val="1"/>
        </w:numPr>
        <w:tabs>
          <w:tab w:pos="1394" w:val="left" w:leader="none"/>
        </w:tabs>
        <w:spacing w:line="240" w:lineRule="auto" w:before="93" w:after="0"/>
        <w:ind w:left="1394" w:right="431" w:hanging="994"/>
        <w:jc w:val="both"/>
        <w:rPr>
          <w:sz w:val="24"/>
        </w:rPr>
      </w:pPr>
      <w:r>
        <w:rPr>
          <w:b/>
          <w:sz w:val="24"/>
        </w:rPr>
        <w:t>Establecimiento: </w:t>
      </w:r>
      <w:r>
        <w:rPr>
          <w:sz w:val="24"/>
        </w:rPr>
        <w:t>Toda unidad económica instalada en un inmueble con  domicilio permanente y nomenclatura oficial para la realización de actividades comerciales, industriales o de prestación de</w:t>
      </w:r>
      <w:r>
        <w:rPr>
          <w:spacing w:val="-7"/>
          <w:sz w:val="24"/>
        </w:rPr>
        <w:t> </w:t>
      </w:r>
      <w:r>
        <w:rPr>
          <w:sz w:val="24"/>
        </w:rPr>
        <w:t>servicios.</w:t>
      </w:r>
    </w:p>
    <w:p>
      <w:pPr>
        <w:pStyle w:val="BodyText"/>
      </w:pPr>
    </w:p>
    <w:p>
      <w:pPr>
        <w:pStyle w:val="ListParagraph"/>
        <w:numPr>
          <w:ilvl w:val="0"/>
          <w:numId w:val="1"/>
        </w:numPr>
        <w:tabs>
          <w:tab w:pos="1394" w:val="left" w:leader="none"/>
        </w:tabs>
        <w:spacing w:line="240" w:lineRule="auto" w:before="0" w:after="0"/>
        <w:ind w:left="1394" w:right="434" w:hanging="994"/>
        <w:jc w:val="both"/>
        <w:rPr>
          <w:sz w:val="24"/>
        </w:rPr>
      </w:pPr>
      <w:r>
        <w:rPr/>
        <w:drawing>
          <wp:anchor distT="0" distB="0" distL="0" distR="0" allowOverlap="1" layoutInCell="1" locked="0" behindDoc="1" simplePos="0" relativeHeight="227472384">
            <wp:simplePos x="0" y="0"/>
            <wp:positionH relativeFrom="page">
              <wp:posOffset>1326849</wp:posOffset>
            </wp:positionH>
            <wp:positionV relativeFrom="paragraph">
              <wp:posOffset>686763</wp:posOffset>
            </wp:positionV>
            <wp:extent cx="5022642" cy="514477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5022642" cy="5144770"/>
                    </a:xfrm>
                    <a:prstGeom prst="rect">
                      <a:avLst/>
                    </a:prstGeom>
                  </pic:spPr>
                </pic:pic>
              </a:graphicData>
            </a:graphic>
          </wp:anchor>
        </w:drawing>
      </w:r>
      <w:r>
        <w:rPr>
          <w:b/>
          <w:sz w:val="24"/>
        </w:rPr>
        <w:t>Establecimiento Comercial: </w:t>
      </w:r>
      <w:r>
        <w:rPr>
          <w:sz w:val="24"/>
        </w:rPr>
        <w:t>Toda unidad económica instalada en un inmueble con domicilio permanente para la realización de actividades comerciales, industriales o de prestación de servicios y nomenclatura oficial proporcionada por la autoridad municipal o la concesión vigente del espacio público donde se encuentre.</w:t>
      </w:r>
    </w:p>
    <w:p>
      <w:pPr>
        <w:pStyle w:val="BodyText"/>
      </w:pPr>
    </w:p>
    <w:p>
      <w:pPr>
        <w:pStyle w:val="ListParagraph"/>
        <w:numPr>
          <w:ilvl w:val="0"/>
          <w:numId w:val="1"/>
        </w:numPr>
        <w:tabs>
          <w:tab w:pos="1394" w:val="left" w:leader="none"/>
        </w:tabs>
        <w:spacing w:line="240" w:lineRule="auto" w:before="0" w:after="0"/>
        <w:ind w:left="1394" w:right="438" w:hanging="994"/>
        <w:jc w:val="both"/>
        <w:rPr>
          <w:sz w:val="24"/>
        </w:rPr>
      </w:pPr>
      <w:r>
        <w:rPr>
          <w:b/>
          <w:sz w:val="24"/>
        </w:rPr>
        <w:t>Estación de Transferencia: </w:t>
      </w:r>
      <w:r>
        <w:rPr>
          <w:sz w:val="24"/>
        </w:rPr>
        <w:t>Instalaciones donde se realiza el trasvase de los residuos de vehículos de recolección a vehículos de transporte con el objetivo de eficientar el traslado de los residuos para su</w:t>
      </w:r>
      <w:r>
        <w:rPr>
          <w:spacing w:val="-8"/>
          <w:sz w:val="24"/>
        </w:rPr>
        <w:t> </w:t>
      </w:r>
      <w:r>
        <w:rPr>
          <w:sz w:val="24"/>
        </w:rPr>
        <w:t>manejo.</w:t>
      </w:r>
    </w:p>
    <w:p>
      <w:pPr>
        <w:pStyle w:val="BodyText"/>
        <w:spacing w:before="1"/>
      </w:pPr>
    </w:p>
    <w:p>
      <w:pPr>
        <w:pStyle w:val="ListParagraph"/>
        <w:numPr>
          <w:ilvl w:val="0"/>
          <w:numId w:val="1"/>
        </w:numPr>
        <w:tabs>
          <w:tab w:pos="1394" w:val="left" w:leader="none"/>
        </w:tabs>
        <w:spacing w:line="240" w:lineRule="auto" w:before="0" w:after="0"/>
        <w:ind w:left="1394" w:right="439" w:hanging="994"/>
        <w:jc w:val="both"/>
        <w:rPr>
          <w:sz w:val="24"/>
        </w:rPr>
      </w:pPr>
      <w:r>
        <w:rPr>
          <w:b/>
          <w:sz w:val="24"/>
        </w:rPr>
        <w:t>Índice de incumplimiento: </w:t>
      </w:r>
      <w:r>
        <w:rPr>
          <w:sz w:val="24"/>
        </w:rPr>
        <w:t>Cantidad de veces que la concentración de cada contaminante en las descargas residuales vertidas, rebasa los límites máximos permisibles establecidos en la Ley, la cual se obtiene de la diferencia entre la concentración de contaminantes de las descargas de agua residuales y la concentración establecida como límite máximo permisible, dividida por esta última.</w:t>
      </w:r>
    </w:p>
    <w:p>
      <w:pPr>
        <w:pStyle w:val="BodyText"/>
      </w:pPr>
    </w:p>
    <w:p>
      <w:pPr>
        <w:pStyle w:val="ListParagraph"/>
        <w:numPr>
          <w:ilvl w:val="0"/>
          <w:numId w:val="1"/>
        </w:numPr>
        <w:tabs>
          <w:tab w:pos="1394" w:val="left" w:leader="none"/>
        </w:tabs>
        <w:spacing w:line="240" w:lineRule="auto" w:before="0" w:after="0"/>
        <w:ind w:left="1394" w:right="436" w:hanging="994"/>
        <w:jc w:val="both"/>
        <w:rPr>
          <w:sz w:val="24"/>
        </w:rPr>
      </w:pPr>
      <w:r>
        <w:rPr>
          <w:b/>
          <w:sz w:val="24"/>
        </w:rPr>
        <w:t>Infraestructura: </w:t>
      </w:r>
      <w:r>
        <w:rPr>
          <w:sz w:val="24"/>
        </w:rPr>
        <w:t>Obra pública destinada a brindar servicios institucionales y/o comunicación, como redes de conducción de agua potable, eliminación de aguas residuales y/o pluviales, puentes, alcantarillas, pavimentaciones, redes, áreas, telecomunicaciones, entre</w:t>
      </w:r>
      <w:r>
        <w:rPr>
          <w:spacing w:val="-1"/>
          <w:sz w:val="24"/>
        </w:rPr>
        <w:t> </w:t>
      </w:r>
      <w:r>
        <w:rPr>
          <w:sz w:val="24"/>
        </w:rPr>
        <w:t>otros.</w:t>
      </w:r>
    </w:p>
    <w:p>
      <w:pPr>
        <w:pStyle w:val="BodyText"/>
        <w:spacing w:before="1"/>
      </w:pPr>
    </w:p>
    <w:p>
      <w:pPr>
        <w:pStyle w:val="ListParagraph"/>
        <w:numPr>
          <w:ilvl w:val="0"/>
          <w:numId w:val="1"/>
        </w:numPr>
        <w:tabs>
          <w:tab w:pos="1394" w:val="left" w:leader="none"/>
        </w:tabs>
        <w:spacing w:line="240" w:lineRule="auto" w:before="0" w:after="0"/>
        <w:ind w:left="1394" w:right="440" w:hanging="994"/>
        <w:jc w:val="both"/>
        <w:rPr>
          <w:sz w:val="24"/>
        </w:rPr>
      </w:pPr>
      <w:r>
        <w:rPr>
          <w:b/>
          <w:sz w:val="24"/>
        </w:rPr>
        <w:t>Ingreso Extraordinario: </w:t>
      </w:r>
      <w:r>
        <w:rPr>
          <w:sz w:val="24"/>
        </w:rPr>
        <w:t>Se entenderá por los Empréstitos, los apoyos y subsidios federales así como aquellos cuya percepción se decrete excepcionalmente.</w:t>
      </w:r>
    </w:p>
    <w:p>
      <w:pPr>
        <w:pStyle w:val="BodyText"/>
      </w:pPr>
    </w:p>
    <w:p>
      <w:pPr>
        <w:pStyle w:val="ListParagraph"/>
        <w:numPr>
          <w:ilvl w:val="0"/>
          <w:numId w:val="1"/>
        </w:numPr>
        <w:tabs>
          <w:tab w:pos="1394" w:val="left" w:leader="none"/>
        </w:tabs>
        <w:spacing w:line="240" w:lineRule="auto" w:before="0" w:after="0"/>
        <w:ind w:left="1394" w:right="432" w:hanging="994"/>
        <w:jc w:val="both"/>
        <w:rPr>
          <w:sz w:val="24"/>
        </w:rPr>
      </w:pPr>
      <w:r>
        <w:rPr>
          <w:b/>
          <w:sz w:val="24"/>
        </w:rPr>
        <w:t>Licencia ambiental: </w:t>
      </w:r>
      <w:r>
        <w:rPr>
          <w:sz w:val="24"/>
        </w:rPr>
        <w:t>Documento para el control y regularización del impacto ambiental de los establecimientos y puestos comerciales, (negocios o servicios) que por sus procesos y actividades generan contaminación por ruido, partículas suspendidas, emisión de contaminantes a la atmosfera y descargas de aguas residuales al sistema del drenaje municipal con el fin de prevenir el desequilibrio ecológico del municipio de Tepic, conforme a las atribuciones</w:t>
      </w:r>
      <w:r>
        <w:rPr>
          <w:spacing w:val="-18"/>
          <w:sz w:val="24"/>
        </w:rPr>
        <w:t> </w:t>
      </w:r>
      <w:r>
        <w:rPr>
          <w:sz w:val="24"/>
        </w:rPr>
        <w:t>municipales.</w:t>
      </w:r>
    </w:p>
    <w:p>
      <w:pPr>
        <w:pStyle w:val="BodyText"/>
        <w:spacing w:before="10"/>
        <w:rPr>
          <w:sz w:val="23"/>
        </w:rPr>
      </w:pPr>
    </w:p>
    <w:p>
      <w:pPr>
        <w:pStyle w:val="ListParagraph"/>
        <w:numPr>
          <w:ilvl w:val="0"/>
          <w:numId w:val="1"/>
        </w:numPr>
        <w:tabs>
          <w:tab w:pos="1394" w:val="left" w:leader="none"/>
        </w:tabs>
        <w:spacing w:line="240" w:lineRule="auto" w:before="0" w:after="0"/>
        <w:ind w:left="1394" w:right="439" w:hanging="994"/>
        <w:jc w:val="both"/>
        <w:rPr>
          <w:sz w:val="24"/>
        </w:rPr>
      </w:pPr>
      <w:r>
        <w:rPr>
          <w:b/>
          <w:sz w:val="24"/>
        </w:rPr>
        <w:t>Local o accesorio: </w:t>
      </w:r>
      <w:r>
        <w:rPr>
          <w:sz w:val="24"/>
        </w:rPr>
        <w:t>Cada uno de los espacios abiertos o cerrados en que se divide el interior o exterior de los mercados, unidades deportivas o alguna otra instalación del municipio, conforme su estructura original, para la realización de actividades comerciales, industriales o de prestación de</w:t>
      </w:r>
      <w:r>
        <w:rPr>
          <w:spacing w:val="-9"/>
          <w:sz w:val="24"/>
        </w:rPr>
        <w:t> </w:t>
      </w:r>
      <w:r>
        <w:rPr>
          <w:sz w:val="24"/>
        </w:rPr>
        <w:t>servicios.</w:t>
      </w:r>
    </w:p>
    <w:p>
      <w:pPr>
        <w:pStyle w:val="BodyText"/>
      </w:pPr>
    </w:p>
    <w:p>
      <w:pPr>
        <w:pStyle w:val="ListParagraph"/>
        <w:numPr>
          <w:ilvl w:val="0"/>
          <w:numId w:val="1"/>
        </w:numPr>
        <w:tabs>
          <w:tab w:pos="1394" w:val="left" w:leader="none"/>
        </w:tabs>
        <w:spacing w:line="240" w:lineRule="auto" w:before="0" w:after="0"/>
        <w:ind w:left="1394" w:right="437" w:hanging="994"/>
        <w:jc w:val="both"/>
        <w:rPr>
          <w:sz w:val="24"/>
        </w:rPr>
      </w:pPr>
      <w:r>
        <w:rPr>
          <w:b/>
          <w:sz w:val="24"/>
        </w:rPr>
        <w:t>Licencia Municipal: </w:t>
      </w:r>
      <w:r>
        <w:rPr>
          <w:sz w:val="24"/>
        </w:rPr>
        <w:t>Documento mediante el cual, el Ayuntamiento autoriza a una persona física y/o moral a desarrollar actividades comerciales, industriales, servicios, urbanización, construcción, edificación y uso de</w:t>
      </w:r>
      <w:r>
        <w:rPr>
          <w:spacing w:val="-5"/>
          <w:sz w:val="24"/>
        </w:rPr>
        <w:t> </w:t>
      </w:r>
      <w:r>
        <w:rPr>
          <w:sz w:val="24"/>
        </w:rPr>
        <w:t>suelo.</w:t>
      </w:r>
    </w:p>
    <w:p>
      <w:pPr>
        <w:pStyle w:val="BodyText"/>
      </w:pPr>
    </w:p>
    <w:p>
      <w:pPr>
        <w:pStyle w:val="ListParagraph"/>
        <w:numPr>
          <w:ilvl w:val="0"/>
          <w:numId w:val="1"/>
        </w:numPr>
        <w:tabs>
          <w:tab w:pos="1394" w:val="left" w:leader="none"/>
        </w:tabs>
        <w:spacing w:line="240" w:lineRule="auto" w:before="0" w:after="0"/>
        <w:ind w:left="1394" w:right="438" w:hanging="994"/>
        <w:jc w:val="both"/>
        <w:rPr>
          <w:sz w:val="24"/>
        </w:rPr>
      </w:pPr>
      <w:r>
        <w:rPr>
          <w:b/>
          <w:sz w:val="24"/>
        </w:rPr>
        <w:t>Metales pesados y cianuros: </w:t>
      </w:r>
      <w:r>
        <w:rPr>
          <w:sz w:val="24"/>
        </w:rPr>
        <w:t>Son aquellos elementos o compuestos que en concentraciones por encima de determinados límites, pueda producir</w:t>
      </w:r>
      <w:r>
        <w:rPr>
          <w:spacing w:val="43"/>
          <w:sz w:val="24"/>
        </w:rPr>
        <w:t> </w:t>
      </w:r>
      <w:r>
        <w:rPr>
          <w:sz w:val="24"/>
        </w:rPr>
        <w:t>efectos</w:t>
      </w:r>
    </w:p>
    <w:p>
      <w:pPr>
        <w:spacing w:after="0" w:line="240" w:lineRule="auto"/>
        <w:jc w:val="both"/>
        <w:rPr>
          <w:sz w:val="24"/>
        </w:rPr>
        <w:sectPr>
          <w:pgSz w:w="12250" w:h="15850"/>
          <w:pgMar w:header="730" w:footer="0" w:top="1000" w:bottom="280" w:left="860" w:right="820"/>
        </w:sectPr>
      </w:pPr>
    </w:p>
    <w:p>
      <w:pPr>
        <w:pStyle w:val="BodyText"/>
        <w:spacing w:before="183"/>
        <w:ind w:left="1394" w:right="484"/>
      </w:pPr>
      <w:r>
        <w:rPr/>
        <w:t>negativos para la salud, flora o fauna. Se considera el arsénico, cadmio, cobre, cromo, mercurio, níquel, plomo, zinc y los cianuros.</w:t>
      </w:r>
    </w:p>
    <w:p>
      <w:pPr>
        <w:pStyle w:val="BodyText"/>
      </w:pPr>
    </w:p>
    <w:p>
      <w:pPr>
        <w:pStyle w:val="ListParagraph"/>
        <w:numPr>
          <w:ilvl w:val="0"/>
          <w:numId w:val="1"/>
        </w:numPr>
        <w:tabs>
          <w:tab w:pos="1394" w:val="left" w:leader="none"/>
        </w:tabs>
        <w:spacing w:line="240" w:lineRule="auto" w:before="0" w:after="0"/>
        <w:ind w:left="1394" w:right="435" w:hanging="994"/>
        <w:jc w:val="both"/>
        <w:rPr>
          <w:sz w:val="24"/>
        </w:rPr>
      </w:pPr>
      <w:r>
        <w:rPr>
          <w:b/>
          <w:sz w:val="24"/>
        </w:rPr>
        <w:t>Opinión técnica: </w:t>
      </w:r>
      <w:r>
        <w:rPr>
          <w:sz w:val="24"/>
        </w:rPr>
        <w:t>Estudio técnico que se elabora después de una verificación de campo de las condiciones del medio físico y social, que sustenta el análisis del contenido de las solicitudes hechas por</w:t>
      </w:r>
      <w:r>
        <w:rPr>
          <w:spacing w:val="-5"/>
          <w:sz w:val="24"/>
        </w:rPr>
        <w:t> </w:t>
      </w:r>
      <w:r>
        <w:rPr>
          <w:sz w:val="24"/>
        </w:rPr>
        <w:t>particulares.</w:t>
      </w:r>
    </w:p>
    <w:p>
      <w:pPr>
        <w:pStyle w:val="BodyText"/>
      </w:pPr>
    </w:p>
    <w:p>
      <w:pPr>
        <w:pStyle w:val="ListParagraph"/>
        <w:numPr>
          <w:ilvl w:val="0"/>
          <w:numId w:val="1"/>
        </w:numPr>
        <w:tabs>
          <w:tab w:pos="1394" w:val="left" w:leader="none"/>
        </w:tabs>
        <w:spacing w:line="240" w:lineRule="auto" w:before="0" w:after="0"/>
        <w:ind w:left="1394" w:right="437" w:hanging="994"/>
        <w:jc w:val="both"/>
        <w:rPr>
          <w:sz w:val="24"/>
        </w:rPr>
      </w:pPr>
      <w:r>
        <w:rPr/>
        <w:drawing>
          <wp:anchor distT="0" distB="0" distL="0" distR="0" allowOverlap="1" layoutInCell="1" locked="0" behindDoc="1" simplePos="0" relativeHeight="227473408">
            <wp:simplePos x="0" y="0"/>
            <wp:positionH relativeFrom="page">
              <wp:posOffset>1317324</wp:posOffset>
            </wp:positionH>
            <wp:positionV relativeFrom="paragraph">
              <wp:posOffset>170127</wp:posOffset>
            </wp:positionV>
            <wp:extent cx="5022642" cy="514477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5022642" cy="5144770"/>
                    </a:xfrm>
                    <a:prstGeom prst="rect">
                      <a:avLst/>
                    </a:prstGeom>
                  </pic:spPr>
                </pic:pic>
              </a:graphicData>
            </a:graphic>
          </wp:anchor>
        </w:drawing>
      </w:r>
      <w:r>
        <w:rPr>
          <w:b/>
          <w:sz w:val="24"/>
        </w:rPr>
        <w:t>Padrón de Contribuyentes: </w:t>
      </w:r>
      <w:r>
        <w:rPr>
          <w:sz w:val="24"/>
        </w:rPr>
        <w:t>Registro administrativo ordenado donde constan los y las contribuyentes del</w:t>
      </w:r>
      <w:r>
        <w:rPr>
          <w:spacing w:val="-3"/>
          <w:sz w:val="24"/>
        </w:rPr>
        <w:t> </w:t>
      </w:r>
      <w:r>
        <w:rPr>
          <w:sz w:val="24"/>
        </w:rPr>
        <w:t>municipio.</w:t>
      </w:r>
    </w:p>
    <w:p>
      <w:pPr>
        <w:pStyle w:val="BodyText"/>
      </w:pPr>
    </w:p>
    <w:p>
      <w:pPr>
        <w:pStyle w:val="ListParagraph"/>
        <w:numPr>
          <w:ilvl w:val="0"/>
          <w:numId w:val="1"/>
        </w:numPr>
        <w:tabs>
          <w:tab w:pos="1394" w:val="left" w:leader="none"/>
        </w:tabs>
        <w:spacing w:line="240" w:lineRule="auto" w:before="0" w:after="0"/>
        <w:ind w:left="1394" w:right="433" w:hanging="994"/>
        <w:jc w:val="both"/>
        <w:rPr>
          <w:sz w:val="24"/>
        </w:rPr>
      </w:pPr>
      <w:r>
        <w:rPr>
          <w:b/>
          <w:sz w:val="24"/>
        </w:rPr>
        <w:t>Permiso: </w:t>
      </w:r>
      <w:r>
        <w:rPr>
          <w:sz w:val="24"/>
        </w:rPr>
        <w:t>La autorización municipal para la realización de actividades comerciales, industriales o de prestación de servicios, en una localización fija y por un tiempo</w:t>
      </w:r>
      <w:r>
        <w:rPr>
          <w:spacing w:val="-5"/>
          <w:sz w:val="24"/>
        </w:rPr>
        <w:t> </w:t>
      </w:r>
      <w:r>
        <w:rPr>
          <w:sz w:val="24"/>
        </w:rPr>
        <w:t>determinado.</w:t>
      </w:r>
    </w:p>
    <w:p>
      <w:pPr>
        <w:pStyle w:val="BodyText"/>
        <w:spacing w:before="1"/>
      </w:pPr>
    </w:p>
    <w:p>
      <w:pPr>
        <w:pStyle w:val="ListParagraph"/>
        <w:numPr>
          <w:ilvl w:val="0"/>
          <w:numId w:val="1"/>
        </w:numPr>
        <w:tabs>
          <w:tab w:pos="1394" w:val="left" w:leader="none"/>
        </w:tabs>
        <w:spacing w:line="240" w:lineRule="auto" w:before="0" w:after="0"/>
        <w:ind w:left="1394" w:right="437" w:hanging="994"/>
        <w:jc w:val="both"/>
        <w:rPr>
          <w:sz w:val="24"/>
        </w:rPr>
      </w:pPr>
      <w:r>
        <w:rPr>
          <w:b/>
          <w:sz w:val="24"/>
        </w:rPr>
        <w:t>Permiso Ambiental: </w:t>
      </w:r>
      <w:r>
        <w:rPr>
          <w:sz w:val="24"/>
        </w:rPr>
        <w:t>La autorización para control y regularización del impacto ambiental del comercio ambulante (fijo, semifijo y móvil). No mayor a tres</w:t>
      </w:r>
      <w:r>
        <w:rPr>
          <w:spacing w:val="-21"/>
          <w:sz w:val="24"/>
        </w:rPr>
        <w:t> </w:t>
      </w:r>
      <w:r>
        <w:rPr>
          <w:sz w:val="24"/>
        </w:rPr>
        <w:t>meses.</w:t>
      </w:r>
    </w:p>
    <w:p>
      <w:pPr>
        <w:pStyle w:val="BodyText"/>
      </w:pPr>
    </w:p>
    <w:p>
      <w:pPr>
        <w:pStyle w:val="ListParagraph"/>
        <w:numPr>
          <w:ilvl w:val="0"/>
          <w:numId w:val="1"/>
        </w:numPr>
        <w:tabs>
          <w:tab w:pos="1394" w:val="left" w:leader="none"/>
        </w:tabs>
        <w:spacing w:line="240" w:lineRule="auto" w:before="0" w:after="0"/>
        <w:ind w:left="1394" w:right="439" w:hanging="994"/>
        <w:jc w:val="both"/>
        <w:rPr>
          <w:sz w:val="24"/>
        </w:rPr>
      </w:pPr>
      <w:r>
        <w:rPr>
          <w:b/>
          <w:sz w:val="24"/>
        </w:rPr>
        <w:t>Permiso Temporal: </w:t>
      </w:r>
      <w:r>
        <w:rPr>
          <w:sz w:val="24"/>
        </w:rPr>
        <w:t>La autorización para ejercer, el comercio ambulante (fijo, semifijo y móvil), no mayor a tres</w:t>
      </w:r>
      <w:r>
        <w:rPr>
          <w:spacing w:val="-5"/>
          <w:sz w:val="24"/>
        </w:rPr>
        <w:t> </w:t>
      </w:r>
      <w:r>
        <w:rPr>
          <w:sz w:val="24"/>
        </w:rPr>
        <w:t>meses.</w:t>
      </w:r>
    </w:p>
    <w:p>
      <w:pPr>
        <w:pStyle w:val="BodyText"/>
      </w:pPr>
    </w:p>
    <w:p>
      <w:pPr>
        <w:pStyle w:val="ListParagraph"/>
        <w:numPr>
          <w:ilvl w:val="0"/>
          <w:numId w:val="1"/>
        </w:numPr>
        <w:tabs>
          <w:tab w:pos="1394" w:val="left" w:leader="none"/>
        </w:tabs>
        <w:spacing w:line="240" w:lineRule="auto" w:before="0" w:after="0"/>
        <w:ind w:left="1394" w:right="433" w:hanging="994"/>
        <w:jc w:val="both"/>
        <w:rPr>
          <w:sz w:val="24"/>
        </w:rPr>
      </w:pPr>
      <w:r>
        <w:rPr>
          <w:b/>
          <w:sz w:val="24"/>
        </w:rPr>
        <w:t>Plan de Manejo: </w:t>
      </w:r>
      <w:r>
        <w:rPr>
          <w:sz w:val="24"/>
        </w:rPr>
        <w:t>Instrumento cuyo objetivo es minimizar la generación y maximizar la valorización de residuos sólidos urbanos, residuos de manejo especial y residuos peligrosos específicos, bajo criterios de eficiencia ambiental, tecnológica, económica y social, con fundamento en el Diagnóstico Básico para la Gestión Integral de Residuos, diseñado bajo los principios de responsabilidad compartida y manejo integral que considera el conjunto de acciones, procedimientos y medios viables e involucra a productores, importadores, exportadores, distribuidores, comerciantes, consumidores, usuarios de subproductos y grandes generadores de residuos, según corresponda, así como a los tres órdenes de</w:t>
      </w:r>
      <w:r>
        <w:rPr>
          <w:spacing w:val="-7"/>
          <w:sz w:val="24"/>
        </w:rPr>
        <w:t> </w:t>
      </w:r>
      <w:r>
        <w:rPr>
          <w:sz w:val="24"/>
        </w:rPr>
        <w:t>gobierno.</w:t>
      </w:r>
    </w:p>
    <w:p>
      <w:pPr>
        <w:pStyle w:val="BodyText"/>
        <w:spacing w:before="1"/>
      </w:pPr>
    </w:p>
    <w:p>
      <w:pPr>
        <w:pStyle w:val="ListParagraph"/>
        <w:numPr>
          <w:ilvl w:val="0"/>
          <w:numId w:val="1"/>
        </w:numPr>
        <w:tabs>
          <w:tab w:pos="1394" w:val="left" w:leader="none"/>
        </w:tabs>
        <w:spacing w:line="240" w:lineRule="auto" w:before="0" w:after="0"/>
        <w:ind w:left="1394" w:right="438" w:hanging="994"/>
        <w:jc w:val="both"/>
        <w:rPr>
          <w:sz w:val="24"/>
        </w:rPr>
      </w:pPr>
      <w:r>
        <w:rPr>
          <w:b/>
          <w:sz w:val="24"/>
        </w:rPr>
        <w:t>Planta de Reciclaje: </w:t>
      </w:r>
      <w:r>
        <w:rPr>
          <w:sz w:val="24"/>
        </w:rPr>
        <w:t>Instalación donde se realiza la transformación de los residuos a través de distintos procesos que permiten restituir su valor económico, evitando así su disposición</w:t>
      </w:r>
      <w:r>
        <w:rPr>
          <w:spacing w:val="-2"/>
          <w:sz w:val="24"/>
        </w:rPr>
        <w:t> </w:t>
      </w:r>
      <w:r>
        <w:rPr>
          <w:sz w:val="24"/>
        </w:rPr>
        <w:t>final.</w:t>
      </w:r>
    </w:p>
    <w:p>
      <w:pPr>
        <w:pStyle w:val="BodyText"/>
      </w:pPr>
    </w:p>
    <w:p>
      <w:pPr>
        <w:pStyle w:val="ListParagraph"/>
        <w:numPr>
          <w:ilvl w:val="0"/>
          <w:numId w:val="1"/>
        </w:numPr>
        <w:tabs>
          <w:tab w:pos="1394" w:val="left" w:leader="none"/>
        </w:tabs>
        <w:spacing w:line="240" w:lineRule="auto" w:before="0" w:after="0"/>
        <w:ind w:left="1394" w:right="431" w:hanging="994"/>
        <w:jc w:val="both"/>
        <w:rPr>
          <w:sz w:val="24"/>
        </w:rPr>
      </w:pPr>
      <w:r>
        <w:rPr>
          <w:b/>
          <w:sz w:val="24"/>
        </w:rPr>
        <w:t>Plantas nativas: </w:t>
      </w:r>
      <w:r>
        <w:rPr>
          <w:sz w:val="24"/>
        </w:rPr>
        <w:t>Las plantas nativas son las que han crecido en un lugar determinado previo a la intervención del hombre, evolucionado para crecer y florecer a partir de las condiciones climáticas y de suelo particulares de un lugar específicos, desarrollando mecanismos de supervivencia e interacciones con otras</w:t>
      </w:r>
      <w:r>
        <w:rPr>
          <w:spacing w:val="-1"/>
          <w:sz w:val="24"/>
        </w:rPr>
        <w:t> </w:t>
      </w:r>
      <w:r>
        <w:rPr>
          <w:sz w:val="24"/>
        </w:rPr>
        <w:t>especies.</w:t>
      </w:r>
    </w:p>
    <w:p>
      <w:pPr>
        <w:pStyle w:val="BodyText"/>
        <w:spacing w:before="1"/>
      </w:pPr>
    </w:p>
    <w:p>
      <w:pPr>
        <w:pStyle w:val="BodyText"/>
        <w:ind w:left="1394" w:right="433" w:hanging="994"/>
        <w:jc w:val="both"/>
      </w:pPr>
      <w:r>
        <w:rPr>
          <w:b/>
        </w:rPr>
        <w:t>XL. Puesto: </w:t>
      </w:r>
      <w:r>
        <w:rPr/>
        <w:t>Toda instalación fija o semifija,  permanente  o  eventual,  en  que  se  realicen actividades comerciales, industriales o de prestación de servicios y </w:t>
      </w:r>
      <w:r>
        <w:rPr>
          <w:spacing w:val="-2"/>
        </w:rPr>
        <w:t>que </w:t>
      </w:r>
      <w:r>
        <w:rPr/>
        <w:t>no quede comprendida en la fracción (Fracciones que regulen establecimiento y local o</w:t>
      </w:r>
      <w:r>
        <w:rPr>
          <w:spacing w:val="-3"/>
        </w:rPr>
        <w:t> </w:t>
      </w:r>
      <w:r>
        <w:rPr/>
        <w:t>accesorio).</w:t>
      </w:r>
    </w:p>
    <w:p>
      <w:pPr>
        <w:pStyle w:val="BodyText"/>
      </w:pPr>
    </w:p>
    <w:p>
      <w:pPr>
        <w:pStyle w:val="BodyText"/>
        <w:ind w:left="1394" w:right="432" w:hanging="994"/>
        <w:jc w:val="both"/>
      </w:pPr>
      <w:r>
        <w:rPr>
          <w:b/>
        </w:rPr>
        <w:t>XLI.     Puesto comercial: </w:t>
      </w:r>
      <w:r>
        <w:rPr/>
        <w:t>Toda instalación fija, semifija o móvil, permanente o eventual, en que se realicen actividades comerciales, industriales o de prestación de servicios y que no quede comprendida en las definiciones</w:t>
      </w:r>
      <w:r>
        <w:rPr>
          <w:spacing w:val="-13"/>
        </w:rPr>
        <w:t> </w:t>
      </w:r>
      <w:r>
        <w:rPr/>
        <w:t>anteriores.</w:t>
      </w:r>
    </w:p>
    <w:p>
      <w:pPr>
        <w:spacing w:after="0"/>
        <w:jc w:val="both"/>
        <w:sectPr>
          <w:pgSz w:w="12250" w:h="15850"/>
          <w:pgMar w:header="730" w:footer="0" w:top="1000" w:bottom="280" w:left="860" w:right="820"/>
        </w:sectPr>
      </w:pPr>
    </w:p>
    <w:p>
      <w:pPr>
        <w:pStyle w:val="BodyText"/>
        <w:spacing w:before="1"/>
        <w:rPr>
          <w:sz w:val="9"/>
        </w:rPr>
      </w:pPr>
    </w:p>
    <w:p>
      <w:pPr>
        <w:pStyle w:val="BodyText"/>
        <w:spacing w:before="93"/>
        <w:ind w:left="1394" w:right="439" w:hanging="994"/>
        <w:jc w:val="both"/>
      </w:pPr>
      <w:r>
        <w:rPr>
          <w:b/>
        </w:rPr>
        <w:t>XLII. Puesto fijo: </w:t>
      </w:r>
      <w:r>
        <w:rPr/>
        <w:t>Estructura determinada para efectos de la realización de actividades comerciales, industriales o de prestación de servicios anclados o adherido al suelo o construcción en forma permanente, aun formando parte de algún predio, o finca de carácter público o</w:t>
      </w:r>
      <w:r>
        <w:rPr>
          <w:spacing w:val="-3"/>
        </w:rPr>
        <w:t> </w:t>
      </w:r>
      <w:r>
        <w:rPr/>
        <w:t>privado.</w:t>
      </w:r>
    </w:p>
    <w:p>
      <w:pPr>
        <w:pStyle w:val="BodyText"/>
      </w:pPr>
    </w:p>
    <w:p>
      <w:pPr>
        <w:pStyle w:val="BodyText"/>
        <w:ind w:left="1394" w:right="439" w:hanging="994"/>
        <w:jc w:val="both"/>
      </w:pPr>
      <w:r>
        <w:rPr/>
        <w:drawing>
          <wp:anchor distT="0" distB="0" distL="0" distR="0" allowOverlap="1" layoutInCell="1" locked="0" behindDoc="1" simplePos="0" relativeHeight="227474432">
            <wp:simplePos x="0" y="0"/>
            <wp:positionH relativeFrom="page">
              <wp:posOffset>1326849</wp:posOffset>
            </wp:positionH>
            <wp:positionV relativeFrom="paragraph">
              <wp:posOffset>511503</wp:posOffset>
            </wp:positionV>
            <wp:extent cx="5022642" cy="514477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5022642" cy="5144770"/>
                    </a:xfrm>
                    <a:prstGeom prst="rect">
                      <a:avLst/>
                    </a:prstGeom>
                  </pic:spPr>
                </pic:pic>
              </a:graphicData>
            </a:graphic>
          </wp:anchor>
        </w:drawing>
      </w:r>
      <w:r>
        <w:rPr>
          <w:b/>
        </w:rPr>
        <w:t>XLIII. Puesto móvil o ambulante: </w:t>
      </w:r>
      <w:r>
        <w:rPr/>
        <w:t>Se refiere a la instalación en la vía pública, que de manera esporádica u ordinaria, se utiliza para realizar actividades de venta cuya mercancía es trasladada por las y los vendedores en estructuras móviles.</w:t>
      </w:r>
    </w:p>
    <w:p>
      <w:pPr>
        <w:pStyle w:val="BodyText"/>
      </w:pPr>
    </w:p>
    <w:p>
      <w:pPr>
        <w:pStyle w:val="BodyText"/>
        <w:ind w:left="1394" w:right="438" w:hanging="994"/>
        <w:jc w:val="both"/>
      </w:pPr>
      <w:r>
        <w:rPr>
          <w:b/>
        </w:rPr>
        <w:t>XLIV. Puesto semifijo: </w:t>
      </w:r>
      <w:r>
        <w:rPr/>
        <w:t>Toda instalación de manera temporal de cualquier estructura, vehículo, remolque, o cualquier otro bien mueble, sin estar instalados, anclados o adheridos al suelo, banqueta o construcción alguna, de forma permanente e ininterrumpida; en vías o sitios públicos o privados, en el que realice alguna actividad comercial, industrial, o de prestación de servicios, de forma eventual o permanente.</w:t>
      </w:r>
    </w:p>
    <w:p>
      <w:pPr>
        <w:pStyle w:val="BodyText"/>
        <w:spacing w:before="1"/>
      </w:pPr>
    </w:p>
    <w:p>
      <w:pPr>
        <w:pStyle w:val="BodyText"/>
        <w:ind w:left="1394" w:right="432" w:hanging="994"/>
        <w:jc w:val="both"/>
      </w:pPr>
      <w:r>
        <w:rPr>
          <w:b/>
        </w:rPr>
        <w:t>XLV. Predio Construido: </w:t>
      </w:r>
      <w:r>
        <w:rPr/>
        <w:t>Se enterará como aquella construcción de un edificio  o cualquier otra obra cubierta, para albergar personas. De igual forma, se entenderá como predio construido el que contenga o presente al menos barda perimetral construida en piedra, adobe, ladrillo, block o cualquier otro material solido que sirva para separar un terreno o construcción de otros y para protegerlos o</w:t>
      </w:r>
      <w:r>
        <w:rPr>
          <w:spacing w:val="-2"/>
        </w:rPr>
        <w:t> </w:t>
      </w:r>
      <w:r>
        <w:rPr/>
        <w:t>aislarlos</w:t>
      </w:r>
    </w:p>
    <w:p>
      <w:pPr>
        <w:pStyle w:val="BodyText"/>
      </w:pPr>
    </w:p>
    <w:p>
      <w:pPr>
        <w:spacing w:before="0"/>
        <w:ind w:left="1394" w:right="438" w:hanging="994"/>
        <w:jc w:val="both"/>
        <w:rPr>
          <w:sz w:val="24"/>
        </w:rPr>
      </w:pPr>
      <w:r>
        <w:rPr>
          <w:b/>
          <w:sz w:val="24"/>
        </w:rPr>
        <w:t>XLVI. Predio no edificado o baldío:  </w:t>
      </w:r>
      <w:r>
        <w:rPr>
          <w:sz w:val="24"/>
        </w:rPr>
        <w:t>Se entenderá como aquel que no cuenta con  ningún tipo de edificación o que no se usa con un objetivo</w:t>
      </w:r>
      <w:r>
        <w:rPr>
          <w:spacing w:val="-9"/>
          <w:sz w:val="24"/>
        </w:rPr>
        <w:t> </w:t>
      </w:r>
      <w:r>
        <w:rPr>
          <w:sz w:val="24"/>
        </w:rPr>
        <w:t>definido.</w:t>
      </w:r>
    </w:p>
    <w:p>
      <w:pPr>
        <w:pStyle w:val="BodyText"/>
        <w:spacing w:before="1"/>
      </w:pPr>
    </w:p>
    <w:p>
      <w:pPr>
        <w:pStyle w:val="BodyText"/>
        <w:ind w:left="1394" w:right="437" w:hanging="994"/>
        <w:jc w:val="both"/>
      </w:pPr>
      <w:r>
        <w:rPr>
          <w:b/>
        </w:rPr>
        <w:t>XLVII. Sendero interpretativo: </w:t>
      </w:r>
      <w:r>
        <w:rPr/>
        <w:t>Herramienta educativa con la cual se  busca  la  integración de la sociedad civil, grupos locales y visitantes, a los procesos de conservación de áreas naturales, permite el contacto directo de las personas usuarias con los valores, bienes y servicios ambientales sobre los cuales se quiere dar un</w:t>
      </w:r>
      <w:r>
        <w:rPr>
          <w:spacing w:val="-5"/>
        </w:rPr>
        <w:t> </w:t>
      </w:r>
      <w:r>
        <w:rPr/>
        <w:t>mensaje.</w:t>
      </w:r>
    </w:p>
    <w:p>
      <w:pPr>
        <w:pStyle w:val="BodyText"/>
      </w:pPr>
    </w:p>
    <w:p>
      <w:pPr>
        <w:pStyle w:val="BodyText"/>
        <w:ind w:left="1394" w:right="437" w:hanging="994"/>
        <w:jc w:val="both"/>
      </w:pPr>
      <w:r>
        <w:rPr>
          <w:b/>
        </w:rPr>
        <w:t>XLVIII. Tarjeta de identificación de giro: </w:t>
      </w:r>
      <w:r>
        <w:rPr/>
        <w:t>Es el documento que expide la Tesorería Municipal, previo a la autorización de la licencia de funcionamiento, en el cual se identifica el giro de un establecimiento, conforme al catálogo de giros vigente en el</w:t>
      </w:r>
      <w:r>
        <w:rPr>
          <w:spacing w:val="-1"/>
        </w:rPr>
        <w:t> </w:t>
      </w:r>
      <w:r>
        <w:rPr/>
        <w:t>municipio.</w:t>
      </w:r>
    </w:p>
    <w:p>
      <w:pPr>
        <w:pStyle w:val="BodyText"/>
        <w:spacing w:before="10"/>
        <w:rPr>
          <w:sz w:val="23"/>
        </w:rPr>
      </w:pPr>
    </w:p>
    <w:p>
      <w:pPr>
        <w:spacing w:before="0"/>
        <w:ind w:left="1394" w:right="433" w:hanging="994"/>
        <w:jc w:val="both"/>
        <w:rPr>
          <w:sz w:val="24"/>
        </w:rPr>
      </w:pPr>
      <w:r>
        <w:rPr>
          <w:b/>
          <w:sz w:val="24"/>
        </w:rPr>
        <w:t>XLIX. Terreno para vivienda de tipo social progresivo: </w:t>
      </w:r>
      <w:r>
        <w:rPr>
          <w:sz w:val="24"/>
        </w:rPr>
        <w:t>Aquel auspiciado por organismos o dependencias públicas federales, estatales o municipales, que ejecuten programas de vivienda o cuyo valor no exceda de la cantidad</w:t>
      </w:r>
      <w:r>
        <w:rPr>
          <w:spacing w:val="5"/>
          <w:sz w:val="24"/>
        </w:rPr>
        <w:t> </w:t>
      </w:r>
      <w:r>
        <w:rPr>
          <w:sz w:val="24"/>
        </w:rPr>
        <w:t>de</w:t>
      </w:r>
    </w:p>
    <w:p>
      <w:pPr>
        <w:pStyle w:val="BodyText"/>
        <w:ind w:left="1394"/>
      </w:pPr>
      <w:r>
        <w:rPr/>
        <w:t>$88,275.25.</w:t>
      </w:r>
    </w:p>
    <w:p>
      <w:pPr>
        <w:pStyle w:val="BodyText"/>
      </w:pPr>
    </w:p>
    <w:p>
      <w:pPr>
        <w:pStyle w:val="ListParagraph"/>
        <w:numPr>
          <w:ilvl w:val="0"/>
          <w:numId w:val="2"/>
        </w:numPr>
        <w:tabs>
          <w:tab w:pos="1393" w:val="left" w:leader="none"/>
          <w:tab w:pos="1394" w:val="left" w:leader="none"/>
        </w:tabs>
        <w:spacing w:line="240" w:lineRule="auto" w:before="0" w:after="0"/>
        <w:ind w:left="1394" w:right="438" w:hanging="994"/>
        <w:jc w:val="both"/>
        <w:rPr>
          <w:sz w:val="24"/>
        </w:rPr>
      </w:pPr>
      <w:r>
        <w:rPr>
          <w:b/>
          <w:sz w:val="24"/>
        </w:rPr>
        <w:t>Transportista particular: </w:t>
      </w:r>
      <w:r>
        <w:rPr>
          <w:sz w:val="24"/>
        </w:rPr>
        <w:t>Persona física o moral que asume la responsabilidad de transportar los residuos generados por su propio establecimiento comercial u organización para su manejo</w:t>
      </w:r>
      <w:r>
        <w:rPr>
          <w:spacing w:val="-5"/>
          <w:sz w:val="24"/>
        </w:rPr>
        <w:t> </w:t>
      </w:r>
      <w:r>
        <w:rPr>
          <w:sz w:val="24"/>
        </w:rPr>
        <w:t>integral;</w:t>
      </w:r>
    </w:p>
    <w:p>
      <w:pPr>
        <w:pStyle w:val="BodyText"/>
      </w:pPr>
    </w:p>
    <w:p>
      <w:pPr>
        <w:pStyle w:val="BodyText"/>
        <w:tabs>
          <w:tab w:pos="1393" w:val="left" w:leader="none"/>
        </w:tabs>
        <w:ind w:left="1394" w:right="440" w:hanging="994"/>
        <w:jc w:val="both"/>
      </w:pPr>
      <w:r>
        <w:rPr>
          <w:b/>
        </w:rPr>
        <w:t>LI.</w:t>
        <w:tab/>
        <w:t>Usos: </w:t>
      </w:r>
      <w:r>
        <w:rPr/>
        <w:t>Los fines particulares a que podrán dedicarse determinadas zonas, áreas y predios de un centro de población; que en conjunción con los destinos determinarán la utilización del</w:t>
      </w:r>
      <w:r>
        <w:rPr>
          <w:spacing w:val="-2"/>
        </w:rPr>
        <w:t> </w:t>
      </w:r>
      <w:r>
        <w:rPr/>
        <w:t>suelo.</w:t>
      </w:r>
    </w:p>
    <w:p>
      <w:pPr>
        <w:spacing w:after="0"/>
        <w:jc w:val="both"/>
        <w:sectPr>
          <w:pgSz w:w="12250" w:h="15850"/>
          <w:pgMar w:header="730" w:footer="0" w:top="1000" w:bottom="280" w:left="860" w:right="820"/>
        </w:sectPr>
      </w:pPr>
    </w:p>
    <w:p>
      <w:pPr>
        <w:pStyle w:val="BodyText"/>
        <w:spacing w:before="183"/>
        <w:ind w:left="1391" w:right="435" w:hanging="992"/>
        <w:jc w:val="both"/>
      </w:pPr>
      <w:r>
        <w:rPr>
          <w:b/>
        </w:rPr>
        <w:t>LII. Utilización de vía pública con  fines  de  lucro:  </w:t>
      </w:r>
      <w:r>
        <w:rPr/>
        <w:t>Aquellas  instalaciones  con  carácter permanente que utilicen la vía pública ya sea superficial, subterránea o aérea, con la finalidad de  distribuir,  enlazar, conectar o enviar señal de la cual  se cobre cuota por su utilización en cualquier</w:t>
      </w:r>
      <w:r>
        <w:rPr>
          <w:spacing w:val="-7"/>
        </w:rPr>
        <w:t> </w:t>
      </w:r>
      <w:r>
        <w:rPr/>
        <w:t>modalidad.</w:t>
      </w:r>
    </w:p>
    <w:p>
      <w:pPr>
        <w:pStyle w:val="BodyText"/>
      </w:pPr>
    </w:p>
    <w:p>
      <w:pPr>
        <w:pStyle w:val="BodyText"/>
        <w:ind w:left="1394" w:right="433" w:hanging="994"/>
        <w:jc w:val="both"/>
      </w:pPr>
      <w:r>
        <w:rPr/>
        <w:drawing>
          <wp:anchor distT="0" distB="0" distL="0" distR="0" allowOverlap="1" layoutInCell="1" locked="0" behindDoc="1" simplePos="0" relativeHeight="227475456">
            <wp:simplePos x="0" y="0"/>
            <wp:positionH relativeFrom="page">
              <wp:posOffset>1252555</wp:posOffset>
            </wp:positionH>
            <wp:positionV relativeFrom="paragraph">
              <wp:posOffset>457782</wp:posOffset>
            </wp:positionV>
            <wp:extent cx="5022641" cy="5144770"/>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9" cstate="print"/>
                    <a:stretch>
                      <a:fillRect/>
                    </a:stretch>
                  </pic:blipFill>
                  <pic:spPr>
                    <a:xfrm>
                      <a:off x="0" y="0"/>
                      <a:ext cx="5022641" cy="5144770"/>
                    </a:xfrm>
                    <a:prstGeom prst="rect">
                      <a:avLst/>
                    </a:prstGeom>
                  </pic:spPr>
                </pic:pic>
              </a:graphicData>
            </a:graphic>
          </wp:anchor>
        </w:drawing>
      </w:r>
      <w:r>
        <w:rPr>
          <w:b/>
        </w:rPr>
        <w:t>LIII. Vivienda de interés social o popular: </w:t>
      </w:r>
      <w:r>
        <w:rPr/>
        <w:t>Aquella auspiciada por organismos o dependencias públicas federales, estatales o municipales, que ejecuten programas de vivienda cuyo valor no exceda de la cantidad de $378,322.50, que sea adquirida por personas físicas que acrediten no ser propietarias de otra vivienda en el municipio.</w:t>
      </w:r>
    </w:p>
    <w:p>
      <w:pPr>
        <w:pStyle w:val="BodyText"/>
      </w:pPr>
    </w:p>
    <w:p>
      <w:pPr>
        <w:pStyle w:val="BodyText"/>
        <w:spacing w:before="1"/>
        <w:ind w:left="400" w:right="443"/>
        <w:jc w:val="both"/>
      </w:pPr>
      <w:r>
        <w:rPr>
          <w:b/>
        </w:rPr>
        <w:t>Artículo 3.- </w:t>
      </w:r>
      <w:r>
        <w:rPr/>
        <w:t>Las personas físicas o morales que se encuentren en la situación jurídica o de hecho que realicen actos, operaciones o actividades gravadas por esta ley estarán obligadas a su cumplimiento, además de lo que otras normas jurídicas les señalen.</w:t>
      </w:r>
    </w:p>
    <w:p>
      <w:pPr>
        <w:pStyle w:val="BodyText"/>
      </w:pPr>
    </w:p>
    <w:p>
      <w:pPr>
        <w:pStyle w:val="BodyText"/>
        <w:ind w:left="400" w:right="437"/>
        <w:jc w:val="both"/>
      </w:pPr>
      <w:r>
        <w:rPr>
          <w:b/>
        </w:rPr>
        <w:t>Artículo 4.- </w:t>
      </w:r>
      <w:r>
        <w:rPr/>
        <w:t>La Tesorería Municipal es la única dependencia autorizada para hacer recaudación de los ingresos señalados en esta Ley, y/o personas físicas o morales autorizadas por la Comisión Nacional Bancaria y de Valores con las que se celebre convenio. Los órganos públicos descentralizados municipales percibirán sus ingresos a través de sus cajas recaudadoras, y/o personas físicas o morales autorizadas por la Comisión Nacional Bancaria y de Valores con las que se celebre convenio, y autorice su órgano de gobierno.</w:t>
      </w:r>
    </w:p>
    <w:p>
      <w:pPr>
        <w:pStyle w:val="BodyText"/>
      </w:pPr>
    </w:p>
    <w:p>
      <w:pPr>
        <w:pStyle w:val="BodyText"/>
        <w:ind w:left="400" w:right="441"/>
        <w:jc w:val="both"/>
      </w:pPr>
      <w:r>
        <w:rPr/>
        <w:t>El pago de las contribuciones se realizará en efectivo, cheques certificados o de caja, depósitos bancarios, tarjetas de crédito o débito, transferencias electrónicas de fondos a favor del Municipio o del Organismo según se trate, salvo buen cobro, debiéndose expedir invariablemente por la Tesorería Municipal o por la autoridad competente del organismo público descentralizado el recibo oficial correspondiente.</w:t>
      </w:r>
    </w:p>
    <w:p>
      <w:pPr>
        <w:pStyle w:val="BodyText"/>
        <w:spacing w:before="1"/>
      </w:pPr>
    </w:p>
    <w:p>
      <w:pPr>
        <w:pStyle w:val="BodyText"/>
        <w:ind w:left="400" w:right="439"/>
        <w:jc w:val="both"/>
      </w:pPr>
      <w:r>
        <w:rPr>
          <w:b/>
        </w:rPr>
        <w:t>Artículo 5.- </w:t>
      </w:r>
      <w:r>
        <w:rPr/>
        <w:t>A petición por escrito de los contribuyentes, la Tesorería o su similar del Organismo Público Descentralizado, podrán autorizar el pago a plazos, ya sea diferido o en parcialidades, de las contribuciones omitidas y de sus accesorios en los términos que dispone el Código Fiscal del Estado de Nayarit, con objeto de apoyarles en la regularización de su situación fiscal ante la Tesorería Municipal; dicho plazo no deberá exceder del ejercicio fiscal. El pago diferido o en parcialidades no será procedente tratándose de gastos de ejecución ni del Impuesto Especial para la Universidad Autónoma de</w:t>
      </w:r>
      <w:r>
        <w:rPr>
          <w:spacing w:val="-1"/>
        </w:rPr>
        <w:t> </w:t>
      </w:r>
      <w:r>
        <w:rPr/>
        <w:t>Nayarit.</w:t>
      </w:r>
    </w:p>
    <w:p>
      <w:pPr>
        <w:pStyle w:val="BodyText"/>
        <w:spacing w:before="1"/>
      </w:pPr>
    </w:p>
    <w:p>
      <w:pPr>
        <w:pStyle w:val="BodyText"/>
        <w:ind w:left="400" w:right="438"/>
        <w:jc w:val="both"/>
      </w:pPr>
      <w:r>
        <w:rPr>
          <w:b/>
        </w:rPr>
        <w:t>Artículo 6.- </w:t>
      </w:r>
      <w:r>
        <w:rPr/>
        <w:t>El Impuesto Especial para la Universidad Autónoma de Nayarit, se causa con la tasa del 12% (doce por ciento), y la base será el monto del pago al Municipio por concepto de impuestos, derechos y productos, con excepción del Impuesto Sobre Adquisición de Bienes Inmuebles y de los derechos relativos al uso y aprovechamiento de bienes del dominio público municipal por concepto del uso de la vía pública para actividades comerciales y por el aprovechamiento de locales en mercados municipales, así como por los derechos que cobren sus organismos descentralizados.</w:t>
      </w:r>
    </w:p>
    <w:p>
      <w:pPr>
        <w:pStyle w:val="BodyText"/>
      </w:pPr>
    </w:p>
    <w:p>
      <w:pPr>
        <w:pStyle w:val="BodyText"/>
        <w:ind w:left="400" w:right="439"/>
        <w:jc w:val="both"/>
      </w:pPr>
      <w:r>
        <w:rPr/>
        <w:t>Dicho tributo deberá enterarse conforme al procedimiento establecido en la Ley del Patronato para Administrar el Impuesto Especial para la Universidad Autónoma de Nayarit, en los términos y plazo señalado por la misma.</w:t>
      </w:r>
    </w:p>
    <w:p>
      <w:pPr>
        <w:spacing w:after="0"/>
        <w:jc w:val="both"/>
        <w:sectPr>
          <w:pgSz w:w="12250" w:h="15850"/>
          <w:pgMar w:header="730" w:footer="0" w:top="1000" w:bottom="280" w:left="860" w:right="820"/>
        </w:sectPr>
      </w:pPr>
    </w:p>
    <w:p>
      <w:pPr>
        <w:pStyle w:val="BodyText"/>
        <w:spacing w:before="1"/>
        <w:rPr>
          <w:sz w:val="9"/>
        </w:rPr>
      </w:pPr>
    </w:p>
    <w:p>
      <w:pPr>
        <w:pStyle w:val="BodyText"/>
        <w:spacing w:before="93"/>
        <w:ind w:left="400" w:right="434"/>
        <w:jc w:val="both"/>
      </w:pPr>
      <w:r>
        <w:rPr/>
        <w:drawing>
          <wp:anchor distT="0" distB="0" distL="0" distR="0" allowOverlap="1" layoutInCell="1" locked="0" behindDoc="1" simplePos="0" relativeHeight="227476480">
            <wp:simplePos x="0" y="0"/>
            <wp:positionH relativeFrom="page">
              <wp:posOffset>1252555</wp:posOffset>
            </wp:positionH>
            <wp:positionV relativeFrom="paragraph">
              <wp:posOffset>1344242</wp:posOffset>
            </wp:positionV>
            <wp:extent cx="5022641" cy="5144769"/>
            <wp:effectExtent l="0" t="0" r="0" b="0"/>
            <wp:wrapNone/>
            <wp:docPr id="19" name="image4.png"/>
            <wp:cNvGraphicFramePr>
              <a:graphicFrameLocks noChangeAspect="1"/>
            </wp:cNvGraphicFramePr>
            <a:graphic>
              <a:graphicData uri="http://schemas.openxmlformats.org/drawingml/2006/picture">
                <pic:pic>
                  <pic:nvPicPr>
                    <pic:cNvPr id="20" name="image4.png"/>
                    <pic:cNvPicPr/>
                  </pic:nvPicPr>
                  <pic:blipFill>
                    <a:blip r:embed="rId10" cstate="print"/>
                    <a:stretch>
                      <a:fillRect/>
                    </a:stretch>
                  </pic:blipFill>
                  <pic:spPr>
                    <a:xfrm>
                      <a:off x="0" y="0"/>
                      <a:ext cx="5022641" cy="5144769"/>
                    </a:xfrm>
                    <a:prstGeom prst="rect">
                      <a:avLst/>
                    </a:prstGeom>
                  </pic:spPr>
                </pic:pic>
              </a:graphicData>
            </a:graphic>
          </wp:anchor>
        </w:drawing>
      </w:r>
      <w:r>
        <w:rPr>
          <w:b/>
        </w:rPr>
        <w:t>Artículo 7.- </w:t>
      </w:r>
      <w:r>
        <w:rPr/>
        <w:t>Las obligaciones de pago que se generen conforme a esta ley,  exclusivamente para efectos de cobro, tendrán el carácter de crédito fiscal, quedando </w:t>
      </w:r>
      <w:r>
        <w:rPr>
          <w:spacing w:val="5"/>
        </w:rPr>
        <w:t>la </w:t>
      </w:r>
      <w:r>
        <w:rPr/>
        <w:t>autoridad exactora municipal en aptitud de iniciar el procedimiento administrativo de ejecución para su recuperación, junto con sus accesorios legales, indemnización,  recargos, multas y gastos de ejecución, generados con motivo de la falta de pago de la contribución, así como las multas que se impongan por incumplimiento a los reglamentos municipales.</w:t>
      </w:r>
    </w:p>
    <w:p>
      <w:pPr>
        <w:pStyle w:val="BodyText"/>
      </w:pPr>
    </w:p>
    <w:p>
      <w:pPr>
        <w:pStyle w:val="BodyText"/>
        <w:ind w:left="400" w:right="433"/>
        <w:jc w:val="both"/>
      </w:pPr>
      <w:r>
        <w:rPr/>
        <w:t>Se consideran créditos fiscales. los que tenga derecho a percibir el gobierno municipal de Tepic o sus organismos descentralizados, que provengan de contribuciones, aprovechamientos o de sus accesorios, incluyendo los que deriven de adeudos no fiscales o de responsabilidades pecuniarias que cuantifique la Auditoria Superior del Estado de Nayarit (ASEN), la Contraloría Municipal de Tepic y el Tribunal de Justicia Administrativo de Nayarit a causa de sanciones administrativas y fiscales en contra de servidores  públicos</w:t>
      </w:r>
      <w:r>
        <w:rPr>
          <w:spacing w:val="-3"/>
        </w:rPr>
        <w:t> </w:t>
      </w:r>
      <w:r>
        <w:rPr/>
        <w:t>municipales.</w:t>
      </w:r>
    </w:p>
    <w:p>
      <w:pPr>
        <w:pStyle w:val="BodyText"/>
        <w:spacing w:before="1"/>
      </w:pPr>
    </w:p>
    <w:p>
      <w:pPr>
        <w:pStyle w:val="BodyText"/>
        <w:ind w:left="400" w:right="442"/>
        <w:jc w:val="both"/>
      </w:pPr>
      <w:r>
        <w:rPr/>
        <w:t>El Procedimiento Administrativo de Ejecución se regirá de conformidad a lo establecido en el Código Fiscal para el Estado de Nayarit.</w:t>
      </w:r>
    </w:p>
    <w:p>
      <w:pPr>
        <w:pStyle w:val="BodyText"/>
      </w:pPr>
    </w:p>
    <w:p>
      <w:pPr>
        <w:pStyle w:val="BodyText"/>
        <w:ind w:left="400" w:right="436"/>
        <w:jc w:val="both"/>
      </w:pPr>
      <w:r>
        <w:rPr>
          <w:b/>
        </w:rPr>
        <w:t>Artículo 8.- </w:t>
      </w:r>
      <w:r>
        <w:rPr/>
        <w:t>En todo lo no previsto por la presente Ley, para su aplicación e interpretación, se aplicará de manera supletoria lo dispuesto por las Leyes fiscales Federales, Estatales y Leyes Municipales, así como los reglamentos municipales y disposiciones generales que al efecto emita el Ayuntamiento.</w:t>
      </w:r>
    </w:p>
    <w:p>
      <w:pPr>
        <w:pStyle w:val="BodyText"/>
      </w:pPr>
    </w:p>
    <w:p>
      <w:pPr>
        <w:pStyle w:val="Heading1"/>
        <w:ind w:left="3871" w:right="3908"/>
        <w:jc w:val="center"/>
      </w:pPr>
      <w:r>
        <w:rPr/>
        <w:t>TITULO SEGUNDO IMPUESTOS</w:t>
      </w:r>
    </w:p>
    <w:p>
      <w:pPr>
        <w:pStyle w:val="BodyText"/>
        <w:spacing w:before="1"/>
        <w:rPr>
          <w:b/>
        </w:rPr>
      </w:pPr>
    </w:p>
    <w:p>
      <w:pPr>
        <w:spacing w:before="0"/>
        <w:ind w:left="3876" w:right="3908" w:firstLine="0"/>
        <w:jc w:val="center"/>
        <w:rPr>
          <w:b/>
          <w:sz w:val="24"/>
        </w:rPr>
      </w:pPr>
      <w:r>
        <w:rPr>
          <w:b/>
          <w:sz w:val="24"/>
        </w:rPr>
        <w:t>Capítulo Primero Impuesto Predial</w:t>
      </w:r>
    </w:p>
    <w:p>
      <w:pPr>
        <w:pStyle w:val="BodyText"/>
        <w:rPr>
          <w:b/>
        </w:rPr>
      </w:pPr>
    </w:p>
    <w:p>
      <w:pPr>
        <w:pStyle w:val="BodyText"/>
        <w:ind w:left="400" w:right="434"/>
        <w:jc w:val="both"/>
      </w:pPr>
      <w:r>
        <w:rPr>
          <w:b/>
        </w:rPr>
        <w:t>Artículo 9.- </w:t>
      </w:r>
      <w:r>
        <w:rPr/>
        <w:t>Este se causará anualmente y se pagará de conformidad a lo dispuesto por la Ley de Hacienda Municipal del Estado de Nayarit y de acuerdo a lo que resulte de aplicar al valor asignado a la propiedad inmobiliaria las tasas a que se refiere el presente capitulo y demás disposiciones establecidas en la presente Ley, de acuerdo a lo</w:t>
      </w:r>
      <w:r>
        <w:rPr>
          <w:spacing w:val="-20"/>
        </w:rPr>
        <w:t> </w:t>
      </w:r>
      <w:r>
        <w:rPr/>
        <w:t>siguiente:</w:t>
      </w:r>
    </w:p>
    <w:p>
      <w:pPr>
        <w:pStyle w:val="BodyText"/>
        <w:spacing w:before="9"/>
        <w:rPr>
          <w:sz w:val="23"/>
        </w:rPr>
      </w:pPr>
    </w:p>
    <w:p>
      <w:pPr>
        <w:pStyle w:val="Heading1"/>
        <w:numPr>
          <w:ilvl w:val="1"/>
          <w:numId w:val="2"/>
        </w:numPr>
        <w:tabs>
          <w:tab w:pos="1533" w:val="left" w:leader="none"/>
          <w:tab w:pos="1534" w:val="left" w:leader="none"/>
        </w:tabs>
        <w:spacing w:line="240" w:lineRule="auto" w:before="0" w:after="0"/>
        <w:ind w:left="1533" w:right="0" w:hanging="568"/>
        <w:jc w:val="left"/>
      </w:pPr>
      <w:r>
        <w:rPr/>
        <w:t>Propiedad</w:t>
      </w:r>
      <w:r>
        <w:rPr>
          <w:spacing w:val="-1"/>
        </w:rPr>
        <w:t> </w:t>
      </w:r>
      <w:r>
        <w:rPr/>
        <w:t>Rústica:</w:t>
      </w:r>
    </w:p>
    <w:p>
      <w:pPr>
        <w:pStyle w:val="BodyText"/>
        <w:spacing w:before="1"/>
        <w:rPr>
          <w:b/>
        </w:rPr>
      </w:pPr>
    </w:p>
    <w:p>
      <w:pPr>
        <w:pStyle w:val="BodyText"/>
        <w:ind w:left="400" w:right="440"/>
        <w:jc w:val="both"/>
      </w:pPr>
      <w:r>
        <w:rPr/>
        <w:t>Las distintas modalidades de tenencia de la tierra: ejidal, comunal y los predios rústicos considerados propiedad rural, causarán el impuesto tomando como base, según sea el caso, lo siguiente:</w:t>
      </w:r>
    </w:p>
    <w:p>
      <w:pPr>
        <w:pStyle w:val="BodyText"/>
      </w:pPr>
    </w:p>
    <w:p>
      <w:pPr>
        <w:pStyle w:val="ListParagraph"/>
        <w:numPr>
          <w:ilvl w:val="0"/>
          <w:numId w:val="3"/>
        </w:numPr>
        <w:tabs>
          <w:tab w:pos="1253" w:val="left" w:leader="none"/>
        </w:tabs>
        <w:spacing w:line="240" w:lineRule="auto" w:before="0" w:after="0"/>
        <w:ind w:left="1252" w:right="439" w:hanging="569"/>
        <w:jc w:val="both"/>
        <w:rPr>
          <w:sz w:val="24"/>
        </w:rPr>
      </w:pPr>
      <w:r>
        <w:rPr>
          <w:sz w:val="24"/>
        </w:rPr>
        <w:t>Para efectos de la determinación de la base del impuesto predial, de las propiedades a que se refiere este apartado, éste se determinará considerando su valor catastral al 28% (veintiocho por</w:t>
      </w:r>
      <w:r>
        <w:rPr>
          <w:spacing w:val="-2"/>
          <w:sz w:val="24"/>
        </w:rPr>
        <w:t> </w:t>
      </w:r>
      <w:r>
        <w:rPr>
          <w:sz w:val="24"/>
        </w:rPr>
        <w:t>ciento).</w:t>
      </w:r>
    </w:p>
    <w:p>
      <w:pPr>
        <w:pStyle w:val="BodyText"/>
      </w:pPr>
    </w:p>
    <w:p>
      <w:pPr>
        <w:pStyle w:val="ListParagraph"/>
        <w:numPr>
          <w:ilvl w:val="0"/>
          <w:numId w:val="3"/>
        </w:numPr>
        <w:tabs>
          <w:tab w:pos="1253" w:val="left" w:leader="none"/>
        </w:tabs>
        <w:spacing w:line="240" w:lineRule="auto" w:before="0" w:after="0"/>
        <w:ind w:left="1252" w:right="440" w:hanging="569"/>
        <w:jc w:val="both"/>
        <w:rPr>
          <w:sz w:val="24"/>
        </w:rPr>
      </w:pPr>
      <w:r>
        <w:rPr>
          <w:sz w:val="24"/>
        </w:rPr>
        <w:t>A los predios cuyo valor catastral haya sido determinado con base en avalúo técnico practicado por la autoridad competente, el 3.85 al</w:t>
      </w:r>
      <w:r>
        <w:rPr>
          <w:spacing w:val="-11"/>
          <w:sz w:val="24"/>
        </w:rPr>
        <w:t> </w:t>
      </w:r>
      <w:r>
        <w:rPr>
          <w:sz w:val="24"/>
        </w:rPr>
        <w:t>millar.</w:t>
      </w:r>
    </w:p>
    <w:p>
      <w:pPr>
        <w:spacing w:after="0" w:line="240" w:lineRule="auto"/>
        <w:jc w:val="both"/>
        <w:rPr>
          <w:sz w:val="24"/>
        </w:rPr>
        <w:sectPr>
          <w:pgSz w:w="12250" w:h="15850"/>
          <w:pgMar w:header="730" w:footer="0" w:top="1000" w:bottom="280" w:left="860" w:right="820"/>
        </w:sectPr>
      </w:pPr>
    </w:p>
    <w:p>
      <w:pPr>
        <w:pStyle w:val="Heading1"/>
        <w:numPr>
          <w:ilvl w:val="1"/>
          <w:numId w:val="2"/>
        </w:numPr>
        <w:tabs>
          <w:tab w:pos="1533" w:val="left" w:leader="none"/>
          <w:tab w:pos="1534" w:val="left" w:leader="none"/>
        </w:tabs>
        <w:spacing w:line="240" w:lineRule="auto" w:before="183" w:after="0"/>
        <w:ind w:left="1533" w:right="0" w:hanging="568"/>
        <w:jc w:val="left"/>
      </w:pPr>
      <w:r>
        <w:rPr/>
        <w:t>Propiedad</w:t>
      </w:r>
      <w:r>
        <w:rPr>
          <w:spacing w:val="-1"/>
        </w:rPr>
        <w:t> </w:t>
      </w:r>
      <w:r>
        <w:rPr/>
        <w:t>urbana:</w:t>
      </w:r>
    </w:p>
    <w:p>
      <w:pPr>
        <w:pStyle w:val="BodyText"/>
        <w:rPr>
          <w:b/>
        </w:rPr>
      </w:pPr>
    </w:p>
    <w:p>
      <w:pPr>
        <w:pStyle w:val="ListParagraph"/>
        <w:numPr>
          <w:ilvl w:val="0"/>
          <w:numId w:val="4"/>
        </w:numPr>
        <w:tabs>
          <w:tab w:pos="1252" w:val="left" w:leader="none"/>
          <w:tab w:pos="1253" w:val="left" w:leader="none"/>
        </w:tabs>
        <w:spacing w:line="240" w:lineRule="auto" w:before="0" w:after="0"/>
        <w:ind w:left="1252" w:right="0" w:hanging="570"/>
        <w:jc w:val="left"/>
        <w:rPr>
          <w:sz w:val="24"/>
        </w:rPr>
      </w:pPr>
      <w:r>
        <w:rPr>
          <w:sz w:val="24"/>
        </w:rPr>
        <w:t>La base del impuesto predial será el 16.5% del valor catastral del</w:t>
      </w:r>
      <w:r>
        <w:rPr>
          <w:spacing w:val="-17"/>
          <w:sz w:val="24"/>
        </w:rPr>
        <w:t> </w:t>
      </w:r>
      <w:r>
        <w:rPr>
          <w:sz w:val="24"/>
        </w:rPr>
        <w:t>inmueble.</w:t>
      </w:r>
    </w:p>
    <w:p>
      <w:pPr>
        <w:pStyle w:val="BodyText"/>
      </w:pPr>
    </w:p>
    <w:p>
      <w:pPr>
        <w:pStyle w:val="ListParagraph"/>
        <w:numPr>
          <w:ilvl w:val="0"/>
          <w:numId w:val="4"/>
        </w:numPr>
        <w:tabs>
          <w:tab w:pos="1253" w:val="left" w:leader="none"/>
        </w:tabs>
        <w:spacing w:line="240" w:lineRule="auto" w:before="0" w:after="0"/>
        <w:ind w:left="1252" w:right="434" w:hanging="569"/>
        <w:jc w:val="both"/>
        <w:rPr>
          <w:sz w:val="24"/>
        </w:rPr>
      </w:pPr>
      <w:r>
        <w:rPr/>
        <w:drawing>
          <wp:anchor distT="0" distB="0" distL="0" distR="0" allowOverlap="1" layoutInCell="1" locked="0" behindDoc="1" simplePos="0" relativeHeight="227477504">
            <wp:simplePos x="0" y="0"/>
            <wp:positionH relativeFrom="page">
              <wp:posOffset>1239220</wp:posOffset>
            </wp:positionH>
            <wp:positionV relativeFrom="paragraph">
              <wp:posOffset>593037</wp:posOffset>
            </wp:positionV>
            <wp:extent cx="5022641" cy="5144769"/>
            <wp:effectExtent l="0" t="0" r="0" b="0"/>
            <wp:wrapNone/>
            <wp:docPr id="21" name="image5.png"/>
            <wp:cNvGraphicFramePr>
              <a:graphicFrameLocks noChangeAspect="1"/>
            </wp:cNvGraphicFramePr>
            <a:graphic>
              <a:graphicData uri="http://schemas.openxmlformats.org/drawingml/2006/picture">
                <pic:pic>
                  <pic:nvPicPr>
                    <pic:cNvPr id="22" name="image5.png"/>
                    <pic:cNvPicPr/>
                  </pic:nvPicPr>
                  <pic:blipFill>
                    <a:blip r:embed="rId11" cstate="print"/>
                    <a:stretch>
                      <a:fillRect/>
                    </a:stretch>
                  </pic:blipFill>
                  <pic:spPr>
                    <a:xfrm>
                      <a:off x="0" y="0"/>
                      <a:ext cx="5022641" cy="5144769"/>
                    </a:xfrm>
                    <a:prstGeom prst="rect">
                      <a:avLst/>
                    </a:prstGeom>
                  </pic:spPr>
                </pic:pic>
              </a:graphicData>
            </a:graphic>
          </wp:anchor>
        </w:drawing>
      </w:r>
      <w:r>
        <w:rPr>
          <w:sz w:val="24"/>
        </w:rPr>
        <w:t>Los predios construidos con un uso específico, localizados en la cabecera y en las poblaciones del Municipio, cuyo valor catastral haya sido determinado con base en avalúo técnico practicado por la autoridad competente, sobre dicho valor, el resultado</w:t>
      </w:r>
      <w:r>
        <w:rPr>
          <w:spacing w:val="13"/>
          <w:sz w:val="24"/>
        </w:rPr>
        <w:t> </w:t>
      </w:r>
      <w:r>
        <w:rPr>
          <w:sz w:val="24"/>
        </w:rPr>
        <w:t>de</w:t>
      </w:r>
      <w:r>
        <w:rPr>
          <w:spacing w:val="13"/>
          <w:sz w:val="24"/>
        </w:rPr>
        <w:t> </w:t>
      </w:r>
      <w:r>
        <w:rPr>
          <w:sz w:val="24"/>
        </w:rPr>
        <w:t>la</w:t>
      </w:r>
      <w:r>
        <w:rPr>
          <w:spacing w:val="10"/>
          <w:sz w:val="24"/>
        </w:rPr>
        <w:t> </w:t>
      </w:r>
      <w:r>
        <w:rPr>
          <w:sz w:val="24"/>
        </w:rPr>
        <w:t>aplicación</w:t>
      </w:r>
      <w:r>
        <w:rPr>
          <w:spacing w:val="13"/>
          <w:sz w:val="24"/>
        </w:rPr>
        <w:t> </w:t>
      </w:r>
      <w:r>
        <w:rPr>
          <w:sz w:val="24"/>
        </w:rPr>
        <w:t>del</w:t>
      </w:r>
      <w:r>
        <w:rPr>
          <w:spacing w:val="13"/>
          <w:sz w:val="24"/>
        </w:rPr>
        <w:t> </w:t>
      </w:r>
      <w:r>
        <w:rPr>
          <w:sz w:val="24"/>
        </w:rPr>
        <w:t>inciso</w:t>
      </w:r>
      <w:r>
        <w:rPr>
          <w:spacing w:val="11"/>
          <w:sz w:val="24"/>
        </w:rPr>
        <w:t> </w:t>
      </w:r>
      <w:r>
        <w:rPr>
          <w:sz w:val="24"/>
        </w:rPr>
        <w:t>a)</w:t>
      </w:r>
      <w:r>
        <w:rPr>
          <w:spacing w:val="11"/>
          <w:sz w:val="24"/>
        </w:rPr>
        <w:t> </w:t>
      </w:r>
      <w:r>
        <w:rPr>
          <w:sz w:val="24"/>
        </w:rPr>
        <w:t>de</w:t>
      </w:r>
      <w:r>
        <w:rPr>
          <w:spacing w:val="13"/>
          <w:sz w:val="24"/>
        </w:rPr>
        <w:t> </w:t>
      </w:r>
      <w:r>
        <w:rPr>
          <w:sz w:val="24"/>
        </w:rPr>
        <w:t>la</w:t>
      </w:r>
      <w:r>
        <w:rPr>
          <w:spacing w:val="12"/>
          <w:sz w:val="24"/>
        </w:rPr>
        <w:t> </w:t>
      </w:r>
      <w:r>
        <w:rPr>
          <w:sz w:val="24"/>
        </w:rPr>
        <w:t>fracción</w:t>
      </w:r>
      <w:r>
        <w:rPr>
          <w:spacing w:val="13"/>
          <w:sz w:val="24"/>
        </w:rPr>
        <w:t> </w:t>
      </w:r>
      <w:r>
        <w:rPr>
          <w:sz w:val="24"/>
        </w:rPr>
        <w:t>II</w:t>
      </w:r>
      <w:r>
        <w:rPr>
          <w:spacing w:val="13"/>
          <w:sz w:val="24"/>
        </w:rPr>
        <w:t> </w:t>
      </w:r>
      <w:r>
        <w:rPr>
          <w:sz w:val="24"/>
        </w:rPr>
        <w:t>del</w:t>
      </w:r>
      <w:r>
        <w:rPr>
          <w:spacing w:val="12"/>
          <w:sz w:val="24"/>
        </w:rPr>
        <w:t> </w:t>
      </w:r>
      <w:r>
        <w:rPr>
          <w:sz w:val="24"/>
        </w:rPr>
        <w:t>presente</w:t>
      </w:r>
      <w:r>
        <w:rPr>
          <w:spacing w:val="13"/>
          <w:sz w:val="24"/>
        </w:rPr>
        <w:t> </w:t>
      </w:r>
      <w:r>
        <w:rPr>
          <w:sz w:val="24"/>
        </w:rPr>
        <w:t>artículo</w:t>
      </w:r>
      <w:r>
        <w:rPr>
          <w:spacing w:val="14"/>
          <w:sz w:val="24"/>
        </w:rPr>
        <w:t> </w:t>
      </w:r>
      <w:r>
        <w:rPr>
          <w:sz w:val="24"/>
        </w:rPr>
        <w:t>por</w:t>
      </w:r>
      <w:r>
        <w:rPr>
          <w:spacing w:val="11"/>
          <w:sz w:val="24"/>
        </w:rPr>
        <w:t> </w:t>
      </w:r>
      <w:r>
        <w:rPr>
          <w:sz w:val="24"/>
        </w:rPr>
        <w:t>el</w:t>
      </w:r>
    </w:p>
    <w:p>
      <w:pPr>
        <w:pStyle w:val="ListParagraph"/>
        <w:numPr>
          <w:ilvl w:val="1"/>
          <w:numId w:val="5"/>
        </w:numPr>
        <w:tabs>
          <w:tab w:pos="1787" w:val="left" w:leader="none"/>
        </w:tabs>
        <w:spacing w:line="240" w:lineRule="auto" w:before="0" w:after="0"/>
        <w:ind w:left="1786" w:right="0" w:hanging="535"/>
        <w:jc w:val="both"/>
        <w:rPr>
          <w:sz w:val="24"/>
        </w:rPr>
      </w:pPr>
      <w:r>
        <w:rPr>
          <w:sz w:val="24"/>
        </w:rPr>
        <w:t>al</w:t>
      </w:r>
      <w:r>
        <w:rPr>
          <w:spacing w:val="-3"/>
          <w:sz w:val="24"/>
        </w:rPr>
        <w:t> </w:t>
      </w:r>
      <w:r>
        <w:rPr>
          <w:sz w:val="24"/>
        </w:rPr>
        <w:t>millar.</w:t>
      </w:r>
    </w:p>
    <w:p>
      <w:pPr>
        <w:pStyle w:val="BodyText"/>
      </w:pPr>
    </w:p>
    <w:p>
      <w:pPr>
        <w:pStyle w:val="ListParagraph"/>
        <w:numPr>
          <w:ilvl w:val="0"/>
          <w:numId w:val="4"/>
        </w:numPr>
        <w:tabs>
          <w:tab w:pos="1253" w:val="left" w:leader="none"/>
        </w:tabs>
        <w:spacing w:line="240" w:lineRule="auto" w:before="0" w:after="0"/>
        <w:ind w:left="1252" w:right="434" w:hanging="569"/>
        <w:jc w:val="both"/>
        <w:rPr>
          <w:sz w:val="24"/>
        </w:rPr>
      </w:pPr>
      <w:r>
        <w:rPr>
          <w:sz w:val="24"/>
        </w:rPr>
        <w:t>Los predios no edificados o ruinosos, así como los baldíos localizados en la zona urbana de Tepic y las poblaciones del Municipio, tendrán como base gravable el resultado de la aplicación del inciso a) de la fracción II del presente artículo por el18.7 al</w:t>
      </w:r>
      <w:r>
        <w:rPr>
          <w:spacing w:val="-3"/>
          <w:sz w:val="24"/>
        </w:rPr>
        <w:t> </w:t>
      </w:r>
      <w:r>
        <w:rPr>
          <w:sz w:val="24"/>
        </w:rPr>
        <w:t>millar.</w:t>
      </w:r>
    </w:p>
    <w:p>
      <w:pPr>
        <w:pStyle w:val="BodyText"/>
        <w:spacing w:before="1"/>
      </w:pPr>
    </w:p>
    <w:p>
      <w:pPr>
        <w:pStyle w:val="BodyText"/>
        <w:ind w:left="1252" w:right="437"/>
        <w:jc w:val="both"/>
      </w:pPr>
      <w:r>
        <w:rPr/>
        <w:t>El importe aplicable a los predios, mencionados </w:t>
      </w:r>
      <w:r>
        <w:rPr>
          <w:spacing w:val="3"/>
        </w:rPr>
        <w:t>en </w:t>
      </w:r>
      <w:r>
        <w:rPr/>
        <w:t>los incisos b) y c) de la presente fracción tendrá, como cuota mínima, pagadera en forma anual, la cantidad de $499.11 pesos, a excepción de los solares urbanos ejidales, comunales, ubicados en zonas rurales, fuera de la cabecera Municipal, que pagarán, la cantidad de $250.00</w:t>
      </w:r>
      <w:r>
        <w:rPr>
          <w:spacing w:val="-3"/>
        </w:rPr>
        <w:t> </w:t>
      </w:r>
      <w:r>
        <w:rPr/>
        <w:t>pesos.</w:t>
      </w:r>
    </w:p>
    <w:p>
      <w:pPr>
        <w:pStyle w:val="BodyText"/>
      </w:pPr>
    </w:p>
    <w:p>
      <w:pPr>
        <w:pStyle w:val="ListParagraph"/>
        <w:numPr>
          <w:ilvl w:val="0"/>
          <w:numId w:val="4"/>
        </w:numPr>
        <w:tabs>
          <w:tab w:pos="1253" w:val="left" w:leader="none"/>
        </w:tabs>
        <w:spacing w:line="240" w:lineRule="auto" w:before="0" w:after="0"/>
        <w:ind w:left="1252" w:right="432" w:hanging="569"/>
        <w:jc w:val="both"/>
        <w:rPr>
          <w:sz w:val="24"/>
        </w:rPr>
      </w:pPr>
      <w:r>
        <w:rPr>
          <w:sz w:val="24"/>
        </w:rPr>
        <w:t>Los predios por los que se tenga que pagar un importe superior al mínimo establecido en el segundo párrafo del inciso c) de la presente fracción, el impuesto predial será el mismo que el que se hubiese calculado para el ejercicio inmediato anterior adicionándole un 10% (diez por</w:t>
      </w:r>
      <w:r>
        <w:rPr>
          <w:spacing w:val="-9"/>
          <w:sz w:val="24"/>
        </w:rPr>
        <w:t> </w:t>
      </w:r>
      <w:r>
        <w:rPr>
          <w:sz w:val="24"/>
        </w:rPr>
        <w:t>ciento).</w:t>
      </w:r>
    </w:p>
    <w:p>
      <w:pPr>
        <w:pStyle w:val="BodyText"/>
        <w:spacing w:before="1"/>
      </w:pPr>
    </w:p>
    <w:p>
      <w:pPr>
        <w:pStyle w:val="ListParagraph"/>
        <w:numPr>
          <w:ilvl w:val="0"/>
          <w:numId w:val="4"/>
        </w:numPr>
        <w:tabs>
          <w:tab w:pos="1253" w:val="left" w:leader="none"/>
        </w:tabs>
        <w:spacing w:line="240" w:lineRule="auto" w:before="0" w:after="0"/>
        <w:ind w:left="1252" w:right="442" w:hanging="569"/>
        <w:jc w:val="both"/>
        <w:rPr>
          <w:sz w:val="24"/>
        </w:rPr>
      </w:pPr>
      <w:r>
        <w:rPr>
          <w:sz w:val="24"/>
        </w:rPr>
        <w:t>Aquellos predios del Municipio que sean entregados en comodato, destinados algún uso público, pagaran una tarifa del factor del 0.30 del Impuesto Predial anual, durante la vigencia del</w:t>
      </w:r>
      <w:r>
        <w:rPr>
          <w:spacing w:val="-1"/>
          <w:sz w:val="24"/>
        </w:rPr>
        <w:t> </w:t>
      </w:r>
      <w:r>
        <w:rPr>
          <w:sz w:val="24"/>
        </w:rPr>
        <w:t>contrato.</w:t>
      </w:r>
    </w:p>
    <w:p>
      <w:pPr>
        <w:pStyle w:val="BodyText"/>
      </w:pPr>
    </w:p>
    <w:p>
      <w:pPr>
        <w:pStyle w:val="Heading1"/>
        <w:numPr>
          <w:ilvl w:val="1"/>
          <w:numId w:val="2"/>
        </w:numPr>
        <w:tabs>
          <w:tab w:pos="1533" w:val="left" w:leader="none"/>
          <w:tab w:pos="1534" w:val="left" w:leader="none"/>
        </w:tabs>
        <w:spacing w:line="240" w:lineRule="auto" w:before="0" w:after="0"/>
        <w:ind w:left="1533" w:right="0" w:hanging="568"/>
        <w:jc w:val="left"/>
      </w:pPr>
      <w:r>
        <w:rPr/>
        <w:t>Cementerios</w:t>
      </w:r>
    </w:p>
    <w:p>
      <w:pPr>
        <w:pStyle w:val="BodyText"/>
        <w:rPr>
          <w:b/>
        </w:rPr>
      </w:pPr>
    </w:p>
    <w:p>
      <w:pPr>
        <w:pStyle w:val="BodyText"/>
        <w:ind w:left="760" w:right="437"/>
        <w:jc w:val="both"/>
      </w:pPr>
      <w:r>
        <w:rPr/>
        <w:t>La base del impuesto para los terrenos destinados a cementerios, comercializados por particulares, será la que resulte de aplicar lo que al efecto establece el artículo 20 de la Ley de Hacienda Municipal del Estado de Nayarit, sobre la cual se aplicará el: 3.85 al millar.</w:t>
      </w:r>
    </w:p>
    <w:p>
      <w:pPr>
        <w:pStyle w:val="BodyText"/>
        <w:spacing w:before="1"/>
      </w:pPr>
    </w:p>
    <w:p>
      <w:pPr>
        <w:pStyle w:val="BodyText"/>
        <w:ind w:left="400" w:right="437"/>
        <w:jc w:val="both"/>
      </w:pPr>
      <w:r>
        <w:rPr>
          <w:b/>
        </w:rPr>
        <w:t>Articulo 10.- </w:t>
      </w:r>
      <w:r>
        <w:rPr/>
        <w:t>Solo estarán exentos del pago del Impuesto Predial los bienes de dominio público de la Federación o del Estado, salvo que tales bienes sean utilizados por entidades paraestatales o por particulares, bajo cualquier título, para fines administrativos o propósitos distintos a los de su objeto público.</w:t>
      </w:r>
    </w:p>
    <w:p>
      <w:pPr>
        <w:pStyle w:val="BodyText"/>
      </w:pPr>
    </w:p>
    <w:p>
      <w:pPr>
        <w:pStyle w:val="Heading1"/>
        <w:ind w:left="1247" w:right="1281"/>
        <w:jc w:val="center"/>
      </w:pPr>
      <w:r>
        <w:rPr/>
        <w:t>Capítulo Segundo</w:t>
      </w:r>
    </w:p>
    <w:p>
      <w:pPr>
        <w:spacing w:before="0"/>
        <w:ind w:left="1247" w:right="1285" w:firstLine="0"/>
        <w:jc w:val="center"/>
        <w:rPr>
          <w:b/>
          <w:sz w:val="24"/>
        </w:rPr>
      </w:pPr>
      <w:r>
        <w:rPr>
          <w:b/>
          <w:sz w:val="24"/>
        </w:rPr>
        <w:t>Impuesto Sobre Adquisición de Bienes Inmuebles</w:t>
      </w:r>
    </w:p>
    <w:p>
      <w:pPr>
        <w:pStyle w:val="BodyText"/>
        <w:rPr>
          <w:b/>
        </w:rPr>
      </w:pPr>
    </w:p>
    <w:p>
      <w:pPr>
        <w:pStyle w:val="BodyText"/>
        <w:ind w:left="400" w:right="443"/>
        <w:jc w:val="both"/>
      </w:pPr>
      <w:r>
        <w:rPr>
          <w:b/>
        </w:rPr>
        <w:t>Artículo 11.- </w:t>
      </w:r>
      <w:r>
        <w:rPr/>
        <w:t>El Impuesto sobre Adquisición de Bienes Inmuebles se causará con la tasa del 2% sobre la base gravable, que será el valor que resulte más alto entre el valor de operación o precio pactado, el avalúo bancario o comercial, debidamente certificado por la</w:t>
      </w:r>
    </w:p>
    <w:p>
      <w:pPr>
        <w:spacing w:after="0"/>
        <w:jc w:val="both"/>
        <w:sectPr>
          <w:pgSz w:w="12250" w:h="15850"/>
          <w:pgMar w:header="730" w:footer="0" w:top="1000" w:bottom="280" w:left="860" w:right="820"/>
        </w:sectPr>
      </w:pPr>
    </w:p>
    <w:p>
      <w:pPr>
        <w:pStyle w:val="BodyText"/>
        <w:spacing w:before="1"/>
        <w:rPr>
          <w:sz w:val="9"/>
        </w:rPr>
      </w:pPr>
    </w:p>
    <w:p>
      <w:pPr>
        <w:pStyle w:val="BodyText"/>
        <w:spacing w:before="93"/>
        <w:ind w:left="400" w:right="437"/>
        <w:jc w:val="both"/>
      </w:pPr>
      <w:r>
        <w:rPr/>
        <w:t>autoridad catastral y el valor determinado con la aplicación de los valores catastrales unitarios vigentes.</w:t>
      </w:r>
    </w:p>
    <w:p>
      <w:pPr>
        <w:pStyle w:val="BodyText"/>
      </w:pPr>
    </w:p>
    <w:p>
      <w:pPr>
        <w:pStyle w:val="BodyText"/>
        <w:ind w:left="400" w:right="445"/>
        <w:jc w:val="both"/>
      </w:pPr>
      <w:r>
        <w:rPr/>
        <w:t>El adquirente es el sujeto obligado a pagar el Impuesto sobre la adquisición del bien inmueble.</w:t>
      </w:r>
    </w:p>
    <w:p>
      <w:pPr>
        <w:pStyle w:val="BodyText"/>
      </w:pPr>
    </w:p>
    <w:p>
      <w:pPr>
        <w:pStyle w:val="BodyText"/>
        <w:ind w:left="400" w:right="434"/>
        <w:jc w:val="both"/>
      </w:pPr>
      <w:r>
        <w:rPr/>
        <w:drawing>
          <wp:anchor distT="0" distB="0" distL="0" distR="0" allowOverlap="1" layoutInCell="1" locked="0" behindDoc="1" simplePos="0" relativeHeight="227478528">
            <wp:simplePos x="0" y="0"/>
            <wp:positionH relativeFrom="page">
              <wp:posOffset>1252555</wp:posOffset>
            </wp:positionH>
            <wp:positionV relativeFrom="paragraph">
              <wp:posOffset>233373</wp:posOffset>
            </wp:positionV>
            <wp:extent cx="5022641" cy="5144769"/>
            <wp:effectExtent l="0" t="0" r="0" b="0"/>
            <wp:wrapNone/>
            <wp:docPr id="23" name="image6.png"/>
            <wp:cNvGraphicFramePr>
              <a:graphicFrameLocks noChangeAspect="1"/>
            </wp:cNvGraphicFramePr>
            <a:graphic>
              <a:graphicData uri="http://schemas.openxmlformats.org/drawingml/2006/picture">
                <pic:pic>
                  <pic:nvPicPr>
                    <pic:cNvPr id="24" name="image6.png"/>
                    <pic:cNvPicPr/>
                  </pic:nvPicPr>
                  <pic:blipFill>
                    <a:blip r:embed="rId12" cstate="print"/>
                    <a:stretch>
                      <a:fillRect/>
                    </a:stretch>
                  </pic:blipFill>
                  <pic:spPr>
                    <a:xfrm>
                      <a:off x="0" y="0"/>
                      <a:ext cx="5022641" cy="5144769"/>
                    </a:xfrm>
                    <a:prstGeom prst="rect">
                      <a:avLst/>
                    </a:prstGeom>
                  </pic:spPr>
                </pic:pic>
              </a:graphicData>
            </a:graphic>
          </wp:anchor>
        </w:drawing>
      </w:r>
      <w:r>
        <w:rPr/>
        <w:t>Tratándose de viviendas de interés social o popular, o de terreno para vivienda de tipo social progresivo; auspiciados por organismos o dependencias públicas, federales, estatales o municipales, que desarrollen viviendas, se deducirá de la base gravable determinada conforme al párrafo primero del presente artículo, una cantidad equivalente al 75% (setenta y cinco por ciento), siempre y cuando sea adquirida por persona física que acredite no ser propietaria de otro bien inmueble en el municipio, la cual nunca podrá ser menor a la cuota mínima que establece el presente artículo.</w:t>
      </w:r>
    </w:p>
    <w:p>
      <w:pPr>
        <w:pStyle w:val="BodyText"/>
        <w:spacing w:before="1"/>
      </w:pPr>
    </w:p>
    <w:p>
      <w:pPr>
        <w:pStyle w:val="BodyText"/>
        <w:ind w:left="400" w:right="434"/>
        <w:jc w:val="both"/>
      </w:pPr>
      <w:r>
        <w:rPr/>
        <w:t>El impuesto que por este concepto se cause, nunca será menor a $906.00 pesos. La Dirección de Catastro e Impuesto Predial podrá recibir los impuestos sobre adquisición de bienes inmuebles en aquellas operaciones contractuales que de manera particular celebren las empresas inmobiliarias con los particulares, extendiendo el recibo y constancia</w:t>
      </w:r>
      <w:r>
        <w:rPr>
          <w:spacing w:val="-1"/>
        </w:rPr>
        <w:t> </w:t>
      </w:r>
      <w:r>
        <w:rPr/>
        <w:t>respectiva.</w:t>
      </w:r>
    </w:p>
    <w:p>
      <w:pPr>
        <w:pStyle w:val="BodyText"/>
      </w:pPr>
    </w:p>
    <w:p>
      <w:pPr>
        <w:pStyle w:val="BodyText"/>
        <w:ind w:left="400" w:right="437"/>
        <w:jc w:val="both"/>
      </w:pPr>
      <w:r>
        <w:rPr/>
        <w:t>En caso de adquisición de inmuebles donde se transmite la propiedad plena, por actos de donación o sucesión entre cónyuges o parientes en línea recta ascendente o descendente se deducirá de la base el 50% del valor catastral, siempre y cuando dicha operación no exceda del monto de $1’500,000.00, el excedente deberá de calcular su impuesto con la tasa establecida en el presente artículo.</w:t>
      </w:r>
    </w:p>
    <w:p>
      <w:pPr>
        <w:pStyle w:val="BodyText"/>
        <w:spacing w:before="1"/>
      </w:pPr>
    </w:p>
    <w:p>
      <w:pPr>
        <w:pStyle w:val="BodyText"/>
        <w:ind w:left="400" w:right="433"/>
        <w:jc w:val="both"/>
      </w:pPr>
      <w:r>
        <w:rPr/>
        <w:t>En casos de constitución, adquisición, reserva o extinción del usufructo o de la nuda propiedad, la base gravable determinada de conformidad a lo dispuesto por el artículo 43 primer párrafo de la Ley de Hacienda Municipal del Estado de Nayarit, se deducirá solamente en un 50% del valor que resulte más alto, siempre y cuando dicha operación no exceda el monto de un $1’500,000.00, el excedente de esa cantidad deberá de calcular su impuesto con la tasa establecida en el presente artículo.</w:t>
      </w:r>
    </w:p>
    <w:p>
      <w:pPr>
        <w:pStyle w:val="BodyText"/>
        <w:spacing w:before="9"/>
        <w:rPr>
          <w:sz w:val="23"/>
        </w:rPr>
      </w:pPr>
    </w:p>
    <w:p>
      <w:pPr>
        <w:pStyle w:val="Heading1"/>
        <w:ind w:left="3875" w:right="3908"/>
        <w:jc w:val="center"/>
      </w:pPr>
      <w:r>
        <w:rPr/>
        <w:t>TITULO TERCERO DERECHOS</w:t>
      </w:r>
    </w:p>
    <w:p>
      <w:pPr>
        <w:pStyle w:val="BodyText"/>
        <w:rPr>
          <w:b/>
        </w:rPr>
      </w:pPr>
    </w:p>
    <w:p>
      <w:pPr>
        <w:spacing w:before="0"/>
        <w:ind w:left="4048" w:right="4083" w:firstLine="1"/>
        <w:jc w:val="center"/>
        <w:rPr>
          <w:b/>
          <w:sz w:val="24"/>
        </w:rPr>
      </w:pPr>
      <w:r>
        <w:rPr>
          <w:b/>
          <w:sz w:val="24"/>
        </w:rPr>
        <w:t>Capítulo Primero Servicios Catastrales</w:t>
      </w:r>
    </w:p>
    <w:p>
      <w:pPr>
        <w:pStyle w:val="BodyText"/>
        <w:spacing w:before="1"/>
        <w:rPr>
          <w:b/>
        </w:rPr>
      </w:pPr>
    </w:p>
    <w:p>
      <w:pPr>
        <w:pStyle w:val="BodyText"/>
        <w:ind w:left="400" w:right="437"/>
        <w:jc w:val="both"/>
      </w:pPr>
      <w:r>
        <w:rPr>
          <w:b/>
        </w:rPr>
        <w:t>Artículo 12.- </w:t>
      </w:r>
      <w:r>
        <w:rPr/>
        <w:t>Los servicios catastrales serán prestados por la Dirección de Catastro e Impuesto Predial del Municipio de Tepic y se cobrarán conforme a las siguientes tarifas:</w:t>
      </w:r>
    </w:p>
    <w:p>
      <w:pPr>
        <w:pStyle w:val="BodyText"/>
      </w:pPr>
    </w:p>
    <w:p>
      <w:pPr>
        <w:pStyle w:val="ListParagraph"/>
        <w:numPr>
          <w:ilvl w:val="0"/>
          <w:numId w:val="6"/>
        </w:numPr>
        <w:tabs>
          <w:tab w:pos="1873" w:val="left" w:leader="none"/>
          <w:tab w:pos="1874" w:val="left" w:leader="none"/>
        </w:tabs>
        <w:spacing w:line="240" w:lineRule="auto" w:before="0" w:after="0"/>
        <w:ind w:left="1874" w:right="0" w:hanging="999"/>
        <w:jc w:val="left"/>
        <w:rPr>
          <w:sz w:val="24"/>
        </w:rPr>
      </w:pPr>
      <w:r>
        <w:rPr>
          <w:sz w:val="24"/>
        </w:rPr>
        <w:t>Copias de planos y cartografías</w:t>
      </w:r>
      <w:r>
        <w:rPr>
          <w:spacing w:val="-3"/>
          <w:sz w:val="24"/>
        </w:rPr>
        <w:t> </w:t>
      </w:r>
      <w:r>
        <w:rPr>
          <w:sz w:val="24"/>
        </w:rPr>
        <w:t>catastrales:</w:t>
      </w:r>
    </w:p>
    <w:p>
      <w:pPr>
        <w:pStyle w:val="BodyText"/>
      </w:pPr>
    </w:p>
    <w:p>
      <w:pPr>
        <w:pStyle w:val="ListParagraph"/>
        <w:numPr>
          <w:ilvl w:val="1"/>
          <w:numId w:val="6"/>
        </w:numPr>
        <w:tabs>
          <w:tab w:pos="1533" w:val="left" w:leader="none"/>
          <w:tab w:pos="1534" w:val="left" w:leader="none"/>
        </w:tabs>
        <w:spacing w:line="240" w:lineRule="auto" w:before="0" w:after="0"/>
        <w:ind w:left="1533" w:right="435" w:hanging="567"/>
        <w:jc w:val="left"/>
        <w:rPr>
          <w:sz w:val="24"/>
        </w:rPr>
      </w:pPr>
      <w:r>
        <w:rPr>
          <w:sz w:val="24"/>
        </w:rPr>
        <w:t>Planos a diferentes escalas y formatos en papel bond o en archivo digital no manipulable, superiores a doble carta (11”</w:t>
      </w:r>
      <w:r>
        <w:rPr>
          <w:spacing w:val="-2"/>
          <w:sz w:val="24"/>
        </w:rPr>
        <w:t> </w:t>
      </w:r>
      <w:r>
        <w:rPr>
          <w:sz w:val="24"/>
        </w:rPr>
        <w:t>X17”).</w:t>
      </w:r>
    </w:p>
    <w:p>
      <w:pPr>
        <w:spacing w:after="0" w:line="240" w:lineRule="auto"/>
        <w:jc w:val="left"/>
        <w:rPr>
          <w:sz w:val="24"/>
        </w:rPr>
        <w:sectPr>
          <w:pgSz w:w="12250" w:h="15850"/>
          <w:pgMar w:header="730" w:footer="0" w:top="1000" w:bottom="280" w:left="860" w:right="820"/>
        </w:sectPr>
      </w:pPr>
    </w:p>
    <w:p>
      <w:pPr>
        <w:pStyle w:val="BodyText"/>
        <w:spacing w:before="7"/>
        <w:rPr>
          <w:sz w:val="16"/>
        </w:rPr>
      </w:pPr>
      <w:r>
        <w:rPr/>
        <w:drawing>
          <wp:anchor distT="0" distB="0" distL="0" distR="0" allowOverlap="1" layoutInCell="1" locked="0" behindDoc="1" simplePos="0" relativeHeight="227479552">
            <wp:simplePos x="0" y="0"/>
            <wp:positionH relativeFrom="page">
              <wp:posOffset>1239220</wp:posOffset>
            </wp:positionH>
            <wp:positionV relativeFrom="page">
              <wp:posOffset>2058161</wp:posOffset>
            </wp:positionV>
            <wp:extent cx="5021401" cy="5143500"/>
            <wp:effectExtent l="0" t="0" r="0" b="0"/>
            <wp:wrapNone/>
            <wp:docPr id="25" name="image7.png"/>
            <wp:cNvGraphicFramePr>
              <a:graphicFrameLocks noChangeAspect="1"/>
            </wp:cNvGraphicFramePr>
            <a:graphic>
              <a:graphicData uri="http://schemas.openxmlformats.org/drawingml/2006/picture">
                <pic:pic>
                  <pic:nvPicPr>
                    <pic:cNvPr id="26" name="image7.png"/>
                    <pic:cNvPicPr/>
                  </pic:nvPicPr>
                  <pic:blipFill>
                    <a:blip r:embed="rId13" cstate="print"/>
                    <a:stretch>
                      <a:fillRect/>
                    </a:stretch>
                  </pic:blipFill>
                  <pic:spPr>
                    <a:xfrm>
                      <a:off x="0" y="0"/>
                      <a:ext cx="5021401" cy="5143500"/>
                    </a:xfrm>
                    <a:prstGeom prst="rect">
                      <a:avLst/>
                    </a:prstGeom>
                  </pic:spPr>
                </pic:pic>
              </a:graphicData>
            </a:graphic>
          </wp:anchor>
        </w:drawing>
      </w: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25"/>
        <w:gridCol w:w="1323"/>
      </w:tblGrid>
      <w:tr>
        <w:trPr>
          <w:trHeight w:val="822" w:hRule="atLeast"/>
        </w:trPr>
        <w:tc>
          <w:tcPr>
            <w:tcW w:w="8025" w:type="dxa"/>
          </w:tcPr>
          <w:p>
            <w:pPr>
              <w:pStyle w:val="TableParagraph"/>
              <w:spacing w:line="268" w:lineRule="exact"/>
              <w:ind w:left="2599"/>
              <w:rPr>
                <w:b/>
                <w:sz w:val="24"/>
              </w:rPr>
            </w:pPr>
            <w:r>
              <w:rPr>
                <w:b/>
                <w:sz w:val="24"/>
              </w:rPr>
              <w:t>Concepto</w:t>
            </w:r>
          </w:p>
          <w:p>
            <w:pPr>
              <w:pStyle w:val="TableParagraph"/>
              <w:spacing w:before="178"/>
              <w:ind w:left="191"/>
              <w:rPr>
                <w:sz w:val="24"/>
              </w:rPr>
            </w:pPr>
            <w:r>
              <w:rPr>
                <w:sz w:val="24"/>
              </w:rPr>
              <w:t>1.- Del municipio de Tepic</w:t>
            </w:r>
          </w:p>
        </w:tc>
        <w:tc>
          <w:tcPr>
            <w:tcW w:w="1323" w:type="dxa"/>
          </w:tcPr>
          <w:p>
            <w:pPr>
              <w:pStyle w:val="TableParagraph"/>
              <w:spacing w:line="268" w:lineRule="exact"/>
              <w:ind w:left="330"/>
              <w:rPr>
                <w:b/>
                <w:sz w:val="24"/>
              </w:rPr>
            </w:pPr>
            <w:r>
              <w:rPr>
                <w:b/>
                <w:sz w:val="24"/>
              </w:rPr>
              <w:t>Pesos</w:t>
            </w:r>
          </w:p>
          <w:p>
            <w:pPr>
              <w:pStyle w:val="TableParagraph"/>
              <w:spacing w:before="178"/>
              <w:ind w:left="304"/>
              <w:rPr>
                <w:sz w:val="24"/>
              </w:rPr>
            </w:pPr>
            <w:r>
              <w:rPr>
                <w:sz w:val="24"/>
              </w:rPr>
              <w:t>757.14</w:t>
            </w:r>
          </w:p>
        </w:tc>
      </w:tr>
      <w:tr>
        <w:trPr>
          <w:trHeight w:val="459" w:hRule="atLeast"/>
        </w:trPr>
        <w:tc>
          <w:tcPr>
            <w:tcW w:w="8025" w:type="dxa"/>
          </w:tcPr>
          <w:p>
            <w:pPr>
              <w:pStyle w:val="TableParagraph"/>
              <w:spacing w:before="92"/>
              <w:ind w:left="191"/>
              <w:rPr>
                <w:sz w:val="24"/>
              </w:rPr>
            </w:pPr>
            <w:r>
              <w:rPr>
                <w:sz w:val="24"/>
              </w:rPr>
              <w:t>2.- De la ciudad de Tepic</w:t>
            </w:r>
          </w:p>
        </w:tc>
        <w:tc>
          <w:tcPr>
            <w:tcW w:w="1323" w:type="dxa"/>
          </w:tcPr>
          <w:p>
            <w:pPr>
              <w:pStyle w:val="TableParagraph"/>
              <w:spacing w:before="92"/>
              <w:ind w:left="304"/>
              <w:rPr>
                <w:sz w:val="24"/>
              </w:rPr>
            </w:pPr>
            <w:r>
              <w:rPr>
                <w:sz w:val="24"/>
              </w:rPr>
              <w:t>757.14</w:t>
            </w:r>
          </w:p>
        </w:tc>
      </w:tr>
      <w:tr>
        <w:trPr>
          <w:trHeight w:val="459" w:hRule="atLeast"/>
        </w:trPr>
        <w:tc>
          <w:tcPr>
            <w:tcW w:w="8025" w:type="dxa"/>
          </w:tcPr>
          <w:p>
            <w:pPr>
              <w:pStyle w:val="TableParagraph"/>
              <w:spacing w:before="83"/>
              <w:ind w:left="191"/>
              <w:rPr>
                <w:sz w:val="24"/>
              </w:rPr>
            </w:pPr>
            <w:r>
              <w:rPr>
                <w:sz w:val="24"/>
              </w:rPr>
              <w:t>3.- De fraccionamientos o colonias con lotificación</w:t>
            </w:r>
          </w:p>
        </w:tc>
        <w:tc>
          <w:tcPr>
            <w:tcW w:w="1323" w:type="dxa"/>
          </w:tcPr>
          <w:p>
            <w:pPr>
              <w:pStyle w:val="TableParagraph"/>
              <w:spacing w:before="83"/>
              <w:ind w:left="104"/>
              <w:rPr>
                <w:sz w:val="24"/>
              </w:rPr>
            </w:pPr>
            <w:r>
              <w:rPr>
                <w:sz w:val="24"/>
              </w:rPr>
              <w:t>1,513.39</w:t>
            </w:r>
          </w:p>
        </w:tc>
      </w:tr>
      <w:tr>
        <w:trPr>
          <w:trHeight w:val="460" w:hRule="atLeast"/>
        </w:trPr>
        <w:tc>
          <w:tcPr>
            <w:tcW w:w="8025" w:type="dxa"/>
          </w:tcPr>
          <w:p>
            <w:pPr>
              <w:pStyle w:val="TableParagraph"/>
              <w:spacing w:before="92"/>
              <w:ind w:left="191"/>
              <w:rPr>
                <w:sz w:val="24"/>
              </w:rPr>
            </w:pPr>
            <w:r>
              <w:rPr>
                <w:sz w:val="24"/>
              </w:rPr>
              <w:t>4.- De sectores</w:t>
            </w:r>
          </w:p>
        </w:tc>
        <w:tc>
          <w:tcPr>
            <w:tcW w:w="1323" w:type="dxa"/>
          </w:tcPr>
          <w:p>
            <w:pPr>
              <w:pStyle w:val="TableParagraph"/>
              <w:spacing w:before="92"/>
              <w:ind w:left="304"/>
              <w:rPr>
                <w:sz w:val="24"/>
              </w:rPr>
            </w:pPr>
            <w:r>
              <w:rPr>
                <w:sz w:val="24"/>
              </w:rPr>
              <w:t>529.46</w:t>
            </w:r>
          </w:p>
        </w:tc>
      </w:tr>
      <w:tr>
        <w:trPr>
          <w:trHeight w:val="521" w:hRule="atLeast"/>
        </w:trPr>
        <w:tc>
          <w:tcPr>
            <w:tcW w:w="8025" w:type="dxa"/>
          </w:tcPr>
          <w:p>
            <w:pPr>
              <w:pStyle w:val="TableParagraph"/>
              <w:spacing w:before="85"/>
              <w:ind w:left="191"/>
              <w:rPr>
                <w:sz w:val="24"/>
              </w:rPr>
            </w:pPr>
            <w:r>
              <w:rPr>
                <w:sz w:val="24"/>
              </w:rPr>
              <w:t>5.- Por manzana</w:t>
            </w:r>
          </w:p>
        </w:tc>
        <w:tc>
          <w:tcPr>
            <w:tcW w:w="1323" w:type="dxa"/>
          </w:tcPr>
          <w:p>
            <w:pPr>
              <w:pStyle w:val="TableParagraph"/>
              <w:spacing w:before="85"/>
              <w:ind w:left="304"/>
              <w:rPr>
                <w:sz w:val="24"/>
              </w:rPr>
            </w:pPr>
            <w:r>
              <w:rPr>
                <w:sz w:val="24"/>
              </w:rPr>
              <w:t>269.64</w:t>
            </w:r>
          </w:p>
        </w:tc>
      </w:tr>
      <w:tr>
        <w:trPr>
          <w:trHeight w:val="571" w:hRule="atLeast"/>
        </w:trPr>
        <w:tc>
          <w:tcPr>
            <w:tcW w:w="8025" w:type="dxa"/>
          </w:tcPr>
          <w:p>
            <w:pPr>
              <w:pStyle w:val="TableParagraph"/>
              <w:tabs>
                <w:tab w:pos="880" w:val="left" w:leader="none"/>
              </w:tabs>
              <w:spacing w:before="153"/>
              <w:ind w:left="366"/>
              <w:rPr>
                <w:sz w:val="24"/>
              </w:rPr>
            </w:pPr>
            <w:r>
              <w:rPr>
                <w:b/>
                <w:sz w:val="24"/>
              </w:rPr>
              <w:t>II.</w:t>
              <w:tab/>
            </w:r>
            <w:r>
              <w:rPr>
                <w:sz w:val="24"/>
              </w:rPr>
              <w:t>Trabajos catastrales</w:t>
            </w:r>
            <w:r>
              <w:rPr>
                <w:spacing w:val="-1"/>
                <w:sz w:val="24"/>
              </w:rPr>
              <w:t> </w:t>
            </w:r>
            <w:r>
              <w:rPr>
                <w:sz w:val="24"/>
              </w:rPr>
              <w:t>especiales:</w:t>
            </w:r>
          </w:p>
        </w:tc>
        <w:tc>
          <w:tcPr>
            <w:tcW w:w="1323" w:type="dxa"/>
          </w:tcPr>
          <w:p>
            <w:pPr>
              <w:pStyle w:val="TableParagraph"/>
              <w:rPr>
                <w:rFonts w:ascii="Times New Roman"/>
                <w:sz w:val="24"/>
              </w:rPr>
            </w:pPr>
          </w:p>
        </w:tc>
      </w:tr>
      <w:tr>
        <w:trPr>
          <w:trHeight w:val="552" w:hRule="atLeast"/>
        </w:trPr>
        <w:tc>
          <w:tcPr>
            <w:tcW w:w="8025" w:type="dxa"/>
          </w:tcPr>
          <w:p>
            <w:pPr>
              <w:pStyle w:val="TableParagraph"/>
              <w:spacing w:before="134"/>
              <w:ind w:left="880"/>
              <w:rPr>
                <w:sz w:val="24"/>
              </w:rPr>
            </w:pPr>
            <w:r>
              <w:rPr>
                <w:b/>
                <w:sz w:val="24"/>
              </w:rPr>
              <w:t>a. </w:t>
            </w:r>
            <w:r>
              <w:rPr>
                <w:sz w:val="24"/>
              </w:rPr>
              <w:t>Levantamiento topográfico:</w:t>
            </w:r>
          </w:p>
        </w:tc>
        <w:tc>
          <w:tcPr>
            <w:tcW w:w="1323" w:type="dxa"/>
          </w:tcPr>
          <w:p>
            <w:pPr>
              <w:pStyle w:val="TableParagraph"/>
              <w:rPr>
                <w:rFonts w:ascii="Times New Roman"/>
                <w:sz w:val="24"/>
              </w:rPr>
            </w:pPr>
          </w:p>
        </w:tc>
      </w:tr>
      <w:tr>
        <w:trPr>
          <w:trHeight w:val="567" w:hRule="atLeast"/>
        </w:trPr>
        <w:tc>
          <w:tcPr>
            <w:tcW w:w="8025" w:type="dxa"/>
          </w:tcPr>
          <w:p>
            <w:pPr>
              <w:pStyle w:val="TableParagraph"/>
              <w:spacing w:before="134"/>
              <w:ind w:left="3216" w:right="3268"/>
              <w:jc w:val="center"/>
              <w:rPr>
                <w:b/>
                <w:sz w:val="24"/>
              </w:rPr>
            </w:pPr>
            <w:r>
              <w:rPr>
                <w:b/>
                <w:sz w:val="24"/>
              </w:rPr>
              <w:t>Concepto</w:t>
            </w:r>
          </w:p>
        </w:tc>
        <w:tc>
          <w:tcPr>
            <w:tcW w:w="1323" w:type="dxa"/>
          </w:tcPr>
          <w:p>
            <w:pPr>
              <w:pStyle w:val="TableParagraph"/>
              <w:spacing w:before="134"/>
              <w:ind w:left="337"/>
              <w:rPr>
                <w:b/>
                <w:sz w:val="24"/>
              </w:rPr>
            </w:pPr>
            <w:r>
              <w:rPr>
                <w:b/>
                <w:sz w:val="24"/>
              </w:rPr>
              <w:t>Pesos</w:t>
            </w:r>
          </w:p>
        </w:tc>
      </w:tr>
      <w:tr>
        <w:trPr>
          <w:trHeight w:val="575" w:hRule="atLeast"/>
        </w:trPr>
        <w:tc>
          <w:tcPr>
            <w:tcW w:w="8025" w:type="dxa"/>
          </w:tcPr>
          <w:p>
            <w:pPr>
              <w:pStyle w:val="TableParagraph"/>
              <w:spacing w:before="149"/>
              <w:ind w:left="50"/>
              <w:rPr>
                <w:sz w:val="24"/>
              </w:rPr>
            </w:pPr>
            <w:r>
              <w:rPr>
                <w:sz w:val="24"/>
              </w:rPr>
              <w:t>1.- Predio rústico por cada hectárea en la periferia de la ciudad de Tepic.</w:t>
            </w:r>
          </w:p>
        </w:tc>
        <w:tc>
          <w:tcPr>
            <w:tcW w:w="1323" w:type="dxa"/>
          </w:tcPr>
          <w:p>
            <w:pPr>
              <w:pStyle w:val="TableParagraph"/>
              <w:spacing w:before="149"/>
              <w:ind w:right="49"/>
              <w:jc w:val="right"/>
              <w:rPr>
                <w:sz w:val="24"/>
              </w:rPr>
            </w:pPr>
            <w:r>
              <w:rPr>
                <w:sz w:val="24"/>
              </w:rPr>
              <w:t>2, 269.64</w:t>
            </w:r>
          </w:p>
        </w:tc>
      </w:tr>
      <w:tr>
        <w:trPr>
          <w:trHeight w:val="776" w:hRule="atLeast"/>
        </w:trPr>
        <w:tc>
          <w:tcPr>
            <w:tcW w:w="8025" w:type="dxa"/>
          </w:tcPr>
          <w:p>
            <w:pPr>
              <w:pStyle w:val="TableParagraph"/>
              <w:spacing w:before="142"/>
              <w:ind w:left="50"/>
              <w:rPr>
                <w:sz w:val="24"/>
              </w:rPr>
            </w:pPr>
            <w:r>
              <w:rPr>
                <w:sz w:val="24"/>
              </w:rPr>
              <w:t>2.- Predio rústico por cada hectárea fuera de la periferia de la ciudad de Tepic</w:t>
            </w:r>
          </w:p>
        </w:tc>
        <w:tc>
          <w:tcPr>
            <w:tcW w:w="1323" w:type="dxa"/>
          </w:tcPr>
          <w:p>
            <w:pPr>
              <w:pStyle w:val="TableParagraph"/>
              <w:spacing w:before="142"/>
              <w:ind w:right="48"/>
              <w:jc w:val="right"/>
              <w:rPr>
                <w:sz w:val="24"/>
              </w:rPr>
            </w:pPr>
            <w:r>
              <w:rPr>
                <w:sz w:val="24"/>
              </w:rPr>
              <w:t>3,026.79</w:t>
            </w:r>
          </w:p>
        </w:tc>
      </w:tr>
      <w:tr>
        <w:trPr>
          <w:trHeight w:val="690" w:hRule="atLeast"/>
        </w:trPr>
        <w:tc>
          <w:tcPr>
            <w:tcW w:w="8025" w:type="dxa"/>
          </w:tcPr>
          <w:p>
            <w:pPr>
              <w:pStyle w:val="TableParagraph"/>
              <w:spacing w:before="74"/>
              <w:ind w:left="50"/>
              <w:rPr>
                <w:sz w:val="24"/>
              </w:rPr>
            </w:pPr>
            <w:r>
              <w:rPr>
                <w:sz w:val="24"/>
              </w:rPr>
              <w:t>3.- Predio urbano dentro de la ciudad de Tepic; por cada cien metros cuadrados.</w:t>
            </w:r>
          </w:p>
        </w:tc>
        <w:tc>
          <w:tcPr>
            <w:tcW w:w="1323" w:type="dxa"/>
          </w:tcPr>
          <w:p>
            <w:pPr>
              <w:pStyle w:val="TableParagraph"/>
              <w:spacing w:before="74"/>
              <w:ind w:right="49"/>
              <w:jc w:val="right"/>
              <w:rPr>
                <w:sz w:val="24"/>
              </w:rPr>
            </w:pPr>
            <w:r>
              <w:rPr>
                <w:sz w:val="24"/>
              </w:rPr>
              <w:t>1, 135.71</w:t>
            </w:r>
          </w:p>
        </w:tc>
      </w:tr>
      <w:tr>
        <w:trPr>
          <w:trHeight w:val="608" w:hRule="atLeast"/>
        </w:trPr>
        <w:tc>
          <w:tcPr>
            <w:tcW w:w="8025" w:type="dxa"/>
          </w:tcPr>
          <w:p>
            <w:pPr>
              <w:pStyle w:val="TableParagraph"/>
              <w:spacing w:line="270" w:lineRule="atLeast" w:before="56"/>
              <w:ind w:left="50"/>
              <w:rPr>
                <w:sz w:val="24"/>
              </w:rPr>
            </w:pPr>
            <w:r>
              <w:rPr>
                <w:sz w:val="24"/>
              </w:rPr>
              <w:t>4.- Predio urbano fuera de la ciudad de Tepic; por cada cien metros cuadrados.</w:t>
            </w:r>
          </w:p>
        </w:tc>
        <w:tc>
          <w:tcPr>
            <w:tcW w:w="1323" w:type="dxa"/>
          </w:tcPr>
          <w:p>
            <w:pPr>
              <w:pStyle w:val="TableParagraph"/>
              <w:spacing w:before="56"/>
              <w:ind w:right="49"/>
              <w:jc w:val="right"/>
              <w:rPr>
                <w:sz w:val="24"/>
              </w:rPr>
            </w:pPr>
            <w:r>
              <w:rPr>
                <w:sz w:val="24"/>
              </w:rPr>
              <w:t>1, 513.39</w:t>
            </w:r>
          </w:p>
        </w:tc>
      </w:tr>
      <w:tr>
        <w:trPr>
          <w:trHeight w:val="566" w:hRule="atLeast"/>
        </w:trPr>
        <w:tc>
          <w:tcPr>
            <w:tcW w:w="8025" w:type="dxa"/>
          </w:tcPr>
          <w:p>
            <w:pPr>
              <w:pStyle w:val="TableParagraph"/>
              <w:spacing w:before="2"/>
              <w:rPr>
                <w:sz w:val="25"/>
              </w:rPr>
            </w:pPr>
          </w:p>
          <w:p>
            <w:pPr>
              <w:pStyle w:val="TableParagraph"/>
              <w:spacing w:line="256" w:lineRule="exact" w:before="1"/>
              <w:ind w:left="880" w:right="-44"/>
              <w:rPr>
                <w:sz w:val="24"/>
              </w:rPr>
            </w:pPr>
            <w:r>
              <w:rPr>
                <w:b/>
                <w:sz w:val="24"/>
              </w:rPr>
              <w:t>b. </w:t>
            </w:r>
            <w:r>
              <w:rPr>
                <w:sz w:val="24"/>
              </w:rPr>
              <w:t>Verificación de medidas físicas y colindancias de predio</w:t>
            </w:r>
            <w:r>
              <w:rPr>
                <w:spacing w:val="-9"/>
                <w:sz w:val="24"/>
              </w:rPr>
              <w:t> </w:t>
            </w:r>
            <w:r>
              <w:rPr>
                <w:sz w:val="24"/>
              </w:rPr>
              <w:t>urbano:</w:t>
            </w:r>
          </w:p>
        </w:tc>
        <w:tc>
          <w:tcPr>
            <w:tcW w:w="1323" w:type="dxa"/>
          </w:tcPr>
          <w:p>
            <w:pPr>
              <w:pStyle w:val="TableParagraph"/>
              <w:rPr>
                <w:rFonts w:ascii="Times New Roman"/>
                <w:sz w:val="24"/>
              </w:rPr>
            </w:pPr>
          </w:p>
        </w:tc>
      </w:tr>
      <w:tr>
        <w:trPr>
          <w:trHeight w:val="709" w:hRule="atLeast"/>
        </w:trPr>
        <w:tc>
          <w:tcPr>
            <w:tcW w:w="8025" w:type="dxa"/>
          </w:tcPr>
          <w:p>
            <w:pPr>
              <w:pStyle w:val="TableParagraph"/>
              <w:rPr>
                <w:sz w:val="24"/>
              </w:rPr>
            </w:pPr>
          </w:p>
          <w:p>
            <w:pPr>
              <w:pStyle w:val="TableParagraph"/>
              <w:ind w:left="3020" w:right="3465"/>
              <w:jc w:val="center"/>
              <w:rPr>
                <w:b/>
                <w:sz w:val="24"/>
              </w:rPr>
            </w:pPr>
            <w:r>
              <w:rPr>
                <w:b/>
                <w:sz w:val="24"/>
              </w:rPr>
              <w:t>Concepto</w:t>
            </w:r>
          </w:p>
        </w:tc>
        <w:tc>
          <w:tcPr>
            <w:tcW w:w="1323" w:type="dxa"/>
          </w:tcPr>
          <w:p>
            <w:pPr>
              <w:pStyle w:val="TableParagraph"/>
              <w:rPr>
                <w:sz w:val="24"/>
              </w:rPr>
            </w:pPr>
          </w:p>
          <w:p>
            <w:pPr>
              <w:pStyle w:val="TableParagraph"/>
              <w:ind w:left="258"/>
              <w:rPr>
                <w:b/>
                <w:sz w:val="24"/>
              </w:rPr>
            </w:pPr>
            <w:r>
              <w:rPr>
                <w:b/>
                <w:sz w:val="24"/>
              </w:rPr>
              <w:t>Pesos</w:t>
            </w:r>
          </w:p>
        </w:tc>
      </w:tr>
      <w:tr>
        <w:trPr>
          <w:trHeight w:val="590" w:hRule="atLeast"/>
        </w:trPr>
        <w:tc>
          <w:tcPr>
            <w:tcW w:w="8025" w:type="dxa"/>
          </w:tcPr>
          <w:p>
            <w:pPr>
              <w:pStyle w:val="TableParagraph"/>
              <w:spacing w:before="149"/>
              <w:ind w:left="230"/>
              <w:rPr>
                <w:sz w:val="24"/>
              </w:rPr>
            </w:pPr>
            <w:r>
              <w:rPr>
                <w:sz w:val="24"/>
              </w:rPr>
              <w:t>1.- Hasta 100 metros cuadrados de superficie.</w:t>
            </w:r>
          </w:p>
        </w:tc>
        <w:tc>
          <w:tcPr>
            <w:tcW w:w="1323" w:type="dxa"/>
          </w:tcPr>
          <w:p>
            <w:pPr>
              <w:pStyle w:val="TableParagraph"/>
              <w:spacing w:before="149"/>
              <w:ind w:right="106"/>
              <w:jc w:val="right"/>
              <w:rPr>
                <w:sz w:val="24"/>
              </w:rPr>
            </w:pPr>
            <w:r>
              <w:rPr>
                <w:sz w:val="24"/>
              </w:rPr>
              <w:t>530.36</w:t>
            </w:r>
          </w:p>
        </w:tc>
      </w:tr>
      <w:tr>
        <w:trPr>
          <w:trHeight w:val="589" w:hRule="atLeast"/>
        </w:trPr>
        <w:tc>
          <w:tcPr>
            <w:tcW w:w="8025" w:type="dxa"/>
          </w:tcPr>
          <w:p>
            <w:pPr>
              <w:pStyle w:val="TableParagraph"/>
              <w:spacing w:before="157"/>
              <w:ind w:left="230"/>
              <w:rPr>
                <w:sz w:val="24"/>
              </w:rPr>
            </w:pPr>
            <w:r>
              <w:rPr>
                <w:sz w:val="24"/>
              </w:rPr>
              <w:t>2.- De 100.01 a 200 metros cuadrados de superficie.</w:t>
            </w:r>
          </w:p>
        </w:tc>
        <w:tc>
          <w:tcPr>
            <w:tcW w:w="1323" w:type="dxa"/>
          </w:tcPr>
          <w:p>
            <w:pPr>
              <w:pStyle w:val="TableParagraph"/>
              <w:spacing w:before="157"/>
              <w:ind w:right="106"/>
              <w:jc w:val="right"/>
              <w:rPr>
                <w:sz w:val="24"/>
              </w:rPr>
            </w:pPr>
            <w:r>
              <w:rPr>
                <w:sz w:val="24"/>
              </w:rPr>
              <w:t>634.82</w:t>
            </w:r>
          </w:p>
        </w:tc>
      </w:tr>
      <w:tr>
        <w:trPr>
          <w:trHeight w:val="582" w:hRule="atLeast"/>
        </w:trPr>
        <w:tc>
          <w:tcPr>
            <w:tcW w:w="8025" w:type="dxa"/>
          </w:tcPr>
          <w:p>
            <w:pPr>
              <w:pStyle w:val="TableParagraph"/>
              <w:spacing w:before="148"/>
              <w:ind w:left="230"/>
              <w:rPr>
                <w:sz w:val="24"/>
              </w:rPr>
            </w:pPr>
            <w:r>
              <w:rPr>
                <w:sz w:val="24"/>
              </w:rPr>
              <w:t>3.- De 200.01 a 300 metros cuadrados de superficie.</w:t>
            </w:r>
          </w:p>
        </w:tc>
        <w:tc>
          <w:tcPr>
            <w:tcW w:w="1323" w:type="dxa"/>
          </w:tcPr>
          <w:p>
            <w:pPr>
              <w:pStyle w:val="TableParagraph"/>
              <w:spacing w:before="148"/>
              <w:ind w:right="106"/>
              <w:jc w:val="right"/>
              <w:rPr>
                <w:sz w:val="24"/>
              </w:rPr>
            </w:pPr>
            <w:r>
              <w:rPr>
                <w:sz w:val="24"/>
              </w:rPr>
              <w:t>681.25</w:t>
            </w:r>
          </w:p>
        </w:tc>
      </w:tr>
      <w:tr>
        <w:trPr>
          <w:trHeight w:val="589" w:hRule="atLeast"/>
        </w:trPr>
        <w:tc>
          <w:tcPr>
            <w:tcW w:w="8025" w:type="dxa"/>
          </w:tcPr>
          <w:p>
            <w:pPr>
              <w:pStyle w:val="TableParagraph"/>
              <w:spacing w:before="150"/>
              <w:ind w:left="230"/>
              <w:rPr>
                <w:sz w:val="24"/>
              </w:rPr>
            </w:pPr>
            <w:r>
              <w:rPr>
                <w:sz w:val="24"/>
              </w:rPr>
              <w:t>4.- De 300.01 a 500 metros cuadrados de superficie.</w:t>
            </w:r>
          </w:p>
        </w:tc>
        <w:tc>
          <w:tcPr>
            <w:tcW w:w="1323" w:type="dxa"/>
          </w:tcPr>
          <w:p>
            <w:pPr>
              <w:pStyle w:val="TableParagraph"/>
              <w:spacing w:before="150"/>
              <w:ind w:right="106"/>
              <w:jc w:val="right"/>
              <w:rPr>
                <w:sz w:val="24"/>
              </w:rPr>
            </w:pPr>
            <w:r>
              <w:rPr>
                <w:sz w:val="24"/>
              </w:rPr>
              <w:t>717.86</w:t>
            </w:r>
          </w:p>
        </w:tc>
      </w:tr>
      <w:tr>
        <w:trPr>
          <w:trHeight w:val="589" w:hRule="atLeast"/>
        </w:trPr>
        <w:tc>
          <w:tcPr>
            <w:tcW w:w="8025" w:type="dxa"/>
          </w:tcPr>
          <w:p>
            <w:pPr>
              <w:pStyle w:val="TableParagraph"/>
              <w:spacing w:before="155"/>
              <w:ind w:left="230"/>
              <w:rPr>
                <w:sz w:val="24"/>
              </w:rPr>
            </w:pPr>
            <w:r>
              <w:rPr>
                <w:sz w:val="24"/>
              </w:rPr>
              <w:t>5.- De 500.01 a 1,000 metros cuadrados de superficie.</w:t>
            </w:r>
          </w:p>
        </w:tc>
        <w:tc>
          <w:tcPr>
            <w:tcW w:w="1323" w:type="dxa"/>
          </w:tcPr>
          <w:p>
            <w:pPr>
              <w:pStyle w:val="TableParagraph"/>
              <w:spacing w:before="155"/>
              <w:ind w:right="106"/>
              <w:jc w:val="right"/>
              <w:rPr>
                <w:sz w:val="24"/>
              </w:rPr>
            </w:pPr>
            <w:r>
              <w:rPr>
                <w:sz w:val="24"/>
              </w:rPr>
              <w:t>794.64</w:t>
            </w:r>
          </w:p>
        </w:tc>
      </w:tr>
      <w:tr>
        <w:trPr>
          <w:trHeight w:val="590" w:hRule="atLeast"/>
        </w:trPr>
        <w:tc>
          <w:tcPr>
            <w:tcW w:w="8025" w:type="dxa"/>
          </w:tcPr>
          <w:p>
            <w:pPr>
              <w:pStyle w:val="TableParagraph"/>
              <w:spacing w:before="149"/>
              <w:ind w:left="230"/>
              <w:rPr>
                <w:sz w:val="24"/>
              </w:rPr>
            </w:pPr>
            <w:r>
              <w:rPr>
                <w:sz w:val="24"/>
              </w:rPr>
              <w:t>6.- De 1,000.01 a 2,000 metros cuadrados de superficie.</w:t>
            </w:r>
          </w:p>
        </w:tc>
        <w:tc>
          <w:tcPr>
            <w:tcW w:w="1323" w:type="dxa"/>
          </w:tcPr>
          <w:p>
            <w:pPr>
              <w:pStyle w:val="TableParagraph"/>
              <w:spacing w:before="149"/>
              <w:ind w:right="106"/>
              <w:jc w:val="right"/>
              <w:rPr>
                <w:sz w:val="24"/>
              </w:rPr>
            </w:pPr>
            <w:r>
              <w:rPr>
                <w:sz w:val="24"/>
              </w:rPr>
              <w:t>983.93</w:t>
            </w:r>
          </w:p>
        </w:tc>
      </w:tr>
      <w:tr>
        <w:trPr>
          <w:trHeight w:val="432" w:hRule="atLeast"/>
        </w:trPr>
        <w:tc>
          <w:tcPr>
            <w:tcW w:w="8025" w:type="dxa"/>
          </w:tcPr>
          <w:p>
            <w:pPr>
              <w:pStyle w:val="TableParagraph"/>
              <w:spacing w:line="256" w:lineRule="exact" w:before="157"/>
              <w:ind w:left="230"/>
              <w:rPr>
                <w:sz w:val="24"/>
              </w:rPr>
            </w:pPr>
            <w:r>
              <w:rPr>
                <w:sz w:val="24"/>
              </w:rPr>
              <w:t>7.- Después de 2,000.00 metros cuadrados de superficie; por cada</w:t>
            </w:r>
          </w:p>
        </w:tc>
        <w:tc>
          <w:tcPr>
            <w:tcW w:w="1323" w:type="dxa"/>
          </w:tcPr>
          <w:p>
            <w:pPr>
              <w:pStyle w:val="TableParagraph"/>
              <w:spacing w:line="256" w:lineRule="exact" w:before="157"/>
              <w:ind w:right="106"/>
              <w:jc w:val="right"/>
              <w:rPr>
                <w:sz w:val="24"/>
              </w:rPr>
            </w:pPr>
            <w:r>
              <w:rPr>
                <w:sz w:val="24"/>
              </w:rPr>
              <w:t>150.89</w:t>
            </w:r>
          </w:p>
        </w:tc>
      </w:tr>
      <w:tr>
        <w:trPr>
          <w:trHeight w:val="275" w:hRule="atLeast"/>
        </w:trPr>
        <w:tc>
          <w:tcPr>
            <w:tcW w:w="8025" w:type="dxa"/>
          </w:tcPr>
          <w:p>
            <w:pPr>
              <w:pStyle w:val="TableParagraph"/>
              <w:tabs>
                <w:tab w:pos="920" w:val="left" w:leader="none"/>
                <w:tab w:pos="1942" w:val="left" w:leader="none"/>
                <w:tab w:pos="3349" w:val="left" w:leader="none"/>
                <w:tab w:pos="4906" w:val="left" w:leader="none"/>
                <w:tab w:pos="5848" w:val="left" w:leader="none"/>
              </w:tabs>
              <w:spacing w:line="256" w:lineRule="exact"/>
              <w:ind w:left="230"/>
              <w:rPr>
                <w:sz w:val="24"/>
              </w:rPr>
            </w:pPr>
            <w:r>
              <w:rPr>
                <w:sz w:val="24"/>
              </w:rPr>
              <w:t>500</w:t>
              <w:tab/>
              <w:t>metros</w:t>
              <w:tab/>
              <w:t>cuadrados</w:t>
              <w:tab/>
              <w:t>adicionales,</w:t>
              <w:tab/>
              <w:t>previo</w:t>
              <w:tab/>
              <w:t>levantamiento</w:t>
            </w:r>
          </w:p>
        </w:tc>
        <w:tc>
          <w:tcPr>
            <w:tcW w:w="1323" w:type="dxa"/>
          </w:tcPr>
          <w:p>
            <w:pPr>
              <w:pStyle w:val="TableParagraph"/>
              <w:rPr>
                <w:rFonts w:ascii="Times New Roman"/>
                <w:sz w:val="20"/>
              </w:rPr>
            </w:pPr>
          </w:p>
        </w:tc>
      </w:tr>
    </w:tbl>
    <w:p>
      <w:pPr>
        <w:pStyle w:val="BodyText"/>
        <w:ind w:left="830"/>
      </w:pPr>
      <w:r>
        <w:rPr/>
        <w:t>topográfico</w:t>
      </w:r>
    </w:p>
    <w:p>
      <w:pPr>
        <w:spacing w:after="0"/>
        <w:sectPr>
          <w:pgSz w:w="12250" w:h="15850"/>
          <w:pgMar w:header="730" w:footer="0" w:top="1000" w:bottom="280" w:left="860" w:right="820"/>
        </w:sectPr>
      </w:pPr>
    </w:p>
    <w:p>
      <w:pPr>
        <w:pStyle w:val="BodyText"/>
        <w:spacing w:before="1"/>
        <w:rPr>
          <w:sz w:val="9"/>
        </w:rPr>
      </w:pPr>
    </w:p>
    <w:p>
      <w:pPr>
        <w:pStyle w:val="ListParagraph"/>
        <w:numPr>
          <w:ilvl w:val="2"/>
          <w:numId w:val="6"/>
        </w:numPr>
        <w:tabs>
          <w:tab w:pos="1841" w:val="left" w:leader="none"/>
        </w:tabs>
        <w:spacing w:line="240" w:lineRule="auto" w:before="93" w:after="0"/>
        <w:ind w:left="1840" w:right="438" w:hanging="360"/>
        <w:jc w:val="left"/>
        <w:rPr>
          <w:sz w:val="24"/>
        </w:rPr>
      </w:pPr>
      <w:r>
        <w:rPr>
          <w:sz w:val="24"/>
        </w:rPr>
        <w:t>Verificación de medidas físicas y colindancias de predio rústico previo</w:t>
      </w:r>
      <w:r>
        <w:rPr>
          <w:spacing w:val="31"/>
          <w:sz w:val="24"/>
        </w:rPr>
        <w:t> </w:t>
      </w:r>
      <w:r>
        <w:rPr>
          <w:sz w:val="24"/>
        </w:rPr>
        <w:t>a levantamiento topográfico</w:t>
      </w:r>
      <w:r>
        <w:rPr>
          <w:spacing w:val="-2"/>
          <w:sz w:val="24"/>
        </w:rPr>
        <w:t> </w:t>
      </w:r>
      <w:r>
        <w:rPr>
          <w:sz w:val="24"/>
        </w:rPr>
        <w:t>certificado:</w:t>
      </w:r>
    </w:p>
    <w:p>
      <w:pPr>
        <w:pStyle w:val="BodyText"/>
      </w:pPr>
    </w:p>
    <w:p>
      <w:pPr>
        <w:pStyle w:val="Heading1"/>
        <w:tabs>
          <w:tab w:pos="8720" w:val="left" w:leader="none"/>
        </w:tabs>
        <w:ind w:left="3437"/>
      </w:pPr>
      <w:bookmarkStart w:name="_TOC_250000" w:id="1"/>
      <w:bookmarkEnd w:id="1"/>
      <w:r>
        <w:rPr/>
        <w:t>Concepto</w:t>
        <w:tab/>
        <w:t>Precio</w:t>
      </w:r>
    </w:p>
    <w:p>
      <w:pPr>
        <w:pStyle w:val="ListParagraph"/>
        <w:numPr>
          <w:ilvl w:val="0"/>
          <w:numId w:val="7"/>
        </w:numPr>
        <w:tabs>
          <w:tab w:pos="1788" w:val="left" w:leader="none"/>
          <w:tab w:pos="9455" w:val="right" w:leader="none"/>
        </w:tabs>
        <w:spacing w:line="240" w:lineRule="auto" w:before="0" w:after="0"/>
        <w:ind w:left="1787" w:right="0" w:hanging="361"/>
        <w:jc w:val="left"/>
        <w:rPr>
          <w:sz w:val="24"/>
        </w:rPr>
      </w:pPr>
      <w:r>
        <w:rPr>
          <w:sz w:val="24"/>
        </w:rPr>
        <w:t>Hasta 50,000.00 metros cuadrados</w:t>
      </w:r>
      <w:r>
        <w:rPr>
          <w:spacing w:val="-7"/>
          <w:sz w:val="24"/>
        </w:rPr>
        <w:t> </w:t>
      </w:r>
      <w:r>
        <w:rPr>
          <w:sz w:val="24"/>
        </w:rPr>
        <w:t>de superficie</w:t>
        <w:tab/>
        <w:t>756.25</w:t>
      </w:r>
    </w:p>
    <w:p>
      <w:pPr>
        <w:spacing w:after="0" w:line="240" w:lineRule="auto"/>
        <w:jc w:val="left"/>
        <w:rPr>
          <w:sz w:val="24"/>
        </w:rPr>
        <w:sectPr>
          <w:pgSz w:w="12250" w:h="15850"/>
          <w:pgMar w:header="730" w:footer="0" w:top="1000" w:bottom="280" w:left="860" w:right="820"/>
        </w:sectPr>
      </w:pPr>
    </w:p>
    <w:p>
      <w:pPr>
        <w:pStyle w:val="ListParagraph"/>
        <w:numPr>
          <w:ilvl w:val="0"/>
          <w:numId w:val="7"/>
        </w:numPr>
        <w:tabs>
          <w:tab w:pos="1788" w:val="left" w:leader="none"/>
        </w:tabs>
        <w:spacing w:line="360" w:lineRule="auto" w:before="137" w:after="0"/>
        <w:ind w:left="1787" w:right="1" w:hanging="360"/>
        <w:jc w:val="both"/>
        <w:rPr>
          <w:sz w:val="24"/>
        </w:rPr>
      </w:pPr>
      <w:r>
        <w:rPr/>
        <w:drawing>
          <wp:anchor distT="0" distB="0" distL="0" distR="0" allowOverlap="1" layoutInCell="1" locked="0" behindDoc="1" simplePos="0" relativeHeight="227480576">
            <wp:simplePos x="0" y="0"/>
            <wp:positionH relativeFrom="page">
              <wp:posOffset>1252555</wp:posOffset>
            </wp:positionH>
            <wp:positionV relativeFrom="paragraph">
              <wp:posOffset>408760</wp:posOffset>
            </wp:positionV>
            <wp:extent cx="5022641" cy="5144769"/>
            <wp:effectExtent l="0" t="0" r="0" b="0"/>
            <wp:wrapNone/>
            <wp:docPr id="27" name="image8.png"/>
            <wp:cNvGraphicFramePr>
              <a:graphicFrameLocks noChangeAspect="1"/>
            </wp:cNvGraphicFramePr>
            <a:graphic>
              <a:graphicData uri="http://schemas.openxmlformats.org/drawingml/2006/picture">
                <pic:pic>
                  <pic:nvPicPr>
                    <pic:cNvPr id="28" name="image8.png"/>
                    <pic:cNvPicPr/>
                  </pic:nvPicPr>
                  <pic:blipFill>
                    <a:blip r:embed="rId14" cstate="print"/>
                    <a:stretch>
                      <a:fillRect/>
                    </a:stretch>
                  </pic:blipFill>
                  <pic:spPr>
                    <a:xfrm>
                      <a:off x="0" y="0"/>
                      <a:ext cx="5022641" cy="5144769"/>
                    </a:xfrm>
                    <a:prstGeom prst="rect">
                      <a:avLst/>
                    </a:prstGeom>
                  </pic:spPr>
                </pic:pic>
              </a:graphicData>
            </a:graphic>
          </wp:anchor>
        </w:drawing>
      </w:r>
      <w:r>
        <w:rPr>
          <w:sz w:val="24"/>
        </w:rPr>
        <w:t>De 50,000.01 a 100,000.00 metros cuadrados de superficie</w:t>
      </w:r>
    </w:p>
    <w:p>
      <w:pPr>
        <w:pStyle w:val="ListParagraph"/>
        <w:numPr>
          <w:ilvl w:val="0"/>
          <w:numId w:val="7"/>
        </w:numPr>
        <w:tabs>
          <w:tab w:pos="1788" w:val="left" w:leader="none"/>
        </w:tabs>
        <w:spacing w:line="360" w:lineRule="auto" w:before="0" w:after="0"/>
        <w:ind w:left="1787" w:right="1" w:hanging="360"/>
        <w:jc w:val="both"/>
        <w:rPr>
          <w:sz w:val="24"/>
        </w:rPr>
      </w:pPr>
      <w:r>
        <w:rPr>
          <w:sz w:val="24"/>
        </w:rPr>
        <w:t>De 100,000.01 metros cuadrados de superficie en adelante</w:t>
      </w:r>
    </w:p>
    <w:p>
      <w:pPr>
        <w:pStyle w:val="ListParagraph"/>
        <w:numPr>
          <w:ilvl w:val="2"/>
          <w:numId w:val="6"/>
        </w:numPr>
        <w:tabs>
          <w:tab w:pos="2508" w:val="left" w:leader="none"/>
        </w:tabs>
        <w:spacing w:line="362" w:lineRule="auto" w:before="0" w:after="0"/>
        <w:ind w:left="2507" w:right="0" w:hanging="420"/>
        <w:jc w:val="both"/>
        <w:rPr>
          <w:sz w:val="24"/>
        </w:rPr>
      </w:pPr>
      <w:r>
        <w:rPr>
          <w:sz w:val="24"/>
        </w:rPr>
        <w:t>Presentación de testimonio de apeo y deslinde</w:t>
      </w:r>
      <w:r>
        <w:rPr>
          <w:spacing w:val="-3"/>
          <w:sz w:val="24"/>
        </w:rPr>
        <w:t> </w:t>
      </w:r>
      <w:r>
        <w:rPr>
          <w:sz w:val="24"/>
        </w:rPr>
        <w:t>notarial.</w:t>
      </w:r>
    </w:p>
    <w:p>
      <w:pPr>
        <w:pStyle w:val="ListParagraph"/>
        <w:numPr>
          <w:ilvl w:val="2"/>
          <w:numId w:val="6"/>
        </w:numPr>
        <w:tabs>
          <w:tab w:pos="2508" w:val="left" w:leader="none"/>
        </w:tabs>
        <w:spacing w:line="360" w:lineRule="auto" w:before="0" w:after="0"/>
        <w:ind w:left="2507" w:right="0" w:hanging="360"/>
        <w:jc w:val="both"/>
        <w:rPr>
          <w:sz w:val="24"/>
        </w:rPr>
      </w:pPr>
      <w:r>
        <w:rPr>
          <w:sz w:val="24"/>
        </w:rPr>
        <w:t>Manifestación de construcción previa licencia de construcción o dictamen </w:t>
      </w:r>
      <w:r>
        <w:rPr>
          <w:spacing w:val="-7"/>
          <w:sz w:val="24"/>
        </w:rPr>
        <w:t>de </w:t>
      </w:r>
      <w:r>
        <w:rPr>
          <w:sz w:val="24"/>
        </w:rPr>
        <w:t>ocupación.</w:t>
      </w:r>
    </w:p>
    <w:p>
      <w:pPr>
        <w:pStyle w:val="BodyText"/>
        <w:spacing w:before="137"/>
        <w:ind w:right="1104"/>
        <w:jc w:val="right"/>
      </w:pPr>
      <w:r>
        <w:rPr/>
        <w:br w:type="column"/>
      </w:r>
      <w:r>
        <w:rPr>
          <w:spacing w:val="-1"/>
        </w:rPr>
        <w:t>1,512.50</w:t>
      </w:r>
    </w:p>
    <w:p>
      <w:pPr>
        <w:pStyle w:val="BodyText"/>
        <w:rPr>
          <w:sz w:val="26"/>
        </w:rPr>
      </w:pPr>
    </w:p>
    <w:p>
      <w:pPr>
        <w:pStyle w:val="BodyText"/>
        <w:rPr>
          <w:sz w:val="22"/>
        </w:rPr>
      </w:pPr>
    </w:p>
    <w:p>
      <w:pPr>
        <w:pStyle w:val="BodyText"/>
        <w:ind w:right="1104"/>
        <w:jc w:val="right"/>
      </w:pPr>
      <w:r>
        <w:rPr>
          <w:spacing w:val="-1"/>
        </w:rPr>
        <w:t>3,025.00</w:t>
      </w:r>
    </w:p>
    <w:p>
      <w:pPr>
        <w:pStyle w:val="BodyText"/>
        <w:rPr>
          <w:sz w:val="26"/>
        </w:rPr>
      </w:pPr>
    </w:p>
    <w:p>
      <w:pPr>
        <w:pStyle w:val="BodyText"/>
        <w:rPr>
          <w:sz w:val="22"/>
        </w:rPr>
      </w:pPr>
    </w:p>
    <w:p>
      <w:pPr>
        <w:pStyle w:val="BodyText"/>
        <w:ind w:right="1105"/>
        <w:jc w:val="right"/>
      </w:pPr>
      <w:r>
        <w:rPr>
          <w:spacing w:val="-1"/>
        </w:rPr>
        <w:t>399.11</w:t>
      </w:r>
    </w:p>
    <w:p>
      <w:pPr>
        <w:pStyle w:val="BodyText"/>
        <w:rPr>
          <w:sz w:val="26"/>
        </w:rPr>
      </w:pPr>
    </w:p>
    <w:p>
      <w:pPr>
        <w:pStyle w:val="BodyText"/>
        <w:spacing w:before="1"/>
        <w:rPr>
          <w:sz w:val="22"/>
        </w:rPr>
      </w:pPr>
    </w:p>
    <w:p>
      <w:pPr>
        <w:pStyle w:val="BodyText"/>
        <w:ind w:right="1105"/>
        <w:jc w:val="right"/>
      </w:pPr>
      <w:r>
        <w:rPr>
          <w:spacing w:val="-1"/>
        </w:rPr>
        <w:t>465.18</w:t>
      </w:r>
    </w:p>
    <w:p>
      <w:pPr>
        <w:spacing w:after="0"/>
        <w:jc w:val="right"/>
        <w:sectPr>
          <w:type w:val="continuous"/>
          <w:pgSz w:w="12250" w:h="15850"/>
          <w:pgMar w:top="840" w:bottom="280" w:left="860" w:right="820"/>
          <w:cols w:num="2" w:equalWidth="0">
            <w:col w:w="7184" w:space="40"/>
            <w:col w:w="3346"/>
          </w:cols>
        </w:sectPr>
      </w:pPr>
    </w:p>
    <w:p>
      <w:pPr>
        <w:pStyle w:val="ListParagraph"/>
        <w:numPr>
          <w:ilvl w:val="2"/>
          <w:numId w:val="6"/>
        </w:numPr>
        <w:tabs>
          <w:tab w:pos="1840" w:val="left" w:leader="none"/>
          <w:tab w:pos="1841" w:val="left" w:leader="none"/>
        </w:tabs>
        <w:spacing w:line="273" w:lineRule="exact" w:before="0" w:after="0"/>
        <w:ind w:left="1840" w:right="0" w:hanging="361"/>
        <w:jc w:val="left"/>
        <w:rPr>
          <w:sz w:val="24"/>
        </w:rPr>
      </w:pPr>
      <w:r>
        <w:rPr>
          <w:sz w:val="24"/>
        </w:rPr>
        <w:t>Manifestación de construcción por predio de más de diez años</w:t>
      </w:r>
      <w:r>
        <w:rPr>
          <w:spacing w:val="-15"/>
          <w:sz w:val="24"/>
        </w:rPr>
        <w:t> </w:t>
      </w:r>
      <w:r>
        <w:rPr>
          <w:sz w:val="24"/>
        </w:rPr>
        <w:t>construidos:</w:t>
      </w:r>
    </w:p>
    <w:p>
      <w:pPr>
        <w:pStyle w:val="BodyText"/>
        <w:spacing w:before="7" w:after="1"/>
      </w:pPr>
    </w:p>
    <w:tbl>
      <w:tblPr>
        <w:tblW w:w="0" w:type="auto"/>
        <w:jc w:val="left"/>
        <w:tblInd w:w="2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5"/>
        <w:gridCol w:w="1253"/>
      </w:tblGrid>
      <w:tr>
        <w:trPr>
          <w:trHeight w:val="410" w:hRule="atLeast"/>
        </w:trPr>
        <w:tc>
          <w:tcPr>
            <w:tcW w:w="6145" w:type="dxa"/>
          </w:tcPr>
          <w:p>
            <w:pPr>
              <w:pStyle w:val="TableParagraph"/>
              <w:spacing w:line="268" w:lineRule="exact"/>
              <w:ind w:left="2280" w:right="2718"/>
              <w:jc w:val="center"/>
              <w:rPr>
                <w:b/>
                <w:sz w:val="24"/>
              </w:rPr>
            </w:pPr>
            <w:r>
              <w:rPr>
                <w:b/>
                <w:sz w:val="24"/>
              </w:rPr>
              <w:t>Concepto</w:t>
            </w:r>
          </w:p>
        </w:tc>
        <w:tc>
          <w:tcPr>
            <w:tcW w:w="1253" w:type="dxa"/>
          </w:tcPr>
          <w:p>
            <w:pPr>
              <w:pStyle w:val="TableParagraph"/>
              <w:spacing w:line="268" w:lineRule="exact"/>
              <w:ind w:right="46"/>
              <w:jc w:val="right"/>
              <w:rPr>
                <w:b/>
                <w:sz w:val="24"/>
              </w:rPr>
            </w:pPr>
            <w:r>
              <w:rPr>
                <w:b/>
                <w:w w:val="95"/>
                <w:sz w:val="24"/>
              </w:rPr>
              <w:t>Precio</w:t>
            </w:r>
          </w:p>
        </w:tc>
      </w:tr>
      <w:tr>
        <w:trPr>
          <w:trHeight w:val="559" w:hRule="atLeast"/>
        </w:trPr>
        <w:tc>
          <w:tcPr>
            <w:tcW w:w="6145" w:type="dxa"/>
          </w:tcPr>
          <w:p>
            <w:pPr>
              <w:pStyle w:val="TableParagraph"/>
              <w:spacing w:before="134"/>
              <w:ind w:left="50"/>
              <w:rPr>
                <w:sz w:val="24"/>
              </w:rPr>
            </w:pPr>
            <w:r>
              <w:rPr>
                <w:sz w:val="24"/>
              </w:rPr>
              <w:t>Hasta 100 metros cuadrados de construcción</w:t>
            </w:r>
          </w:p>
        </w:tc>
        <w:tc>
          <w:tcPr>
            <w:tcW w:w="1253" w:type="dxa"/>
          </w:tcPr>
          <w:p>
            <w:pPr>
              <w:pStyle w:val="TableParagraph"/>
              <w:spacing w:before="134"/>
              <w:ind w:right="47"/>
              <w:jc w:val="right"/>
              <w:rPr>
                <w:sz w:val="24"/>
              </w:rPr>
            </w:pPr>
            <w:r>
              <w:rPr>
                <w:sz w:val="24"/>
              </w:rPr>
              <w:t>884.83</w:t>
            </w:r>
          </w:p>
        </w:tc>
      </w:tr>
      <w:tr>
        <w:trPr>
          <w:trHeight w:val="566" w:hRule="atLeast"/>
        </w:trPr>
        <w:tc>
          <w:tcPr>
            <w:tcW w:w="6145" w:type="dxa"/>
          </w:tcPr>
          <w:p>
            <w:pPr>
              <w:pStyle w:val="TableParagraph"/>
              <w:spacing w:before="141"/>
              <w:ind w:left="50"/>
              <w:rPr>
                <w:sz w:val="24"/>
              </w:rPr>
            </w:pPr>
            <w:r>
              <w:rPr>
                <w:sz w:val="24"/>
              </w:rPr>
              <w:t>De 101 a 200 metros cuadrados de construcción</w:t>
            </w:r>
          </w:p>
        </w:tc>
        <w:tc>
          <w:tcPr>
            <w:tcW w:w="1253" w:type="dxa"/>
          </w:tcPr>
          <w:p>
            <w:pPr>
              <w:pStyle w:val="TableParagraph"/>
              <w:spacing w:before="141"/>
              <w:ind w:right="47"/>
              <w:jc w:val="right"/>
              <w:rPr>
                <w:sz w:val="24"/>
              </w:rPr>
            </w:pPr>
            <w:r>
              <w:rPr>
                <w:sz w:val="24"/>
              </w:rPr>
              <w:t>1,327.68</w:t>
            </w:r>
          </w:p>
        </w:tc>
      </w:tr>
      <w:tr>
        <w:trPr>
          <w:trHeight w:val="566" w:hRule="atLeast"/>
        </w:trPr>
        <w:tc>
          <w:tcPr>
            <w:tcW w:w="6145" w:type="dxa"/>
          </w:tcPr>
          <w:p>
            <w:pPr>
              <w:pStyle w:val="TableParagraph"/>
              <w:spacing w:before="141"/>
              <w:ind w:left="50"/>
              <w:rPr>
                <w:sz w:val="24"/>
              </w:rPr>
            </w:pPr>
            <w:r>
              <w:rPr>
                <w:sz w:val="24"/>
              </w:rPr>
              <w:t>De 201 a 300 metros cuadrados de construcción</w:t>
            </w:r>
          </w:p>
        </w:tc>
        <w:tc>
          <w:tcPr>
            <w:tcW w:w="1253" w:type="dxa"/>
          </w:tcPr>
          <w:p>
            <w:pPr>
              <w:pStyle w:val="TableParagraph"/>
              <w:spacing w:before="141"/>
              <w:ind w:right="47"/>
              <w:jc w:val="right"/>
              <w:rPr>
                <w:sz w:val="24"/>
              </w:rPr>
            </w:pPr>
            <w:r>
              <w:rPr>
                <w:sz w:val="24"/>
              </w:rPr>
              <w:t>1,770.54</w:t>
            </w:r>
          </w:p>
        </w:tc>
      </w:tr>
      <w:tr>
        <w:trPr>
          <w:trHeight w:val="567" w:hRule="atLeast"/>
        </w:trPr>
        <w:tc>
          <w:tcPr>
            <w:tcW w:w="6145" w:type="dxa"/>
          </w:tcPr>
          <w:p>
            <w:pPr>
              <w:pStyle w:val="TableParagraph"/>
              <w:spacing w:before="141"/>
              <w:ind w:left="50"/>
              <w:rPr>
                <w:sz w:val="24"/>
              </w:rPr>
            </w:pPr>
            <w:r>
              <w:rPr>
                <w:sz w:val="24"/>
              </w:rPr>
              <w:t>De 301 a 500 metros cuadrados de construcción</w:t>
            </w:r>
          </w:p>
        </w:tc>
        <w:tc>
          <w:tcPr>
            <w:tcW w:w="1253" w:type="dxa"/>
          </w:tcPr>
          <w:p>
            <w:pPr>
              <w:pStyle w:val="TableParagraph"/>
              <w:spacing w:before="141"/>
              <w:ind w:right="47"/>
              <w:jc w:val="right"/>
              <w:rPr>
                <w:sz w:val="24"/>
              </w:rPr>
            </w:pPr>
            <w:r>
              <w:rPr>
                <w:sz w:val="24"/>
              </w:rPr>
              <w:t>2,213.34</w:t>
            </w:r>
          </w:p>
        </w:tc>
      </w:tr>
      <w:tr>
        <w:trPr>
          <w:trHeight w:val="418" w:hRule="atLeast"/>
        </w:trPr>
        <w:tc>
          <w:tcPr>
            <w:tcW w:w="6145" w:type="dxa"/>
          </w:tcPr>
          <w:p>
            <w:pPr>
              <w:pStyle w:val="TableParagraph"/>
              <w:spacing w:line="256" w:lineRule="exact" w:before="142"/>
              <w:ind w:left="50"/>
              <w:rPr>
                <w:sz w:val="24"/>
              </w:rPr>
            </w:pPr>
            <w:r>
              <w:rPr>
                <w:sz w:val="24"/>
              </w:rPr>
              <w:t>De 501 metros cuadrados de construcción en adelante</w:t>
            </w:r>
          </w:p>
        </w:tc>
        <w:tc>
          <w:tcPr>
            <w:tcW w:w="1253" w:type="dxa"/>
          </w:tcPr>
          <w:p>
            <w:pPr>
              <w:pStyle w:val="TableParagraph"/>
              <w:spacing w:line="256" w:lineRule="exact" w:before="142"/>
              <w:ind w:right="47"/>
              <w:jc w:val="right"/>
              <w:rPr>
                <w:sz w:val="24"/>
              </w:rPr>
            </w:pPr>
            <w:r>
              <w:rPr>
                <w:sz w:val="24"/>
              </w:rPr>
              <w:t>2,656.20</w:t>
            </w:r>
          </w:p>
        </w:tc>
      </w:tr>
    </w:tbl>
    <w:p>
      <w:pPr>
        <w:pStyle w:val="BodyText"/>
        <w:spacing w:before="2"/>
        <w:rPr>
          <w:sz w:val="25"/>
        </w:rPr>
      </w:pPr>
    </w:p>
    <w:p>
      <w:pPr>
        <w:pStyle w:val="Heading1"/>
        <w:numPr>
          <w:ilvl w:val="0"/>
          <w:numId w:val="8"/>
        </w:numPr>
        <w:tabs>
          <w:tab w:pos="1121" w:val="left" w:leader="none"/>
        </w:tabs>
        <w:spacing w:line="240" w:lineRule="auto" w:before="1" w:after="0"/>
        <w:ind w:left="1120" w:right="0" w:hanging="361"/>
        <w:jc w:val="left"/>
      </w:pPr>
      <w:r>
        <w:rPr/>
        <w:t>Servicios</w:t>
      </w:r>
      <w:r>
        <w:rPr>
          <w:spacing w:val="-2"/>
        </w:rPr>
        <w:t> </w:t>
      </w:r>
      <w:r>
        <w:rPr/>
        <w:t>catastrales</w:t>
      </w:r>
    </w:p>
    <w:p>
      <w:pPr>
        <w:pStyle w:val="ListParagraph"/>
        <w:numPr>
          <w:ilvl w:val="1"/>
          <w:numId w:val="8"/>
        </w:numPr>
        <w:tabs>
          <w:tab w:pos="1528" w:val="left" w:leader="none"/>
          <w:tab w:pos="1529" w:val="left" w:leader="none"/>
          <w:tab w:pos="9505" w:val="right" w:leader="none"/>
        </w:tabs>
        <w:spacing w:line="240" w:lineRule="auto" w:before="276" w:after="0"/>
        <w:ind w:left="1528" w:right="0" w:hanging="570"/>
        <w:jc w:val="left"/>
        <w:rPr>
          <w:sz w:val="24"/>
        </w:rPr>
      </w:pPr>
      <w:r>
        <w:rPr>
          <w:sz w:val="24"/>
        </w:rPr>
        <w:t>Derecho de trámite de escrituración por</w:t>
      </w:r>
      <w:r>
        <w:rPr>
          <w:spacing w:val="-8"/>
          <w:sz w:val="24"/>
        </w:rPr>
        <w:t> </w:t>
      </w:r>
      <w:r>
        <w:rPr>
          <w:sz w:val="24"/>
        </w:rPr>
        <w:t>clave</w:t>
      </w:r>
      <w:r>
        <w:rPr>
          <w:spacing w:val="-3"/>
          <w:sz w:val="24"/>
        </w:rPr>
        <w:t> </w:t>
      </w:r>
      <w:r>
        <w:rPr>
          <w:sz w:val="24"/>
        </w:rPr>
        <w:t>catastral</w:t>
        <w:tab/>
        <w:t>225.89</w:t>
      </w:r>
    </w:p>
    <w:p>
      <w:pPr>
        <w:pStyle w:val="ListParagraph"/>
        <w:numPr>
          <w:ilvl w:val="1"/>
          <w:numId w:val="8"/>
        </w:numPr>
        <w:tabs>
          <w:tab w:pos="1533" w:val="left" w:leader="none"/>
          <w:tab w:pos="1534" w:val="left" w:leader="none"/>
        </w:tabs>
        <w:spacing w:line="240" w:lineRule="auto" w:before="137" w:after="0"/>
        <w:ind w:left="1533" w:right="0" w:hanging="568"/>
        <w:jc w:val="left"/>
        <w:rPr>
          <w:sz w:val="24"/>
        </w:rPr>
      </w:pPr>
      <w:r>
        <w:rPr>
          <w:sz w:val="24"/>
        </w:rPr>
        <w:t>Expedición de avalúo catastral con medidas y colindancias de un predio</w:t>
      </w:r>
      <w:r>
        <w:rPr>
          <w:spacing w:val="-15"/>
          <w:sz w:val="24"/>
        </w:rPr>
        <w:t> </w:t>
      </w:r>
      <w:r>
        <w:rPr>
          <w:sz w:val="24"/>
        </w:rPr>
        <w:t>urbano.</w:t>
      </w:r>
    </w:p>
    <w:p>
      <w:pPr>
        <w:pStyle w:val="Heading1"/>
        <w:tabs>
          <w:tab w:pos="9339" w:val="left" w:leader="none"/>
        </w:tabs>
        <w:spacing w:before="276"/>
        <w:ind w:left="3679"/>
      </w:pPr>
      <w:r>
        <w:rPr/>
        <w:t>Concepto</w:t>
        <w:tab/>
        <w:t>Precio</w:t>
      </w:r>
    </w:p>
    <w:p>
      <w:pPr>
        <w:pStyle w:val="BodyText"/>
        <w:spacing w:before="8"/>
        <w:rPr>
          <w:b/>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34"/>
        <w:gridCol w:w="2045"/>
      </w:tblGrid>
      <w:tr>
        <w:trPr>
          <w:trHeight w:val="332" w:hRule="atLeast"/>
        </w:trPr>
        <w:tc>
          <w:tcPr>
            <w:tcW w:w="7334" w:type="dxa"/>
          </w:tcPr>
          <w:p>
            <w:pPr>
              <w:pStyle w:val="TableParagraph"/>
              <w:tabs>
                <w:tab w:pos="618" w:val="left" w:leader="none"/>
              </w:tabs>
              <w:spacing w:line="268" w:lineRule="exact"/>
              <w:ind w:left="50"/>
              <w:rPr>
                <w:sz w:val="24"/>
              </w:rPr>
            </w:pPr>
            <w:r>
              <w:rPr>
                <w:b/>
                <w:sz w:val="24"/>
              </w:rPr>
              <w:t>1.</w:t>
              <w:tab/>
            </w:r>
            <w:r>
              <w:rPr>
                <w:sz w:val="24"/>
              </w:rPr>
              <w:t>Hasta 100 metros cuadrados de</w:t>
            </w:r>
            <w:r>
              <w:rPr>
                <w:spacing w:val="-6"/>
                <w:sz w:val="24"/>
              </w:rPr>
              <w:t> </w:t>
            </w:r>
            <w:r>
              <w:rPr>
                <w:sz w:val="24"/>
              </w:rPr>
              <w:t>superficie</w:t>
            </w:r>
          </w:p>
        </w:tc>
        <w:tc>
          <w:tcPr>
            <w:tcW w:w="2045" w:type="dxa"/>
          </w:tcPr>
          <w:p>
            <w:pPr>
              <w:pStyle w:val="TableParagraph"/>
              <w:spacing w:line="268" w:lineRule="exact"/>
              <w:ind w:right="50"/>
              <w:jc w:val="right"/>
              <w:rPr>
                <w:sz w:val="24"/>
              </w:rPr>
            </w:pPr>
            <w:r>
              <w:rPr>
                <w:sz w:val="24"/>
              </w:rPr>
              <w:t>757.14</w:t>
            </w:r>
          </w:p>
        </w:tc>
      </w:tr>
      <w:tr>
        <w:trPr>
          <w:trHeight w:val="396" w:hRule="atLeast"/>
        </w:trPr>
        <w:tc>
          <w:tcPr>
            <w:tcW w:w="7334" w:type="dxa"/>
          </w:tcPr>
          <w:p>
            <w:pPr>
              <w:pStyle w:val="TableParagraph"/>
              <w:tabs>
                <w:tab w:pos="618" w:val="left" w:leader="none"/>
              </w:tabs>
              <w:spacing w:before="56"/>
              <w:ind w:left="50"/>
              <w:rPr>
                <w:sz w:val="24"/>
              </w:rPr>
            </w:pPr>
            <w:r>
              <w:rPr>
                <w:b/>
                <w:sz w:val="24"/>
              </w:rPr>
              <w:t>2.</w:t>
              <w:tab/>
            </w:r>
            <w:r>
              <w:rPr>
                <w:sz w:val="24"/>
              </w:rPr>
              <w:t>De 100.01 a 200 metros cuadrados de</w:t>
            </w:r>
            <w:r>
              <w:rPr>
                <w:spacing w:val="-10"/>
                <w:sz w:val="24"/>
              </w:rPr>
              <w:t> </w:t>
            </w:r>
            <w:r>
              <w:rPr>
                <w:sz w:val="24"/>
              </w:rPr>
              <w:t>superficie.</w:t>
            </w:r>
          </w:p>
        </w:tc>
        <w:tc>
          <w:tcPr>
            <w:tcW w:w="2045" w:type="dxa"/>
          </w:tcPr>
          <w:p>
            <w:pPr>
              <w:pStyle w:val="TableParagraph"/>
              <w:spacing w:before="56"/>
              <w:ind w:right="50"/>
              <w:jc w:val="right"/>
              <w:rPr>
                <w:sz w:val="24"/>
              </w:rPr>
            </w:pPr>
            <w:r>
              <w:rPr>
                <w:sz w:val="24"/>
              </w:rPr>
              <w:t>908.04</w:t>
            </w:r>
          </w:p>
        </w:tc>
      </w:tr>
      <w:tr>
        <w:trPr>
          <w:trHeight w:val="395" w:hRule="atLeast"/>
        </w:trPr>
        <w:tc>
          <w:tcPr>
            <w:tcW w:w="7334" w:type="dxa"/>
          </w:tcPr>
          <w:p>
            <w:pPr>
              <w:pStyle w:val="TableParagraph"/>
              <w:tabs>
                <w:tab w:pos="618" w:val="left" w:leader="none"/>
              </w:tabs>
              <w:spacing w:before="56"/>
              <w:ind w:left="50"/>
              <w:rPr>
                <w:sz w:val="24"/>
              </w:rPr>
            </w:pPr>
            <w:r>
              <w:rPr>
                <w:b/>
                <w:sz w:val="24"/>
              </w:rPr>
              <w:t>3.</w:t>
              <w:tab/>
            </w:r>
            <w:r>
              <w:rPr>
                <w:sz w:val="24"/>
              </w:rPr>
              <w:t>De 200.01 a 300 metros cuadrados de</w:t>
            </w:r>
            <w:r>
              <w:rPr>
                <w:spacing w:val="-10"/>
                <w:sz w:val="24"/>
              </w:rPr>
              <w:t> </w:t>
            </w:r>
            <w:r>
              <w:rPr>
                <w:sz w:val="24"/>
              </w:rPr>
              <w:t>superficie.</w:t>
            </w:r>
          </w:p>
        </w:tc>
        <w:tc>
          <w:tcPr>
            <w:tcW w:w="2045" w:type="dxa"/>
          </w:tcPr>
          <w:p>
            <w:pPr>
              <w:pStyle w:val="TableParagraph"/>
              <w:spacing w:before="56"/>
              <w:ind w:right="48"/>
              <w:jc w:val="right"/>
              <w:rPr>
                <w:sz w:val="24"/>
              </w:rPr>
            </w:pPr>
            <w:r>
              <w:rPr>
                <w:sz w:val="24"/>
              </w:rPr>
              <w:t>1,058.93</w:t>
            </w:r>
          </w:p>
        </w:tc>
      </w:tr>
      <w:tr>
        <w:trPr>
          <w:trHeight w:val="395" w:hRule="atLeast"/>
        </w:trPr>
        <w:tc>
          <w:tcPr>
            <w:tcW w:w="7334" w:type="dxa"/>
          </w:tcPr>
          <w:p>
            <w:pPr>
              <w:pStyle w:val="TableParagraph"/>
              <w:tabs>
                <w:tab w:pos="618" w:val="left" w:leader="none"/>
              </w:tabs>
              <w:spacing w:before="56"/>
              <w:ind w:left="50"/>
              <w:rPr>
                <w:sz w:val="24"/>
              </w:rPr>
            </w:pPr>
            <w:r>
              <w:rPr>
                <w:b/>
                <w:sz w:val="24"/>
              </w:rPr>
              <w:t>4.</w:t>
              <w:tab/>
            </w:r>
            <w:r>
              <w:rPr>
                <w:sz w:val="24"/>
              </w:rPr>
              <w:t>De 300.01 a 500 metros cuadrados de</w:t>
            </w:r>
            <w:r>
              <w:rPr>
                <w:spacing w:val="-10"/>
                <w:sz w:val="24"/>
              </w:rPr>
              <w:t> </w:t>
            </w:r>
            <w:r>
              <w:rPr>
                <w:sz w:val="24"/>
              </w:rPr>
              <w:t>superficie.</w:t>
            </w:r>
          </w:p>
        </w:tc>
        <w:tc>
          <w:tcPr>
            <w:tcW w:w="2045" w:type="dxa"/>
          </w:tcPr>
          <w:p>
            <w:pPr>
              <w:pStyle w:val="TableParagraph"/>
              <w:spacing w:before="56"/>
              <w:ind w:right="48"/>
              <w:jc w:val="right"/>
              <w:rPr>
                <w:sz w:val="24"/>
              </w:rPr>
            </w:pPr>
            <w:r>
              <w:rPr>
                <w:sz w:val="24"/>
              </w:rPr>
              <w:t>1,210.71</w:t>
            </w:r>
          </w:p>
        </w:tc>
      </w:tr>
      <w:tr>
        <w:trPr>
          <w:trHeight w:val="396" w:hRule="atLeast"/>
        </w:trPr>
        <w:tc>
          <w:tcPr>
            <w:tcW w:w="7334" w:type="dxa"/>
          </w:tcPr>
          <w:p>
            <w:pPr>
              <w:pStyle w:val="TableParagraph"/>
              <w:tabs>
                <w:tab w:pos="618" w:val="left" w:leader="none"/>
              </w:tabs>
              <w:spacing w:before="56"/>
              <w:ind w:left="50"/>
              <w:rPr>
                <w:sz w:val="24"/>
              </w:rPr>
            </w:pPr>
            <w:r>
              <w:rPr>
                <w:b/>
                <w:sz w:val="24"/>
              </w:rPr>
              <w:t>5.</w:t>
              <w:tab/>
            </w:r>
            <w:r>
              <w:rPr>
                <w:sz w:val="24"/>
              </w:rPr>
              <w:t>De 500.01 a 1,000 metros cuadrados de</w:t>
            </w:r>
            <w:r>
              <w:rPr>
                <w:spacing w:val="-11"/>
                <w:sz w:val="24"/>
              </w:rPr>
              <w:t> </w:t>
            </w:r>
            <w:r>
              <w:rPr>
                <w:sz w:val="24"/>
              </w:rPr>
              <w:t>superficie</w:t>
            </w:r>
          </w:p>
        </w:tc>
        <w:tc>
          <w:tcPr>
            <w:tcW w:w="2045" w:type="dxa"/>
          </w:tcPr>
          <w:p>
            <w:pPr>
              <w:pStyle w:val="TableParagraph"/>
              <w:spacing w:before="56"/>
              <w:ind w:right="48"/>
              <w:jc w:val="right"/>
              <w:rPr>
                <w:sz w:val="24"/>
              </w:rPr>
            </w:pPr>
            <w:r>
              <w:rPr>
                <w:sz w:val="24"/>
              </w:rPr>
              <w:t>1,361.61</w:t>
            </w:r>
          </w:p>
        </w:tc>
      </w:tr>
      <w:tr>
        <w:trPr>
          <w:trHeight w:val="332" w:hRule="atLeast"/>
        </w:trPr>
        <w:tc>
          <w:tcPr>
            <w:tcW w:w="7334" w:type="dxa"/>
          </w:tcPr>
          <w:p>
            <w:pPr>
              <w:pStyle w:val="TableParagraph"/>
              <w:tabs>
                <w:tab w:pos="618" w:val="left" w:leader="none"/>
              </w:tabs>
              <w:spacing w:line="256" w:lineRule="exact" w:before="56"/>
              <w:ind w:left="50"/>
              <w:rPr>
                <w:sz w:val="24"/>
              </w:rPr>
            </w:pPr>
            <w:r>
              <w:rPr>
                <w:b/>
                <w:sz w:val="24"/>
              </w:rPr>
              <w:t>6.</w:t>
              <w:tab/>
            </w:r>
            <w:r>
              <w:rPr>
                <w:sz w:val="24"/>
              </w:rPr>
              <w:t>De 1, 000.01 a 2,000 metros cuadrados de</w:t>
            </w:r>
            <w:r>
              <w:rPr>
                <w:spacing w:val="-12"/>
                <w:sz w:val="24"/>
              </w:rPr>
              <w:t> </w:t>
            </w:r>
            <w:r>
              <w:rPr>
                <w:sz w:val="24"/>
              </w:rPr>
              <w:t>superficie</w:t>
            </w:r>
          </w:p>
        </w:tc>
        <w:tc>
          <w:tcPr>
            <w:tcW w:w="2045" w:type="dxa"/>
          </w:tcPr>
          <w:p>
            <w:pPr>
              <w:pStyle w:val="TableParagraph"/>
              <w:spacing w:line="256" w:lineRule="exact" w:before="56"/>
              <w:ind w:right="48"/>
              <w:jc w:val="right"/>
              <w:rPr>
                <w:sz w:val="24"/>
              </w:rPr>
            </w:pPr>
            <w:r>
              <w:rPr>
                <w:sz w:val="24"/>
              </w:rPr>
              <w:t>1,513.39</w:t>
            </w:r>
          </w:p>
        </w:tc>
      </w:tr>
    </w:tbl>
    <w:p>
      <w:pPr>
        <w:spacing w:after="0" w:line="256" w:lineRule="exact"/>
        <w:jc w:val="right"/>
        <w:rPr>
          <w:sz w:val="24"/>
        </w:rPr>
        <w:sectPr>
          <w:type w:val="continuous"/>
          <w:pgSz w:w="12250" w:h="15850"/>
          <w:pgMar w:top="840" w:bottom="280" w:left="860" w:right="820"/>
        </w:sectPr>
      </w:pPr>
    </w:p>
    <w:p>
      <w:pPr>
        <w:pStyle w:val="BodyText"/>
        <w:spacing w:before="8"/>
        <w:rPr>
          <w:b/>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7"/>
        <w:gridCol w:w="1481"/>
      </w:tblGrid>
      <w:tr>
        <w:trPr>
          <w:trHeight w:val="884" w:hRule="atLeast"/>
        </w:trPr>
        <w:tc>
          <w:tcPr>
            <w:tcW w:w="7897" w:type="dxa"/>
          </w:tcPr>
          <w:p>
            <w:pPr>
              <w:pStyle w:val="TableParagraph"/>
              <w:ind w:left="618" w:right="700" w:hanging="569"/>
              <w:jc w:val="both"/>
              <w:rPr>
                <w:sz w:val="24"/>
              </w:rPr>
            </w:pPr>
            <w:r>
              <w:rPr>
                <w:b/>
                <w:sz w:val="24"/>
              </w:rPr>
              <w:t>7. </w:t>
            </w:r>
            <w:r>
              <w:rPr>
                <w:sz w:val="24"/>
              </w:rPr>
              <w:t>De 2,000.01 metros cuadrados de superficie se aplicará adicionalmente el inciso c) según corresponda de este apartado:</w:t>
            </w:r>
          </w:p>
        </w:tc>
        <w:tc>
          <w:tcPr>
            <w:tcW w:w="1481" w:type="dxa"/>
          </w:tcPr>
          <w:p>
            <w:pPr>
              <w:pStyle w:val="TableParagraph"/>
              <w:rPr>
                <w:rFonts w:ascii="Times New Roman"/>
                <w:sz w:val="24"/>
              </w:rPr>
            </w:pPr>
          </w:p>
        </w:tc>
      </w:tr>
      <w:tr>
        <w:trPr>
          <w:trHeight w:val="717" w:hRule="atLeast"/>
        </w:trPr>
        <w:tc>
          <w:tcPr>
            <w:tcW w:w="7897" w:type="dxa"/>
          </w:tcPr>
          <w:p>
            <w:pPr>
              <w:pStyle w:val="TableParagraph"/>
              <w:tabs>
                <w:tab w:pos="618" w:val="left" w:leader="none"/>
              </w:tabs>
              <w:spacing w:before="56"/>
              <w:ind w:left="618" w:right="693" w:hanging="569"/>
              <w:rPr>
                <w:sz w:val="24"/>
              </w:rPr>
            </w:pPr>
            <w:r>
              <w:rPr>
                <w:b/>
                <w:sz w:val="24"/>
              </w:rPr>
              <w:t>a.</w:t>
              <w:tab/>
            </w:r>
            <w:r>
              <w:rPr>
                <w:sz w:val="24"/>
              </w:rPr>
              <w:t>Expedición de avalúo catastral con medidas y colindancias de predio rustico, previo al levantamiento</w:t>
            </w:r>
            <w:r>
              <w:rPr>
                <w:spacing w:val="-7"/>
                <w:sz w:val="24"/>
              </w:rPr>
              <w:t> </w:t>
            </w:r>
            <w:r>
              <w:rPr>
                <w:sz w:val="24"/>
              </w:rPr>
              <w:t>topográfico</w:t>
            </w:r>
          </w:p>
        </w:tc>
        <w:tc>
          <w:tcPr>
            <w:tcW w:w="1481" w:type="dxa"/>
          </w:tcPr>
          <w:p>
            <w:pPr>
              <w:pStyle w:val="TableParagraph"/>
              <w:spacing w:before="56"/>
              <w:ind w:right="49"/>
              <w:jc w:val="right"/>
              <w:rPr>
                <w:sz w:val="24"/>
              </w:rPr>
            </w:pPr>
            <w:r>
              <w:rPr>
                <w:sz w:val="24"/>
              </w:rPr>
              <w:t>756.25</w:t>
            </w:r>
          </w:p>
        </w:tc>
      </w:tr>
      <w:tr>
        <w:trPr>
          <w:trHeight w:val="554" w:hRule="atLeast"/>
        </w:trPr>
        <w:tc>
          <w:tcPr>
            <w:tcW w:w="7897" w:type="dxa"/>
          </w:tcPr>
          <w:p>
            <w:pPr>
              <w:pStyle w:val="TableParagraph"/>
              <w:tabs>
                <w:tab w:pos="618" w:val="left" w:leader="none"/>
              </w:tabs>
              <w:spacing w:before="101"/>
              <w:ind w:left="50"/>
              <w:rPr>
                <w:sz w:val="24"/>
              </w:rPr>
            </w:pPr>
            <w:r>
              <w:rPr>
                <w:b/>
                <w:sz w:val="24"/>
              </w:rPr>
              <w:t>b.</w:t>
              <w:tab/>
            </w:r>
            <w:r>
              <w:rPr>
                <w:sz w:val="24"/>
              </w:rPr>
              <w:t>Expedición de constancia de registro catastral por</w:t>
            </w:r>
            <w:r>
              <w:rPr>
                <w:spacing w:val="-5"/>
                <w:sz w:val="24"/>
              </w:rPr>
              <w:t> </w:t>
            </w:r>
            <w:r>
              <w:rPr>
                <w:sz w:val="24"/>
              </w:rPr>
              <w:t>predio</w:t>
            </w:r>
          </w:p>
        </w:tc>
        <w:tc>
          <w:tcPr>
            <w:tcW w:w="1481" w:type="dxa"/>
          </w:tcPr>
          <w:p>
            <w:pPr>
              <w:pStyle w:val="TableParagraph"/>
              <w:spacing w:before="101"/>
              <w:ind w:right="49"/>
              <w:jc w:val="right"/>
              <w:rPr>
                <w:sz w:val="24"/>
              </w:rPr>
            </w:pPr>
            <w:r>
              <w:rPr>
                <w:sz w:val="24"/>
              </w:rPr>
              <w:t>301.79</w:t>
            </w:r>
          </w:p>
        </w:tc>
      </w:tr>
      <w:tr>
        <w:trPr>
          <w:trHeight w:val="508" w:hRule="atLeast"/>
        </w:trPr>
        <w:tc>
          <w:tcPr>
            <w:tcW w:w="7897" w:type="dxa"/>
          </w:tcPr>
          <w:p>
            <w:pPr>
              <w:pStyle w:val="TableParagraph"/>
              <w:tabs>
                <w:tab w:pos="645" w:val="left" w:leader="none"/>
              </w:tabs>
              <w:spacing w:before="169"/>
              <w:ind w:left="50"/>
              <w:rPr>
                <w:sz w:val="24"/>
              </w:rPr>
            </w:pPr>
            <w:r>
              <w:rPr>
                <w:b/>
                <w:sz w:val="24"/>
              </w:rPr>
              <w:t>c.</w:t>
              <w:tab/>
            </w:r>
            <w:r>
              <w:rPr>
                <w:sz w:val="24"/>
              </w:rPr>
              <w:t>Expedición de constancia de No registro</w:t>
            </w:r>
            <w:r>
              <w:rPr>
                <w:spacing w:val="-3"/>
                <w:sz w:val="24"/>
              </w:rPr>
              <w:t> </w:t>
            </w:r>
            <w:r>
              <w:rPr>
                <w:sz w:val="24"/>
              </w:rPr>
              <w:t>catastral</w:t>
            </w:r>
          </w:p>
        </w:tc>
        <w:tc>
          <w:tcPr>
            <w:tcW w:w="1481" w:type="dxa"/>
          </w:tcPr>
          <w:p>
            <w:pPr>
              <w:pStyle w:val="TableParagraph"/>
              <w:spacing w:before="169"/>
              <w:ind w:right="49"/>
              <w:jc w:val="right"/>
              <w:rPr>
                <w:sz w:val="24"/>
              </w:rPr>
            </w:pPr>
            <w:r>
              <w:rPr>
                <w:sz w:val="24"/>
              </w:rPr>
              <w:t>225.89</w:t>
            </w:r>
          </w:p>
        </w:tc>
      </w:tr>
      <w:tr>
        <w:trPr>
          <w:trHeight w:val="332" w:hRule="atLeast"/>
        </w:trPr>
        <w:tc>
          <w:tcPr>
            <w:tcW w:w="7897" w:type="dxa"/>
          </w:tcPr>
          <w:p>
            <w:pPr>
              <w:pStyle w:val="TableParagraph"/>
              <w:tabs>
                <w:tab w:pos="618" w:val="left" w:leader="none"/>
              </w:tabs>
              <w:spacing w:line="256" w:lineRule="exact" w:before="56"/>
              <w:ind w:left="50"/>
              <w:rPr>
                <w:sz w:val="24"/>
              </w:rPr>
            </w:pPr>
            <w:r>
              <w:rPr>
                <w:b/>
                <w:sz w:val="24"/>
              </w:rPr>
              <w:t>d.</w:t>
              <w:tab/>
            </w:r>
            <w:r>
              <w:rPr>
                <w:sz w:val="24"/>
              </w:rPr>
              <w:t>Expedición de Constancia de fecha de adquisición</w:t>
            </w:r>
            <w:r>
              <w:rPr>
                <w:spacing w:val="19"/>
                <w:sz w:val="24"/>
              </w:rPr>
              <w:t> </w:t>
            </w:r>
            <w:r>
              <w:rPr>
                <w:sz w:val="24"/>
              </w:rPr>
              <w:t>y/o</w:t>
            </w:r>
          </w:p>
        </w:tc>
        <w:tc>
          <w:tcPr>
            <w:tcW w:w="1481" w:type="dxa"/>
          </w:tcPr>
          <w:p>
            <w:pPr>
              <w:pStyle w:val="TableParagraph"/>
              <w:spacing w:line="256" w:lineRule="exact" w:before="56"/>
              <w:ind w:right="49"/>
              <w:jc w:val="right"/>
              <w:rPr>
                <w:sz w:val="24"/>
              </w:rPr>
            </w:pPr>
            <w:r>
              <w:rPr>
                <w:sz w:val="24"/>
              </w:rPr>
              <w:t>150.90</w:t>
            </w:r>
          </w:p>
        </w:tc>
      </w:tr>
    </w:tbl>
    <w:p>
      <w:pPr>
        <w:spacing w:after="0" w:line="256" w:lineRule="exact"/>
        <w:jc w:val="right"/>
        <w:rPr>
          <w:sz w:val="24"/>
        </w:rPr>
        <w:sectPr>
          <w:headerReference w:type="even" r:id="rId15"/>
          <w:headerReference w:type="default" r:id="rId16"/>
          <w:pgSz w:w="12250" w:h="15850"/>
          <w:pgMar w:header="730" w:footer="0" w:top="1460" w:bottom="280" w:left="860" w:right="820"/>
          <w:pgNumType w:start="16"/>
        </w:sectPr>
      </w:pPr>
    </w:p>
    <w:p>
      <w:pPr>
        <w:pStyle w:val="BodyText"/>
        <w:ind w:left="1365"/>
      </w:pPr>
      <w:r>
        <w:rPr/>
        <w:drawing>
          <wp:anchor distT="0" distB="0" distL="0" distR="0" allowOverlap="1" layoutInCell="1" locked="0" behindDoc="1" simplePos="0" relativeHeight="227481600">
            <wp:simplePos x="0" y="0"/>
            <wp:positionH relativeFrom="page">
              <wp:posOffset>1239220</wp:posOffset>
            </wp:positionH>
            <wp:positionV relativeFrom="paragraph">
              <wp:posOffset>-964871</wp:posOffset>
            </wp:positionV>
            <wp:extent cx="5022641" cy="5144769"/>
            <wp:effectExtent l="0" t="0" r="0" b="0"/>
            <wp:wrapNone/>
            <wp:docPr id="29" name="image9.png"/>
            <wp:cNvGraphicFramePr>
              <a:graphicFrameLocks noChangeAspect="1"/>
            </wp:cNvGraphicFramePr>
            <a:graphic>
              <a:graphicData uri="http://schemas.openxmlformats.org/drawingml/2006/picture">
                <pic:pic>
                  <pic:nvPicPr>
                    <pic:cNvPr id="30" name="image9.png"/>
                    <pic:cNvPicPr/>
                  </pic:nvPicPr>
                  <pic:blipFill>
                    <a:blip r:embed="rId17" cstate="print"/>
                    <a:stretch>
                      <a:fillRect/>
                    </a:stretch>
                  </pic:blipFill>
                  <pic:spPr>
                    <a:xfrm>
                      <a:off x="0" y="0"/>
                      <a:ext cx="5022641" cy="5144769"/>
                    </a:xfrm>
                    <a:prstGeom prst="rect">
                      <a:avLst/>
                    </a:prstGeom>
                  </pic:spPr>
                </pic:pic>
              </a:graphicData>
            </a:graphic>
          </wp:anchor>
        </w:drawing>
      </w:r>
      <w:r>
        <w:rPr/>
        <w:t>antecedentes de propiedad para la búsqueda en el registro público de la</w:t>
      </w:r>
      <w:r>
        <w:rPr>
          <w:spacing w:val="-5"/>
        </w:rPr>
        <w:t> </w:t>
      </w:r>
      <w:r>
        <w:rPr/>
        <w:t>propiedad</w:t>
      </w:r>
    </w:p>
    <w:p>
      <w:pPr>
        <w:pStyle w:val="ListParagraph"/>
        <w:numPr>
          <w:ilvl w:val="0"/>
          <w:numId w:val="9"/>
        </w:numPr>
        <w:tabs>
          <w:tab w:pos="1391" w:val="left" w:leader="none"/>
          <w:tab w:pos="1392" w:val="left" w:leader="none"/>
        </w:tabs>
        <w:spacing w:line="240" w:lineRule="auto" w:before="120" w:after="0"/>
        <w:ind w:left="1365" w:right="38" w:hanging="569"/>
        <w:jc w:val="left"/>
        <w:rPr>
          <w:sz w:val="24"/>
        </w:rPr>
      </w:pPr>
      <w:r>
        <w:rPr>
          <w:sz w:val="24"/>
        </w:rPr>
        <w:t>Expedición de clave catastral o cambio de clave rustica a urbana</w:t>
      </w:r>
    </w:p>
    <w:p>
      <w:pPr>
        <w:pStyle w:val="ListParagraph"/>
        <w:numPr>
          <w:ilvl w:val="0"/>
          <w:numId w:val="9"/>
        </w:numPr>
        <w:tabs>
          <w:tab w:pos="1391" w:val="left" w:leader="none"/>
          <w:tab w:pos="1392" w:val="left" w:leader="none"/>
        </w:tabs>
        <w:spacing w:line="240" w:lineRule="auto" w:before="120" w:after="0"/>
        <w:ind w:left="1391" w:right="0" w:hanging="596"/>
        <w:jc w:val="left"/>
        <w:rPr>
          <w:sz w:val="24"/>
        </w:rPr>
      </w:pPr>
      <w:r>
        <w:rPr>
          <w:sz w:val="24"/>
        </w:rPr>
        <w:t>Presentación o modificación de régimen de</w:t>
      </w:r>
      <w:r>
        <w:rPr>
          <w:spacing w:val="-11"/>
          <w:sz w:val="24"/>
        </w:rPr>
        <w:t> </w:t>
      </w:r>
      <w:r>
        <w:rPr>
          <w:sz w:val="24"/>
        </w:rPr>
        <w:t>condominio:</w:t>
      </w:r>
    </w:p>
    <w:p>
      <w:pPr>
        <w:pStyle w:val="BodyText"/>
        <w:rPr>
          <w:sz w:val="26"/>
        </w:rPr>
      </w:pPr>
      <w:r>
        <w:rPr/>
        <w:br w:type="column"/>
      </w:r>
      <w:r>
        <w:rPr>
          <w:sz w:val="26"/>
        </w:rPr>
      </w:r>
    </w:p>
    <w:p>
      <w:pPr>
        <w:pStyle w:val="BodyText"/>
        <w:spacing w:before="5"/>
        <w:rPr>
          <w:sz w:val="32"/>
        </w:rPr>
      </w:pPr>
    </w:p>
    <w:p>
      <w:pPr>
        <w:pStyle w:val="BodyText"/>
        <w:ind w:left="796"/>
      </w:pPr>
      <w:r>
        <w:rPr/>
        <w:t>500.00</w:t>
      </w:r>
    </w:p>
    <w:p>
      <w:pPr>
        <w:spacing w:after="0"/>
        <w:sectPr>
          <w:type w:val="continuous"/>
          <w:pgSz w:w="12250" w:h="15850"/>
          <w:pgMar w:top="840" w:bottom="280" w:left="860" w:right="820"/>
          <w:cols w:num="2" w:equalWidth="0">
            <w:col w:w="7985" w:space="559"/>
            <w:col w:w="2026"/>
          </w:cols>
        </w:sectPr>
      </w:pPr>
    </w:p>
    <w:p>
      <w:pPr>
        <w:pStyle w:val="BodyText"/>
        <w:spacing w:before="7"/>
        <w:rPr>
          <w:sz w:val="11"/>
        </w:rPr>
      </w:pPr>
    </w:p>
    <w:p>
      <w:pPr>
        <w:pStyle w:val="BodyText"/>
        <w:tabs>
          <w:tab w:pos="9140" w:val="left" w:leader="none"/>
        </w:tabs>
        <w:spacing w:before="93"/>
        <w:ind w:left="1106"/>
      </w:pPr>
      <w:r>
        <w:rPr>
          <w:b/>
        </w:rPr>
        <w:t>1.- </w:t>
      </w:r>
      <w:r>
        <w:rPr/>
        <w:t>De 1 a 20</w:t>
      </w:r>
      <w:r>
        <w:rPr>
          <w:spacing w:val="-7"/>
        </w:rPr>
        <w:t> </w:t>
      </w:r>
      <w:r>
        <w:rPr/>
        <w:t>unidades</w:t>
      </w:r>
      <w:r>
        <w:rPr>
          <w:spacing w:val="-4"/>
        </w:rPr>
        <w:t> </w:t>
      </w:r>
      <w:r>
        <w:rPr/>
        <w:t>privativas</w:t>
        <w:tab/>
        <w:t>3,021.43</w:t>
      </w:r>
    </w:p>
    <w:p>
      <w:pPr>
        <w:pStyle w:val="BodyText"/>
        <w:tabs>
          <w:tab w:pos="9140" w:val="left" w:leader="none"/>
        </w:tabs>
        <w:spacing w:before="156"/>
        <w:ind w:left="1106"/>
      </w:pPr>
      <w:r>
        <w:rPr>
          <w:b/>
        </w:rPr>
        <w:t>2.- </w:t>
      </w:r>
      <w:r>
        <w:rPr/>
        <w:t>De 21 a 40</w:t>
      </w:r>
      <w:r>
        <w:rPr>
          <w:spacing w:val="-9"/>
        </w:rPr>
        <w:t> </w:t>
      </w:r>
      <w:r>
        <w:rPr/>
        <w:t>unidades</w:t>
      </w:r>
      <w:r>
        <w:rPr>
          <w:spacing w:val="-1"/>
        </w:rPr>
        <w:t> </w:t>
      </w:r>
      <w:r>
        <w:rPr/>
        <w:t>privativas</w:t>
        <w:tab/>
        <w:t>3,776.79</w:t>
      </w:r>
    </w:p>
    <w:p>
      <w:pPr>
        <w:pStyle w:val="BodyText"/>
        <w:tabs>
          <w:tab w:pos="9140" w:val="left" w:leader="none"/>
        </w:tabs>
        <w:spacing w:before="120"/>
        <w:ind w:left="1106"/>
      </w:pPr>
      <w:r>
        <w:rPr>
          <w:b/>
        </w:rPr>
        <w:t>3.- </w:t>
      </w:r>
      <w:r>
        <w:rPr/>
        <w:t>De 41 a 60</w:t>
      </w:r>
      <w:r>
        <w:rPr>
          <w:spacing w:val="-9"/>
        </w:rPr>
        <w:t> </w:t>
      </w:r>
      <w:r>
        <w:rPr/>
        <w:t>unidades</w:t>
      </w:r>
      <w:r>
        <w:rPr>
          <w:spacing w:val="-1"/>
        </w:rPr>
        <w:t> </w:t>
      </w:r>
      <w:r>
        <w:rPr/>
        <w:t>privativas</w:t>
        <w:tab/>
        <w:t>4,531.25</w:t>
      </w:r>
    </w:p>
    <w:p>
      <w:pPr>
        <w:pStyle w:val="BodyText"/>
        <w:tabs>
          <w:tab w:pos="9140" w:val="left" w:leader="none"/>
        </w:tabs>
        <w:spacing w:before="120"/>
        <w:ind w:left="1106"/>
      </w:pPr>
      <w:r>
        <w:rPr>
          <w:b/>
        </w:rPr>
        <w:t>4.- </w:t>
      </w:r>
      <w:r>
        <w:rPr/>
        <w:t>De 61 a 80</w:t>
      </w:r>
      <w:r>
        <w:rPr>
          <w:spacing w:val="-9"/>
        </w:rPr>
        <w:t> </w:t>
      </w:r>
      <w:r>
        <w:rPr/>
        <w:t>unidades</w:t>
      </w:r>
      <w:r>
        <w:rPr>
          <w:spacing w:val="-1"/>
        </w:rPr>
        <w:t> </w:t>
      </w:r>
      <w:r>
        <w:rPr/>
        <w:t>privativas</w:t>
        <w:tab/>
        <w:t>6,041.08</w:t>
      </w:r>
    </w:p>
    <w:p>
      <w:pPr>
        <w:pStyle w:val="BodyText"/>
        <w:tabs>
          <w:tab w:pos="9140" w:val="left" w:leader="none"/>
        </w:tabs>
        <w:spacing w:before="120"/>
        <w:ind w:left="1106"/>
      </w:pPr>
      <w:r>
        <w:rPr>
          <w:b/>
        </w:rPr>
        <w:t>5.- </w:t>
      </w:r>
      <w:r>
        <w:rPr/>
        <w:t>De 81 unidades privativas</w:t>
      </w:r>
      <w:r>
        <w:rPr>
          <w:spacing w:val="-10"/>
        </w:rPr>
        <w:t> </w:t>
      </w:r>
      <w:r>
        <w:rPr/>
        <w:t>en</w:t>
      </w:r>
      <w:r>
        <w:rPr>
          <w:spacing w:val="-1"/>
        </w:rPr>
        <w:t> </w:t>
      </w:r>
      <w:r>
        <w:rPr/>
        <w:t>adelante</w:t>
        <w:tab/>
        <w:t>6,158.04</w:t>
      </w:r>
    </w:p>
    <w:p>
      <w:pPr>
        <w:pStyle w:val="ListParagraph"/>
        <w:numPr>
          <w:ilvl w:val="0"/>
          <w:numId w:val="9"/>
        </w:numPr>
        <w:tabs>
          <w:tab w:pos="1391" w:val="left" w:leader="none"/>
          <w:tab w:pos="1392" w:val="left" w:leader="none"/>
          <w:tab w:pos="10074" w:val="right" w:leader="none"/>
        </w:tabs>
        <w:spacing w:line="240" w:lineRule="auto" w:before="192" w:after="0"/>
        <w:ind w:left="1391" w:right="0" w:hanging="596"/>
        <w:jc w:val="left"/>
        <w:rPr>
          <w:sz w:val="24"/>
        </w:rPr>
      </w:pPr>
      <w:r>
        <w:rPr>
          <w:sz w:val="24"/>
        </w:rPr>
        <w:t>Presentación de fideicomiso no traslativo</w:t>
      </w:r>
      <w:r>
        <w:rPr>
          <w:spacing w:val="-6"/>
          <w:sz w:val="24"/>
        </w:rPr>
        <w:t> </w:t>
      </w:r>
      <w:r>
        <w:rPr>
          <w:sz w:val="24"/>
        </w:rPr>
        <w:t>de</w:t>
      </w:r>
      <w:r>
        <w:rPr>
          <w:spacing w:val="-2"/>
          <w:sz w:val="24"/>
        </w:rPr>
        <w:t> </w:t>
      </w:r>
      <w:r>
        <w:rPr>
          <w:sz w:val="24"/>
        </w:rPr>
        <w:t>dominio</w:t>
        <w:tab/>
        <w:t>756.41</w:t>
      </w:r>
    </w:p>
    <w:p>
      <w:pPr>
        <w:pStyle w:val="ListParagraph"/>
        <w:numPr>
          <w:ilvl w:val="0"/>
          <w:numId w:val="9"/>
        </w:numPr>
        <w:tabs>
          <w:tab w:pos="1391" w:val="left" w:leader="none"/>
          <w:tab w:pos="1392" w:val="left" w:leader="none"/>
          <w:tab w:pos="10074" w:val="right" w:leader="none"/>
        </w:tabs>
        <w:spacing w:line="240" w:lineRule="auto" w:before="223" w:after="0"/>
        <w:ind w:left="1391" w:right="0" w:hanging="596"/>
        <w:jc w:val="left"/>
        <w:rPr>
          <w:sz w:val="24"/>
        </w:rPr>
      </w:pPr>
      <w:r>
        <w:rPr>
          <w:sz w:val="24"/>
        </w:rPr>
        <w:t>Por predio</w:t>
      </w:r>
      <w:r>
        <w:rPr>
          <w:spacing w:val="-1"/>
          <w:sz w:val="24"/>
        </w:rPr>
        <w:t> </w:t>
      </w:r>
      <w:r>
        <w:rPr>
          <w:sz w:val="24"/>
        </w:rPr>
        <w:t>adicional tramitado</w:t>
        <w:tab/>
        <w:t>397.33</w:t>
      </w:r>
    </w:p>
    <w:p>
      <w:pPr>
        <w:pStyle w:val="ListParagraph"/>
        <w:numPr>
          <w:ilvl w:val="0"/>
          <w:numId w:val="9"/>
        </w:numPr>
        <w:tabs>
          <w:tab w:pos="1365" w:val="left" w:leader="none"/>
          <w:tab w:pos="1366" w:val="left" w:leader="none"/>
          <w:tab w:pos="10074" w:val="right" w:leader="none"/>
        </w:tabs>
        <w:spacing w:line="240" w:lineRule="auto" w:before="120" w:after="0"/>
        <w:ind w:left="1365" w:right="0" w:hanging="570"/>
        <w:jc w:val="left"/>
        <w:rPr>
          <w:sz w:val="24"/>
        </w:rPr>
      </w:pPr>
      <w:r>
        <w:rPr>
          <w:sz w:val="24"/>
        </w:rPr>
        <w:t>Presentación de</w:t>
      </w:r>
      <w:r>
        <w:rPr>
          <w:spacing w:val="-2"/>
          <w:sz w:val="24"/>
        </w:rPr>
        <w:t> </w:t>
      </w:r>
      <w:r>
        <w:rPr>
          <w:sz w:val="24"/>
        </w:rPr>
        <w:t>segundo testimonio</w:t>
        <w:tab/>
        <w:t>605.36</w:t>
      </w:r>
    </w:p>
    <w:p>
      <w:pPr>
        <w:pStyle w:val="ListParagraph"/>
        <w:numPr>
          <w:ilvl w:val="0"/>
          <w:numId w:val="9"/>
        </w:numPr>
        <w:tabs>
          <w:tab w:pos="1365" w:val="left" w:leader="none"/>
          <w:tab w:pos="1366" w:val="left" w:leader="none"/>
          <w:tab w:pos="10074" w:val="right" w:leader="none"/>
        </w:tabs>
        <w:spacing w:line="240" w:lineRule="auto" w:before="120" w:after="0"/>
        <w:ind w:left="1365" w:right="0" w:hanging="570"/>
        <w:jc w:val="left"/>
        <w:rPr>
          <w:sz w:val="24"/>
        </w:rPr>
      </w:pPr>
      <w:r>
        <w:rPr>
          <w:sz w:val="24"/>
        </w:rPr>
        <w:t>Cancelación de escritura por revocación o</w:t>
      </w:r>
      <w:r>
        <w:rPr>
          <w:spacing w:val="-5"/>
          <w:sz w:val="24"/>
        </w:rPr>
        <w:t> </w:t>
      </w:r>
      <w:r>
        <w:rPr>
          <w:sz w:val="24"/>
        </w:rPr>
        <w:t>mandato</w:t>
      </w:r>
      <w:r>
        <w:rPr>
          <w:spacing w:val="-1"/>
          <w:sz w:val="24"/>
        </w:rPr>
        <w:t> </w:t>
      </w:r>
      <w:r>
        <w:rPr>
          <w:sz w:val="24"/>
        </w:rPr>
        <w:t>judicial</w:t>
        <w:tab/>
        <w:t>605.36</w:t>
      </w:r>
    </w:p>
    <w:p>
      <w:pPr>
        <w:pStyle w:val="ListParagraph"/>
        <w:numPr>
          <w:ilvl w:val="0"/>
          <w:numId w:val="9"/>
        </w:numPr>
        <w:tabs>
          <w:tab w:pos="1365" w:val="left" w:leader="none"/>
          <w:tab w:pos="1366" w:val="left" w:leader="none"/>
          <w:tab w:pos="10074" w:val="right" w:leader="none"/>
        </w:tabs>
        <w:spacing w:line="240" w:lineRule="auto" w:before="262" w:after="0"/>
        <w:ind w:left="1365" w:right="0" w:hanging="570"/>
        <w:jc w:val="left"/>
        <w:rPr>
          <w:sz w:val="24"/>
        </w:rPr>
      </w:pPr>
      <w:r>
        <w:rPr>
          <w:sz w:val="24"/>
        </w:rPr>
        <w:t>Liberación de patrimonio familiar</w:t>
      </w:r>
      <w:r>
        <w:rPr>
          <w:spacing w:val="-1"/>
          <w:sz w:val="24"/>
        </w:rPr>
        <w:t> </w:t>
      </w:r>
      <w:r>
        <w:rPr>
          <w:sz w:val="24"/>
        </w:rPr>
        <w:t>de</w:t>
      </w:r>
      <w:r>
        <w:rPr>
          <w:spacing w:val="-3"/>
          <w:sz w:val="24"/>
        </w:rPr>
        <w:t> </w:t>
      </w:r>
      <w:r>
        <w:rPr>
          <w:sz w:val="24"/>
        </w:rPr>
        <w:t>escritura</w:t>
        <w:tab/>
        <w:t>605.36</w:t>
      </w:r>
    </w:p>
    <w:p>
      <w:pPr>
        <w:pStyle w:val="ListParagraph"/>
        <w:numPr>
          <w:ilvl w:val="0"/>
          <w:numId w:val="9"/>
        </w:numPr>
        <w:tabs>
          <w:tab w:pos="1391" w:val="left" w:leader="none"/>
          <w:tab w:pos="1392" w:val="left" w:leader="none"/>
          <w:tab w:pos="10074" w:val="right" w:leader="none"/>
        </w:tabs>
        <w:spacing w:line="240" w:lineRule="auto" w:before="120" w:after="0"/>
        <w:ind w:left="1391" w:right="0" w:hanging="596"/>
        <w:jc w:val="left"/>
        <w:rPr>
          <w:sz w:val="24"/>
        </w:rPr>
      </w:pPr>
      <w:r>
        <w:rPr>
          <w:sz w:val="24"/>
        </w:rPr>
        <w:t>Liberación de</w:t>
      </w:r>
      <w:r>
        <w:rPr>
          <w:spacing w:val="-1"/>
          <w:sz w:val="24"/>
        </w:rPr>
        <w:t> </w:t>
      </w:r>
      <w:r>
        <w:rPr>
          <w:sz w:val="24"/>
        </w:rPr>
        <w:t>usufructo vitalicio</w:t>
        <w:tab/>
        <w:t>793.75</w:t>
      </w:r>
    </w:p>
    <w:p>
      <w:pPr>
        <w:pStyle w:val="ListParagraph"/>
        <w:numPr>
          <w:ilvl w:val="0"/>
          <w:numId w:val="9"/>
        </w:numPr>
        <w:tabs>
          <w:tab w:pos="1365" w:val="left" w:leader="none"/>
          <w:tab w:pos="1366" w:val="left" w:leader="none"/>
          <w:tab w:pos="10074" w:val="right" w:leader="none"/>
        </w:tabs>
        <w:spacing w:line="240" w:lineRule="auto" w:before="121" w:after="0"/>
        <w:ind w:left="1365" w:right="0" w:hanging="570"/>
        <w:jc w:val="left"/>
        <w:rPr>
          <w:sz w:val="24"/>
        </w:rPr>
      </w:pPr>
      <w:r>
        <w:rPr>
          <w:sz w:val="24"/>
        </w:rPr>
        <w:t>Rectificación de escritura pública</w:t>
      </w:r>
      <w:r>
        <w:rPr>
          <w:spacing w:val="-5"/>
          <w:sz w:val="24"/>
        </w:rPr>
        <w:t> </w:t>
      </w:r>
      <w:r>
        <w:rPr>
          <w:sz w:val="24"/>
        </w:rPr>
        <w:t>o</w:t>
      </w:r>
      <w:r>
        <w:rPr>
          <w:spacing w:val="-1"/>
          <w:sz w:val="24"/>
        </w:rPr>
        <w:t> </w:t>
      </w:r>
      <w:r>
        <w:rPr>
          <w:sz w:val="24"/>
        </w:rPr>
        <w:t>privada</w:t>
        <w:tab/>
        <w:t>605.36</w:t>
      </w:r>
    </w:p>
    <w:p>
      <w:pPr>
        <w:pStyle w:val="ListParagraph"/>
        <w:numPr>
          <w:ilvl w:val="0"/>
          <w:numId w:val="9"/>
        </w:numPr>
        <w:tabs>
          <w:tab w:pos="1365" w:val="left" w:leader="none"/>
          <w:tab w:pos="1366" w:val="left" w:leader="none"/>
          <w:tab w:pos="10074" w:val="right" w:leader="none"/>
        </w:tabs>
        <w:spacing w:line="240" w:lineRule="auto" w:before="120" w:after="0"/>
        <w:ind w:left="1365" w:right="0" w:hanging="570"/>
        <w:jc w:val="left"/>
        <w:rPr>
          <w:sz w:val="24"/>
        </w:rPr>
      </w:pPr>
      <w:r>
        <w:rPr>
          <w:sz w:val="24"/>
        </w:rPr>
        <w:t>Escritura</w:t>
      </w:r>
      <w:r>
        <w:rPr>
          <w:spacing w:val="-1"/>
          <w:sz w:val="24"/>
        </w:rPr>
        <w:t> </w:t>
      </w:r>
      <w:r>
        <w:rPr>
          <w:sz w:val="24"/>
        </w:rPr>
        <w:t>de</w:t>
      </w:r>
      <w:r>
        <w:rPr>
          <w:spacing w:val="-2"/>
          <w:sz w:val="24"/>
        </w:rPr>
        <w:t> </w:t>
      </w:r>
      <w:r>
        <w:rPr>
          <w:sz w:val="24"/>
        </w:rPr>
        <w:t>protocolización</w:t>
        <w:tab/>
        <w:t>605.36</w:t>
      </w:r>
    </w:p>
    <w:p>
      <w:pPr>
        <w:pStyle w:val="ListParagraph"/>
        <w:numPr>
          <w:ilvl w:val="0"/>
          <w:numId w:val="9"/>
        </w:numPr>
        <w:tabs>
          <w:tab w:pos="1365" w:val="left" w:leader="none"/>
          <w:tab w:pos="1366" w:val="left" w:leader="none"/>
          <w:tab w:pos="10074" w:val="right" w:leader="none"/>
        </w:tabs>
        <w:spacing w:line="240" w:lineRule="auto" w:before="120" w:after="0"/>
        <w:ind w:left="1365" w:right="0" w:hanging="570"/>
        <w:jc w:val="left"/>
        <w:rPr>
          <w:sz w:val="24"/>
        </w:rPr>
      </w:pPr>
      <w:r>
        <w:rPr>
          <w:sz w:val="24"/>
        </w:rPr>
        <w:t>Porcada evento de reingreso</w:t>
      </w:r>
      <w:r>
        <w:rPr>
          <w:spacing w:val="-5"/>
          <w:sz w:val="24"/>
        </w:rPr>
        <w:t> </w:t>
      </w:r>
      <w:r>
        <w:rPr>
          <w:sz w:val="24"/>
        </w:rPr>
        <w:t>de</w:t>
      </w:r>
      <w:r>
        <w:rPr>
          <w:spacing w:val="-2"/>
          <w:sz w:val="24"/>
        </w:rPr>
        <w:t> </w:t>
      </w:r>
      <w:r>
        <w:rPr>
          <w:sz w:val="24"/>
        </w:rPr>
        <w:t>trámite</w:t>
        <w:tab/>
        <w:t>225.89</w:t>
      </w:r>
    </w:p>
    <w:p>
      <w:pPr>
        <w:spacing w:after="0" w:line="240" w:lineRule="auto"/>
        <w:jc w:val="left"/>
        <w:rPr>
          <w:sz w:val="24"/>
        </w:rPr>
        <w:sectPr>
          <w:type w:val="continuous"/>
          <w:pgSz w:w="12250" w:h="15850"/>
          <w:pgMar w:top="840" w:bottom="280" w:left="860" w:right="820"/>
        </w:sectPr>
      </w:pPr>
    </w:p>
    <w:p>
      <w:pPr>
        <w:pStyle w:val="ListParagraph"/>
        <w:numPr>
          <w:ilvl w:val="0"/>
          <w:numId w:val="9"/>
        </w:numPr>
        <w:tabs>
          <w:tab w:pos="1391" w:val="left" w:leader="none"/>
          <w:tab w:pos="1392" w:val="left" w:leader="none"/>
        </w:tabs>
        <w:spacing w:line="240" w:lineRule="auto" w:before="120" w:after="0"/>
        <w:ind w:left="1391" w:right="41" w:hanging="600"/>
        <w:jc w:val="left"/>
        <w:rPr>
          <w:sz w:val="24"/>
        </w:rPr>
      </w:pPr>
      <w:r>
        <w:rPr>
          <w:sz w:val="24"/>
        </w:rPr>
        <w:t>Trámite de desmancomunización de bienes inmuebles por cada</w:t>
      </w:r>
      <w:r>
        <w:rPr>
          <w:spacing w:val="-3"/>
          <w:sz w:val="24"/>
        </w:rPr>
        <w:t> </w:t>
      </w:r>
      <w:r>
        <w:rPr>
          <w:sz w:val="24"/>
        </w:rPr>
        <w:t>propietario</w:t>
      </w:r>
    </w:p>
    <w:p>
      <w:pPr>
        <w:pStyle w:val="ListParagraph"/>
        <w:numPr>
          <w:ilvl w:val="0"/>
          <w:numId w:val="9"/>
        </w:numPr>
        <w:tabs>
          <w:tab w:pos="1391" w:val="left" w:leader="none"/>
          <w:tab w:pos="1392" w:val="left" w:leader="none"/>
          <w:tab w:pos="2981" w:val="left" w:leader="none"/>
          <w:tab w:pos="3766" w:val="left" w:leader="none"/>
          <w:tab w:pos="4113" w:val="left" w:leader="none"/>
          <w:tab w:pos="5732" w:val="left" w:leader="none"/>
          <w:tab w:pos="6224" w:val="left" w:leader="none"/>
          <w:tab w:pos="7600" w:val="left" w:leader="none"/>
        </w:tabs>
        <w:spacing w:line="240" w:lineRule="auto" w:before="120" w:after="0"/>
        <w:ind w:left="1391" w:right="38" w:hanging="569"/>
        <w:jc w:val="left"/>
        <w:rPr>
          <w:sz w:val="24"/>
        </w:rPr>
      </w:pPr>
      <w:r>
        <w:rPr>
          <w:sz w:val="24"/>
        </w:rPr>
        <w:t>Comparativo</w:t>
        <w:tab/>
        <w:t>físico</w:t>
        <w:tab/>
        <w:t>y</w:t>
        <w:tab/>
        <w:t>actualización</w:t>
        <w:tab/>
        <w:t>de</w:t>
        <w:tab/>
        <w:t>cartografía</w:t>
        <w:tab/>
      </w:r>
      <w:r>
        <w:rPr>
          <w:spacing w:val="-7"/>
          <w:sz w:val="24"/>
        </w:rPr>
        <w:t>por </w:t>
      </w:r>
      <w:r>
        <w:rPr>
          <w:sz w:val="24"/>
        </w:rPr>
        <w:t>valuación</w:t>
      </w:r>
    </w:p>
    <w:p>
      <w:pPr>
        <w:pStyle w:val="BodyText"/>
        <w:spacing w:before="120"/>
        <w:ind w:left="791"/>
      </w:pPr>
      <w:r>
        <w:rPr/>
        <w:br w:type="column"/>
      </w:r>
      <w:r>
        <w:rPr/>
        <w:t>605.36</w:t>
      </w:r>
    </w:p>
    <w:p>
      <w:pPr>
        <w:spacing w:after="0"/>
        <w:sectPr>
          <w:type w:val="continuous"/>
          <w:pgSz w:w="12250" w:h="15850"/>
          <w:pgMar w:top="840" w:bottom="280" w:left="860" w:right="820"/>
          <w:cols w:num="2" w:equalWidth="0">
            <w:col w:w="7988" w:space="560"/>
            <w:col w:w="2022"/>
          </w:cols>
        </w:sectPr>
      </w:pPr>
    </w:p>
    <w:p>
      <w:pPr>
        <w:pStyle w:val="BodyText"/>
        <w:tabs>
          <w:tab w:pos="10074" w:val="right" w:leader="none"/>
        </w:tabs>
        <w:spacing w:before="120"/>
        <w:ind w:left="1106"/>
      </w:pPr>
      <w:r>
        <w:rPr>
          <w:b/>
        </w:rPr>
        <w:t>1.- </w:t>
      </w:r>
      <w:r>
        <w:rPr/>
        <w:t>Valor de la propiedad calculada</w:t>
      </w:r>
      <w:r>
        <w:rPr>
          <w:spacing w:val="-11"/>
        </w:rPr>
        <w:t> </w:t>
      </w:r>
      <w:r>
        <w:rPr/>
        <w:t>hasta</w:t>
      </w:r>
      <w:r>
        <w:rPr>
          <w:spacing w:val="-1"/>
        </w:rPr>
        <w:t> </w:t>
      </w:r>
      <w:r>
        <w:rPr/>
        <w:t>$300,000.00</w:t>
        <w:tab/>
        <w:t>450.89</w:t>
      </w:r>
    </w:p>
    <w:p>
      <w:pPr>
        <w:pStyle w:val="BodyText"/>
        <w:tabs>
          <w:tab w:pos="10074" w:val="right" w:leader="none"/>
        </w:tabs>
        <w:spacing w:before="346"/>
        <w:ind w:left="1106"/>
      </w:pPr>
      <w:r>
        <w:rPr>
          <w:b/>
        </w:rPr>
        <w:t>2.- </w:t>
      </w:r>
      <w:r>
        <w:rPr/>
        <w:t>De $300, 000.01</w:t>
      </w:r>
      <w:r>
        <w:rPr>
          <w:spacing w:val="-5"/>
        </w:rPr>
        <w:t> </w:t>
      </w:r>
      <w:r>
        <w:rPr/>
        <w:t>hasta</w:t>
      </w:r>
      <w:r>
        <w:rPr>
          <w:spacing w:val="1"/>
        </w:rPr>
        <w:t> </w:t>
      </w:r>
      <w:r>
        <w:rPr/>
        <w:t>$500,000.00</w:t>
        <w:tab/>
        <w:t>605.36</w:t>
      </w:r>
    </w:p>
    <w:p>
      <w:pPr>
        <w:spacing w:after="0"/>
        <w:sectPr>
          <w:type w:val="continuous"/>
          <w:pgSz w:w="12250" w:h="15850"/>
          <w:pgMar w:top="840" w:bottom="280" w:left="860" w:right="820"/>
        </w:sectPr>
      </w:pPr>
    </w:p>
    <w:sdt>
      <w:sdtPr>
        <w:docPartObj>
          <w:docPartGallery w:val="Table of Contents"/>
          <w:docPartUnique/>
        </w:docPartObj>
      </w:sdtPr>
      <w:sdtEndPr/>
      <w:sdtContent>
        <w:p>
          <w:pPr>
            <w:pStyle w:val="TOC1"/>
            <w:tabs>
              <w:tab w:pos="5660" w:val="left" w:leader="none"/>
            </w:tabs>
          </w:pPr>
          <w:hyperlink w:history="true" w:anchor="_TOC_250000">
            <w:r>
              <w:rPr/>
              <w:t>Concepto</w:t>
              <w:tab/>
            </w:r>
            <w:r>
              <w:rPr>
                <w:w w:val="95"/>
              </w:rPr>
              <w:t>Precio</w:t>
            </w:r>
          </w:hyperlink>
        </w:p>
        <w:p>
          <w:pPr>
            <w:pStyle w:val="TOC2"/>
            <w:tabs>
              <w:tab w:pos="9339" w:val="left" w:leader="none"/>
            </w:tabs>
            <w:spacing w:before="277"/>
          </w:pPr>
          <w:r>
            <w:rPr>
              <w:b/>
            </w:rPr>
            <w:t>3.-</w:t>
          </w:r>
          <w:r>
            <w:rPr>
              <w:b/>
              <w:spacing w:val="-5"/>
            </w:rPr>
            <w:t> </w:t>
          </w:r>
          <w:r>
            <w:rPr/>
            <w:t>De</w:t>
          </w:r>
          <w:r>
            <w:rPr>
              <w:spacing w:val="-3"/>
            </w:rPr>
            <w:t> </w:t>
          </w:r>
          <w:r>
            <w:rPr/>
            <w:t>$500,000.01hasta$750,000.00</w:t>
            <w:tab/>
            <w:t>757.14</w:t>
          </w:r>
        </w:p>
        <w:p>
          <w:pPr>
            <w:pStyle w:val="TOC2"/>
            <w:tabs>
              <w:tab w:pos="9339" w:val="left" w:leader="none"/>
            </w:tabs>
          </w:pPr>
          <w:r>
            <w:rPr>
              <w:b/>
            </w:rPr>
            <w:t>4.- </w:t>
          </w:r>
          <w:r>
            <w:rPr/>
            <w:t>De$750,000.01</w:t>
          </w:r>
          <w:r>
            <w:rPr>
              <w:spacing w:val="-8"/>
            </w:rPr>
            <w:t> </w:t>
          </w:r>
          <w:r>
            <w:rPr/>
            <w:t>hasta</w:t>
          </w:r>
          <w:r>
            <w:rPr>
              <w:spacing w:val="-2"/>
            </w:rPr>
            <w:t> </w:t>
          </w:r>
          <w:r>
            <w:rPr/>
            <w:t>$1’000,000.00</w:t>
            <w:tab/>
            <w:t>908.04</w:t>
          </w:r>
        </w:p>
      </w:sdtContent>
    </w:sdt>
    <w:p>
      <w:pPr>
        <w:pStyle w:val="BodyText"/>
        <w:tabs>
          <w:tab w:pos="9140" w:val="left" w:leader="none"/>
        </w:tabs>
        <w:spacing w:before="120"/>
        <w:ind w:left="1106"/>
      </w:pPr>
      <w:r>
        <w:rPr>
          <w:b/>
        </w:rPr>
        <w:t>5.- </w:t>
      </w:r>
      <w:r>
        <w:rPr/>
        <w:t>De $1’000,000.01</w:t>
      </w:r>
      <w:r>
        <w:rPr>
          <w:spacing w:val="-8"/>
        </w:rPr>
        <w:t> </w:t>
      </w:r>
      <w:r>
        <w:rPr/>
        <w:t>hasta</w:t>
      </w:r>
      <w:r>
        <w:rPr>
          <w:spacing w:val="-4"/>
        </w:rPr>
        <w:t> </w:t>
      </w:r>
      <w:r>
        <w:rPr/>
        <w:t>$2’000,000.00</w:t>
        <w:tab/>
        <w:t>1,058.93</w:t>
      </w:r>
    </w:p>
    <w:p>
      <w:pPr>
        <w:pStyle w:val="BodyText"/>
        <w:tabs>
          <w:tab w:pos="9140" w:val="left" w:leader="none"/>
        </w:tabs>
        <w:spacing w:before="120"/>
        <w:ind w:left="1106"/>
      </w:pPr>
      <w:r>
        <w:rPr/>
        <w:drawing>
          <wp:anchor distT="0" distB="0" distL="0" distR="0" allowOverlap="1" layoutInCell="1" locked="0" behindDoc="1" simplePos="0" relativeHeight="227482624">
            <wp:simplePos x="0" y="0"/>
            <wp:positionH relativeFrom="page">
              <wp:posOffset>1252555</wp:posOffset>
            </wp:positionH>
            <wp:positionV relativeFrom="paragraph">
              <wp:posOffset>256233</wp:posOffset>
            </wp:positionV>
            <wp:extent cx="5022641" cy="5144769"/>
            <wp:effectExtent l="0" t="0" r="0" b="0"/>
            <wp:wrapNone/>
            <wp:docPr id="31" name="image10.png"/>
            <wp:cNvGraphicFramePr>
              <a:graphicFrameLocks noChangeAspect="1"/>
            </wp:cNvGraphicFramePr>
            <a:graphic>
              <a:graphicData uri="http://schemas.openxmlformats.org/drawingml/2006/picture">
                <pic:pic>
                  <pic:nvPicPr>
                    <pic:cNvPr id="32" name="image10.png"/>
                    <pic:cNvPicPr/>
                  </pic:nvPicPr>
                  <pic:blipFill>
                    <a:blip r:embed="rId18" cstate="print"/>
                    <a:stretch>
                      <a:fillRect/>
                    </a:stretch>
                  </pic:blipFill>
                  <pic:spPr>
                    <a:xfrm>
                      <a:off x="0" y="0"/>
                      <a:ext cx="5022641" cy="5144769"/>
                    </a:xfrm>
                    <a:prstGeom prst="rect">
                      <a:avLst/>
                    </a:prstGeom>
                  </pic:spPr>
                </pic:pic>
              </a:graphicData>
            </a:graphic>
          </wp:anchor>
        </w:drawing>
      </w:r>
      <w:r>
        <w:rPr>
          <w:b/>
        </w:rPr>
        <w:t>6.- </w:t>
      </w:r>
      <w:r>
        <w:rPr/>
        <w:t>De 2’000,000.01</w:t>
      </w:r>
      <w:r>
        <w:rPr>
          <w:spacing w:val="-9"/>
        </w:rPr>
        <w:t> </w:t>
      </w:r>
      <w:r>
        <w:rPr/>
        <w:t>hasta</w:t>
      </w:r>
      <w:r>
        <w:rPr>
          <w:spacing w:val="-2"/>
        </w:rPr>
        <w:t> </w:t>
      </w:r>
      <w:r>
        <w:rPr/>
        <w:t>$3’000,000.00</w:t>
        <w:tab/>
        <w:t>1,513.39</w:t>
      </w:r>
    </w:p>
    <w:p>
      <w:pPr>
        <w:pStyle w:val="BodyText"/>
        <w:tabs>
          <w:tab w:pos="9392" w:val="left" w:leader="none"/>
        </w:tabs>
        <w:spacing w:before="120"/>
        <w:ind w:left="1106"/>
      </w:pPr>
      <w:r>
        <w:rPr>
          <w:b/>
        </w:rPr>
        <w:t>7.- </w:t>
      </w:r>
      <w:r>
        <w:rPr/>
        <w:t>De 3’000,000.01</w:t>
      </w:r>
      <w:r>
        <w:rPr>
          <w:spacing w:val="-9"/>
        </w:rPr>
        <w:t> </w:t>
      </w:r>
      <w:r>
        <w:rPr/>
        <w:t>hasta</w:t>
      </w:r>
      <w:r>
        <w:rPr>
          <w:spacing w:val="-2"/>
        </w:rPr>
        <w:t> </w:t>
      </w:r>
      <w:r>
        <w:rPr/>
        <w:t>$5’000,000.00</w:t>
        <w:tab/>
        <w:t>0.05%</w:t>
      </w:r>
    </w:p>
    <w:p>
      <w:pPr>
        <w:pStyle w:val="BodyText"/>
        <w:spacing w:before="120"/>
        <w:ind w:right="484"/>
        <w:jc w:val="right"/>
      </w:pPr>
      <w:r>
        <w:rPr/>
        <w:t>sobre el</w:t>
      </w:r>
      <w:r>
        <w:rPr>
          <w:spacing w:val="-3"/>
        </w:rPr>
        <w:t> </w:t>
      </w:r>
      <w:r>
        <w:rPr/>
        <w:t>valor</w:t>
      </w:r>
    </w:p>
    <w:p>
      <w:pPr>
        <w:pStyle w:val="BodyText"/>
        <w:tabs>
          <w:tab w:pos="8286" w:val="left" w:leader="none"/>
        </w:tabs>
        <w:spacing w:before="120"/>
        <w:ind w:right="484"/>
        <w:jc w:val="right"/>
      </w:pPr>
      <w:r>
        <w:rPr>
          <w:b/>
        </w:rPr>
        <w:t>8.- </w:t>
      </w:r>
      <w:r>
        <w:rPr/>
        <w:t>De 5’000,000.01</w:t>
      </w:r>
      <w:r>
        <w:rPr>
          <w:spacing w:val="-9"/>
        </w:rPr>
        <w:t> </w:t>
      </w:r>
      <w:r>
        <w:rPr/>
        <w:t>hasta</w:t>
      </w:r>
      <w:r>
        <w:rPr>
          <w:spacing w:val="-2"/>
        </w:rPr>
        <w:t> </w:t>
      </w:r>
      <w:r>
        <w:rPr/>
        <w:t>$7’500,000.00</w:t>
        <w:tab/>
        <w:t>0.10%</w:t>
      </w:r>
    </w:p>
    <w:p>
      <w:pPr>
        <w:pStyle w:val="BodyText"/>
        <w:spacing w:before="120"/>
        <w:ind w:right="484"/>
        <w:jc w:val="right"/>
      </w:pPr>
      <w:r>
        <w:rPr/>
        <w:t>sobre el</w:t>
      </w:r>
      <w:r>
        <w:rPr>
          <w:spacing w:val="-3"/>
        </w:rPr>
        <w:t> </w:t>
      </w:r>
      <w:r>
        <w:rPr/>
        <w:t>valor</w:t>
      </w:r>
    </w:p>
    <w:p>
      <w:pPr>
        <w:pStyle w:val="BodyText"/>
        <w:tabs>
          <w:tab w:pos="8286" w:val="left" w:leader="none"/>
        </w:tabs>
        <w:spacing w:before="120"/>
        <w:ind w:right="484"/>
        <w:jc w:val="right"/>
      </w:pPr>
      <w:r>
        <w:rPr>
          <w:b/>
        </w:rPr>
        <w:t>9.- </w:t>
      </w:r>
      <w:r>
        <w:rPr/>
        <w:t>De 7’500,000.01</w:t>
      </w:r>
      <w:r>
        <w:rPr>
          <w:spacing w:val="-6"/>
        </w:rPr>
        <w:t> </w:t>
      </w:r>
      <w:r>
        <w:rPr/>
        <w:t>en</w:t>
      </w:r>
      <w:r>
        <w:rPr>
          <w:spacing w:val="-4"/>
        </w:rPr>
        <w:t> </w:t>
      </w:r>
      <w:r>
        <w:rPr/>
        <w:t>adelante</w:t>
        <w:tab/>
        <w:t>0.15%</w:t>
      </w:r>
    </w:p>
    <w:p>
      <w:pPr>
        <w:pStyle w:val="BodyText"/>
        <w:spacing w:before="120"/>
        <w:ind w:right="483"/>
        <w:jc w:val="right"/>
      </w:pPr>
      <w:r>
        <w:rPr/>
        <w:t>sobre el</w:t>
      </w:r>
      <w:r>
        <w:rPr>
          <w:spacing w:val="-2"/>
        </w:rPr>
        <w:t> </w:t>
      </w:r>
      <w:r>
        <w:rPr/>
        <w:t>valor</w:t>
      </w:r>
    </w:p>
    <w:p>
      <w:pPr>
        <w:pStyle w:val="BodyText"/>
        <w:spacing w:before="121"/>
        <w:ind w:left="1530" w:right="493" w:hanging="425"/>
        <w:jc w:val="both"/>
      </w:pPr>
      <w:r>
        <w:rPr>
          <w:b/>
        </w:rPr>
        <w:t>10.- </w:t>
      </w:r>
      <w:r>
        <w:rPr/>
        <w:t>Para la reactivación de vigencia del avalúo a no más de los 60 días corrientes posteriores a su vencimiento original, y como única vez, se cobrará el monto cubierto anteriormente por el comparativo físico correspondiente, más el valor de $154.80 y su aceptación dependerá de la modificación del estado físico del mismo</w:t>
      </w:r>
    </w:p>
    <w:p>
      <w:pPr>
        <w:pStyle w:val="BodyText"/>
        <w:spacing w:before="7"/>
        <w:rPr>
          <w:sz w:val="14"/>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26"/>
        <w:gridCol w:w="1257"/>
      </w:tblGrid>
      <w:tr>
        <w:trPr>
          <w:trHeight w:val="332" w:hRule="atLeast"/>
        </w:trPr>
        <w:tc>
          <w:tcPr>
            <w:tcW w:w="8126" w:type="dxa"/>
          </w:tcPr>
          <w:p>
            <w:pPr>
              <w:pStyle w:val="TableParagraph"/>
              <w:tabs>
                <w:tab w:pos="649" w:val="left" w:leader="none"/>
              </w:tabs>
              <w:spacing w:line="268" w:lineRule="exact"/>
              <w:ind w:left="50"/>
              <w:rPr>
                <w:sz w:val="24"/>
              </w:rPr>
            </w:pPr>
            <w:r>
              <w:rPr>
                <w:b/>
                <w:sz w:val="24"/>
              </w:rPr>
              <w:t>r.</w:t>
              <w:tab/>
            </w:r>
            <w:r>
              <w:rPr>
                <w:sz w:val="24"/>
              </w:rPr>
              <w:t>Reversión del</w:t>
            </w:r>
            <w:r>
              <w:rPr>
                <w:spacing w:val="-1"/>
                <w:sz w:val="24"/>
              </w:rPr>
              <w:t> </w:t>
            </w:r>
            <w:r>
              <w:rPr>
                <w:sz w:val="24"/>
              </w:rPr>
              <w:t>fideicomiso</w:t>
            </w:r>
          </w:p>
        </w:tc>
        <w:tc>
          <w:tcPr>
            <w:tcW w:w="1257" w:type="dxa"/>
          </w:tcPr>
          <w:p>
            <w:pPr>
              <w:pStyle w:val="TableParagraph"/>
              <w:spacing w:line="268" w:lineRule="exact"/>
              <w:ind w:right="47"/>
              <w:jc w:val="right"/>
              <w:rPr>
                <w:sz w:val="24"/>
              </w:rPr>
            </w:pPr>
            <w:r>
              <w:rPr>
                <w:sz w:val="24"/>
              </w:rPr>
              <w:t>1,513.39</w:t>
            </w:r>
          </w:p>
        </w:tc>
      </w:tr>
      <w:tr>
        <w:trPr>
          <w:trHeight w:val="396" w:hRule="atLeast"/>
        </w:trPr>
        <w:tc>
          <w:tcPr>
            <w:tcW w:w="8126" w:type="dxa"/>
          </w:tcPr>
          <w:p>
            <w:pPr>
              <w:pStyle w:val="TableParagraph"/>
              <w:tabs>
                <w:tab w:pos="649" w:val="left" w:leader="none"/>
              </w:tabs>
              <w:spacing w:before="56"/>
              <w:ind w:left="50"/>
              <w:rPr>
                <w:sz w:val="24"/>
              </w:rPr>
            </w:pPr>
            <w:r>
              <w:rPr>
                <w:b/>
                <w:sz w:val="24"/>
              </w:rPr>
              <w:t>s.</w:t>
              <w:tab/>
            </w:r>
            <w:r>
              <w:rPr>
                <w:sz w:val="24"/>
              </w:rPr>
              <w:t>Sustitución de fiduciario o fideicomisario.</w:t>
            </w:r>
          </w:p>
        </w:tc>
        <w:tc>
          <w:tcPr>
            <w:tcW w:w="1257" w:type="dxa"/>
          </w:tcPr>
          <w:p>
            <w:pPr>
              <w:pStyle w:val="TableParagraph"/>
              <w:spacing w:before="56"/>
              <w:ind w:right="48"/>
              <w:jc w:val="right"/>
              <w:rPr>
                <w:sz w:val="24"/>
              </w:rPr>
            </w:pPr>
            <w:r>
              <w:rPr>
                <w:sz w:val="24"/>
              </w:rPr>
              <w:t>1, 513.39</w:t>
            </w:r>
          </w:p>
        </w:tc>
      </w:tr>
      <w:tr>
        <w:trPr>
          <w:trHeight w:val="433" w:hRule="atLeast"/>
        </w:trPr>
        <w:tc>
          <w:tcPr>
            <w:tcW w:w="8126" w:type="dxa"/>
          </w:tcPr>
          <w:p>
            <w:pPr>
              <w:pStyle w:val="TableParagraph"/>
              <w:tabs>
                <w:tab w:pos="649" w:val="left" w:leader="none"/>
              </w:tabs>
              <w:spacing w:before="56"/>
              <w:ind w:left="50"/>
              <w:rPr>
                <w:sz w:val="24"/>
              </w:rPr>
            </w:pPr>
            <w:r>
              <w:rPr>
                <w:b/>
                <w:sz w:val="24"/>
              </w:rPr>
              <w:t>t.</w:t>
              <w:tab/>
            </w:r>
            <w:r>
              <w:rPr>
                <w:sz w:val="24"/>
              </w:rPr>
              <w:t>Información general de predio con expedición de</w:t>
            </w:r>
            <w:r>
              <w:rPr>
                <w:spacing w:val="-15"/>
                <w:sz w:val="24"/>
              </w:rPr>
              <w:t> </w:t>
            </w:r>
            <w:r>
              <w:rPr>
                <w:sz w:val="24"/>
              </w:rPr>
              <w:t>notificación.</w:t>
            </w:r>
          </w:p>
        </w:tc>
        <w:tc>
          <w:tcPr>
            <w:tcW w:w="1257" w:type="dxa"/>
          </w:tcPr>
          <w:p>
            <w:pPr>
              <w:pStyle w:val="TableParagraph"/>
              <w:spacing w:before="56"/>
              <w:ind w:right="48"/>
              <w:jc w:val="right"/>
              <w:rPr>
                <w:sz w:val="24"/>
              </w:rPr>
            </w:pPr>
            <w:r>
              <w:rPr>
                <w:sz w:val="24"/>
              </w:rPr>
              <w:t>158.93</w:t>
            </w:r>
          </w:p>
        </w:tc>
      </w:tr>
      <w:tr>
        <w:trPr>
          <w:trHeight w:val="445" w:hRule="atLeast"/>
        </w:trPr>
        <w:tc>
          <w:tcPr>
            <w:tcW w:w="8126" w:type="dxa"/>
          </w:tcPr>
          <w:p>
            <w:pPr>
              <w:pStyle w:val="TableParagraph"/>
              <w:tabs>
                <w:tab w:pos="649" w:val="left" w:leader="none"/>
              </w:tabs>
              <w:spacing w:before="93"/>
              <w:ind w:left="50"/>
              <w:rPr>
                <w:sz w:val="24"/>
              </w:rPr>
            </w:pPr>
            <w:r>
              <w:rPr>
                <w:b/>
                <w:sz w:val="24"/>
              </w:rPr>
              <w:t>u.</w:t>
              <w:tab/>
            </w:r>
            <w:r>
              <w:rPr>
                <w:sz w:val="24"/>
              </w:rPr>
              <w:t>Presentación de testimonio de lotificación o relotificación de</w:t>
            </w:r>
            <w:r>
              <w:rPr>
                <w:spacing w:val="-17"/>
                <w:sz w:val="24"/>
              </w:rPr>
              <w:t> </w:t>
            </w:r>
            <w:r>
              <w:rPr>
                <w:sz w:val="24"/>
              </w:rPr>
              <w:t>predios:</w:t>
            </w:r>
          </w:p>
        </w:tc>
        <w:tc>
          <w:tcPr>
            <w:tcW w:w="1257" w:type="dxa"/>
          </w:tcPr>
          <w:p>
            <w:pPr>
              <w:pStyle w:val="TableParagraph"/>
              <w:rPr>
                <w:rFonts w:ascii="Times New Roman"/>
                <w:sz w:val="24"/>
              </w:rPr>
            </w:pPr>
          </w:p>
        </w:tc>
      </w:tr>
      <w:tr>
        <w:trPr>
          <w:trHeight w:val="408" w:hRule="atLeast"/>
        </w:trPr>
        <w:tc>
          <w:tcPr>
            <w:tcW w:w="8126" w:type="dxa"/>
          </w:tcPr>
          <w:p>
            <w:pPr>
              <w:pStyle w:val="TableParagraph"/>
              <w:spacing w:before="68"/>
              <w:ind w:left="649"/>
              <w:rPr>
                <w:sz w:val="24"/>
              </w:rPr>
            </w:pPr>
            <w:r>
              <w:rPr>
                <w:sz w:val="24"/>
              </w:rPr>
              <w:t>1.- De 3 a 5 predios</w:t>
            </w:r>
          </w:p>
        </w:tc>
        <w:tc>
          <w:tcPr>
            <w:tcW w:w="1257" w:type="dxa"/>
          </w:tcPr>
          <w:p>
            <w:pPr>
              <w:pStyle w:val="TableParagraph"/>
              <w:spacing w:before="68"/>
              <w:ind w:right="48"/>
              <w:jc w:val="right"/>
              <w:rPr>
                <w:sz w:val="24"/>
              </w:rPr>
            </w:pPr>
            <w:r>
              <w:rPr>
                <w:sz w:val="24"/>
              </w:rPr>
              <w:t>472.32</w:t>
            </w:r>
          </w:p>
        </w:tc>
      </w:tr>
      <w:tr>
        <w:trPr>
          <w:trHeight w:val="395" w:hRule="atLeast"/>
        </w:trPr>
        <w:tc>
          <w:tcPr>
            <w:tcW w:w="8126" w:type="dxa"/>
          </w:tcPr>
          <w:p>
            <w:pPr>
              <w:pStyle w:val="TableParagraph"/>
              <w:spacing w:before="56"/>
              <w:ind w:left="649"/>
              <w:rPr>
                <w:sz w:val="24"/>
              </w:rPr>
            </w:pPr>
            <w:r>
              <w:rPr>
                <w:sz w:val="24"/>
              </w:rPr>
              <w:t>2.- De 6 a 10 predios</w:t>
            </w:r>
          </w:p>
        </w:tc>
        <w:tc>
          <w:tcPr>
            <w:tcW w:w="1257" w:type="dxa"/>
          </w:tcPr>
          <w:p>
            <w:pPr>
              <w:pStyle w:val="TableParagraph"/>
              <w:spacing w:before="56"/>
              <w:ind w:right="48"/>
              <w:jc w:val="right"/>
              <w:rPr>
                <w:sz w:val="24"/>
              </w:rPr>
            </w:pPr>
            <w:r>
              <w:rPr>
                <w:sz w:val="24"/>
              </w:rPr>
              <w:t>945.54</w:t>
            </w:r>
          </w:p>
        </w:tc>
      </w:tr>
      <w:tr>
        <w:trPr>
          <w:trHeight w:val="396" w:hRule="atLeast"/>
        </w:trPr>
        <w:tc>
          <w:tcPr>
            <w:tcW w:w="8126" w:type="dxa"/>
          </w:tcPr>
          <w:p>
            <w:pPr>
              <w:pStyle w:val="TableParagraph"/>
              <w:spacing w:before="56"/>
              <w:ind w:left="649"/>
              <w:rPr>
                <w:sz w:val="24"/>
              </w:rPr>
            </w:pPr>
            <w:r>
              <w:rPr>
                <w:sz w:val="24"/>
              </w:rPr>
              <w:t>3.- De 11 a 15 predios</w:t>
            </w:r>
          </w:p>
        </w:tc>
        <w:tc>
          <w:tcPr>
            <w:tcW w:w="1257" w:type="dxa"/>
          </w:tcPr>
          <w:p>
            <w:pPr>
              <w:pStyle w:val="TableParagraph"/>
              <w:spacing w:before="56"/>
              <w:ind w:right="47"/>
              <w:jc w:val="right"/>
              <w:rPr>
                <w:sz w:val="24"/>
              </w:rPr>
            </w:pPr>
            <w:r>
              <w:rPr>
                <w:sz w:val="24"/>
              </w:rPr>
              <w:t>1,418.75</w:t>
            </w:r>
          </w:p>
        </w:tc>
      </w:tr>
      <w:tr>
        <w:trPr>
          <w:trHeight w:val="395" w:hRule="atLeast"/>
        </w:trPr>
        <w:tc>
          <w:tcPr>
            <w:tcW w:w="8126" w:type="dxa"/>
          </w:tcPr>
          <w:p>
            <w:pPr>
              <w:pStyle w:val="TableParagraph"/>
              <w:spacing w:before="56"/>
              <w:ind w:left="649"/>
              <w:rPr>
                <w:sz w:val="24"/>
              </w:rPr>
            </w:pPr>
            <w:r>
              <w:rPr>
                <w:sz w:val="24"/>
              </w:rPr>
              <w:t>4.- De 16 a 20 predios</w:t>
            </w:r>
          </w:p>
        </w:tc>
        <w:tc>
          <w:tcPr>
            <w:tcW w:w="1257" w:type="dxa"/>
          </w:tcPr>
          <w:p>
            <w:pPr>
              <w:pStyle w:val="TableParagraph"/>
              <w:spacing w:before="56"/>
              <w:ind w:right="47"/>
              <w:jc w:val="right"/>
              <w:rPr>
                <w:sz w:val="24"/>
              </w:rPr>
            </w:pPr>
            <w:r>
              <w:rPr>
                <w:sz w:val="24"/>
              </w:rPr>
              <w:t>1,891.96</w:t>
            </w:r>
          </w:p>
        </w:tc>
      </w:tr>
      <w:tr>
        <w:trPr>
          <w:trHeight w:val="396" w:hRule="atLeast"/>
        </w:trPr>
        <w:tc>
          <w:tcPr>
            <w:tcW w:w="8126" w:type="dxa"/>
          </w:tcPr>
          <w:p>
            <w:pPr>
              <w:pStyle w:val="TableParagraph"/>
              <w:spacing w:before="56"/>
              <w:ind w:left="649"/>
              <w:rPr>
                <w:sz w:val="24"/>
              </w:rPr>
            </w:pPr>
            <w:r>
              <w:rPr>
                <w:sz w:val="24"/>
              </w:rPr>
              <w:t>5.- De 21 a 25 predios</w:t>
            </w:r>
          </w:p>
        </w:tc>
        <w:tc>
          <w:tcPr>
            <w:tcW w:w="1257" w:type="dxa"/>
          </w:tcPr>
          <w:p>
            <w:pPr>
              <w:pStyle w:val="TableParagraph"/>
              <w:spacing w:before="56"/>
              <w:ind w:right="48"/>
              <w:jc w:val="right"/>
              <w:rPr>
                <w:sz w:val="24"/>
              </w:rPr>
            </w:pPr>
            <w:r>
              <w:rPr>
                <w:sz w:val="24"/>
              </w:rPr>
              <w:t>2, 363.39</w:t>
            </w:r>
          </w:p>
        </w:tc>
      </w:tr>
      <w:tr>
        <w:trPr>
          <w:trHeight w:val="396" w:hRule="atLeast"/>
        </w:trPr>
        <w:tc>
          <w:tcPr>
            <w:tcW w:w="8126" w:type="dxa"/>
          </w:tcPr>
          <w:p>
            <w:pPr>
              <w:pStyle w:val="TableParagraph"/>
              <w:spacing w:before="56"/>
              <w:ind w:left="649"/>
              <w:rPr>
                <w:sz w:val="24"/>
              </w:rPr>
            </w:pPr>
            <w:r>
              <w:rPr>
                <w:sz w:val="24"/>
              </w:rPr>
              <w:t>6.- De 26 a 30 predios</w:t>
            </w:r>
          </w:p>
        </w:tc>
        <w:tc>
          <w:tcPr>
            <w:tcW w:w="1257" w:type="dxa"/>
          </w:tcPr>
          <w:p>
            <w:pPr>
              <w:pStyle w:val="TableParagraph"/>
              <w:spacing w:before="56"/>
              <w:ind w:right="48"/>
              <w:jc w:val="right"/>
              <w:rPr>
                <w:sz w:val="24"/>
              </w:rPr>
            </w:pPr>
            <w:r>
              <w:rPr>
                <w:sz w:val="24"/>
              </w:rPr>
              <w:t>2, 836.61</w:t>
            </w:r>
          </w:p>
        </w:tc>
      </w:tr>
      <w:tr>
        <w:trPr>
          <w:trHeight w:val="396" w:hRule="atLeast"/>
        </w:trPr>
        <w:tc>
          <w:tcPr>
            <w:tcW w:w="8126" w:type="dxa"/>
          </w:tcPr>
          <w:p>
            <w:pPr>
              <w:pStyle w:val="TableParagraph"/>
              <w:spacing w:before="56"/>
              <w:ind w:left="649"/>
              <w:rPr>
                <w:sz w:val="24"/>
              </w:rPr>
            </w:pPr>
            <w:r>
              <w:rPr>
                <w:sz w:val="24"/>
              </w:rPr>
              <w:t>7.- De 31 a 50 predios</w:t>
            </w:r>
          </w:p>
        </w:tc>
        <w:tc>
          <w:tcPr>
            <w:tcW w:w="1257" w:type="dxa"/>
          </w:tcPr>
          <w:p>
            <w:pPr>
              <w:pStyle w:val="TableParagraph"/>
              <w:spacing w:before="56"/>
              <w:ind w:right="48"/>
              <w:jc w:val="right"/>
              <w:rPr>
                <w:sz w:val="24"/>
              </w:rPr>
            </w:pPr>
            <w:r>
              <w:rPr>
                <w:sz w:val="24"/>
              </w:rPr>
              <w:t>3, 782.14</w:t>
            </w:r>
          </w:p>
        </w:tc>
      </w:tr>
      <w:tr>
        <w:trPr>
          <w:trHeight w:val="728" w:hRule="atLeast"/>
        </w:trPr>
        <w:tc>
          <w:tcPr>
            <w:tcW w:w="8126" w:type="dxa"/>
          </w:tcPr>
          <w:p>
            <w:pPr>
              <w:pStyle w:val="TableParagraph"/>
              <w:spacing w:before="56"/>
              <w:ind w:left="649"/>
              <w:rPr>
                <w:sz w:val="24"/>
              </w:rPr>
            </w:pPr>
            <w:r>
              <w:rPr>
                <w:sz w:val="24"/>
              </w:rPr>
              <w:t>8.- De 51 a 100 predios</w:t>
            </w:r>
          </w:p>
          <w:p>
            <w:pPr>
              <w:pStyle w:val="TableParagraph"/>
              <w:spacing w:line="256" w:lineRule="exact" w:before="120"/>
              <w:ind w:left="649"/>
              <w:rPr>
                <w:sz w:val="24"/>
              </w:rPr>
            </w:pPr>
            <w:r>
              <w:rPr>
                <w:sz w:val="24"/>
              </w:rPr>
              <w:t>9.- A partir de 101 predios se aplicará adicionalmente el</w:t>
            </w:r>
          </w:p>
        </w:tc>
        <w:tc>
          <w:tcPr>
            <w:tcW w:w="1257" w:type="dxa"/>
          </w:tcPr>
          <w:p>
            <w:pPr>
              <w:pStyle w:val="TableParagraph"/>
              <w:spacing w:before="56"/>
              <w:ind w:right="48"/>
              <w:jc w:val="right"/>
              <w:rPr>
                <w:sz w:val="24"/>
              </w:rPr>
            </w:pPr>
            <w:r>
              <w:rPr>
                <w:sz w:val="24"/>
              </w:rPr>
              <w:t>4, 538.39</w:t>
            </w:r>
          </w:p>
        </w:tc>
      </w:tr>
    </w:tbl>
    <w:p>
      <w:pPr>
        <w:spacing w:after="0"/>
        <w:jc w:val="right"/>
        <w:rPr>
          <w:sz w:val="24"/>
        </w:rPr>
        <w:sectPr>
          <w:pgSz w:w="12250" w:h="15850"/>
          <w:pgMar w:header="730" w:footer="0" w:top="1000" w:bottom="280" w:left="860" w:right="820"/>
        </w:sectPr>
      </w:pPr>
    </w:p>
    <w:p>
      <w:pPr>
        <w:pStyle w:val="BodyText"/>
        <w:ind w:left="1391"/>
      </w:pPr>
      <w:r>
        <w:rPr/>
        <w:t>inciso u) de este apartado según corresponda.</w:t>
      </w:r>
    </w:p>
    <w:p>
      <w:pPr>
        <w:pStyle w:val="ListParagraph"/>
        <w:numPr>
          <w:ilvl w:val="0"/>
          <w:numId w:val="10"/>
        </w:numPr>
        <w:tabs>
          <w:tab w:pos="1392" w:val="left" w:leader="none"/>
        </w:tabs>
        <w:spacing w:line="240" w:lineRule="auto" w:before="127" w:after="0"/>
        <w:ind w:left="1391" w:right="38" w:hanging="569"/>
        <w:jc w:val="both"/>
        <w:rPr>
          <w:sz w:val="24"/>
        </w:rPr>
      </w:pPr>
      <w:r>
        <w:rPr>
          <w:sz w:val="24"/>
        </w:rPr>
        <w:t>Presentación de testimonio de división de lote posterior a la conclusión del trámite de origen, por</w:t>
      </w:r>
      <w:r>
        <w:rPr>
          <w:spacing w:val="-10"/>
          <w:sz w:val="24"/>
        </w:rPr>
        <w:t> </w:t>
      </w:r>
      <w:r>
        <w:rPr>
          <w:sz w:val="24"/>
        </w:rPr>
        <w:t>predio.</w:t>
      </w:r>
    </w:p>
    <w:p>
      <w:pPr>
        <w:pStyle w:val="ListParagraph"/>
        <w:numPr>
          <w:ilvl w:val="0"/>
          <w:numId w:val="10"/>
        </w:numPr>
        <w:tabs>
          <w:tab w:pos="1392" w:val="left" w:leader="none"/>
        </w:tabs>
        <w:spacing w:line="240" w:lineRule="auto" w:before="139" w:after="0"/>
        <w:ind w:left="1391" w:right="38" w:hanging="569"/>
        <w:jc w:val="both"/>
        <w:rPr>
          <w:sz w:val="24"/>
        </w:rPr>
      </w:pPr>
      <w:r>
        <w:rPr>
          <w:sz w:val="24"/>
        </w:rPr>
        <w:t>Validación de cualquier acto o documento otorgado fuera del territorio del estado, se causará por cada predio una cuota adicional</w:t>
      </w:r>
      <w:r>
        <w:rPr>
          <w:spacing w:val="-4"/>
          <w:sz w:val="24"/>
        </w:rPr>
        <w:t> </w:t>
      </w:r>
      <w:r>
        <w:rPr>
          <w:sz w:val="24"/>
        </w:rPr>
        <w:t>de:</w:t>
      </w:r>
    </w:p>
    <w:p>
      <w:pPr>
        <w:pStyle w:val="BodyText"/>
        <w:rPr>
          <w:sz w:val="35"/>
        </w:rPr>
      </w:pPr>
      <w:r>
        <w:rPr/>
        <w:br w:type="column"/>
      </w:r>
      <w:r>
        <w:rPr>
          <w:sz w:val="35"/>
        </w:rPr>
      </w:r>
    </w:p>
    <w:p>
      <w:pPr>
        <w:pStyle w:val="BodyText"/>
        <w:ind w:left="890"/>
      </w:pPr>
      <w:r>
        <w:rPr/>
        <w:t>3,025.89</w:t>
      </w:r>
    </w:p>
    <w:p>
      <w:pPr>
        <w:pStyle w:val="BodyText"/>
        <w:rPr>
          <w:sz w:val="26"/>
        </w:rPr>
      </w:pPr>
    </w:p>
    <w:p>
      <w:pPr>
        <w:pStyle w:val="BodyText"/>
        <w:rPr>
          <w:sz w:val="26"/>
        </w:rPr>
      </w:pPr>
    </w:p>
    <w:p>
      <w:pPr>
        <w:pStyle w:val="BodyText"/>
        <w:spacing w:before="214"/>
        <w:ind w:left="822"/>
      </w:pPr>
      <w:r>
        <w:rPr/>
        <w:t>1,</w:t>
      </w:r>
      <w:r>
        <w:rPr>
          <w:spacing w:val="-5"/>
        </w:rPr>
        <w:t> </w:t>
      </w:r>
      <w:r>
        <w:rPr/>
        <w:t>513.39</w:t>
      </w:r>
    </w:p>
    <w:p>
      <w:pPr>
        <w:spacing w:after="0"/>
        <w:sectPr>
          <w:type w:val="continuous"/>
          <w:pgSz w:w="12250" w:h="15850"/>
          <w:pgMar w:top="840" w:bottom="280" w:left="860" w:right="820"/>
          <w:cols w:num="2" w:equalWidth="0">
            <w:col w:w="7981" w:space="269"/>
            <w:col w:w="2320"/>
          </w:cols>
        </w:sectPr>
      </w:pPr>
    </w:p>
    <w:p>
      <w:pPr>
        <w:pStyle w:val="BodyText"/>
        <w:rPr>
          <w:sz w:val="16"/>
        </w:rPr>
      </w:pPr>
    </w:p>
    <w:p>
      <w:pPr>
        <w:spacing w:after="0"/>
        <w:rPr>
          <w:sz w:val="16"/>
        </w:rPr>
        <w:sectPr>
          <w:pgSz w:w="12250" w:h="15850"/>
          <w:pgMar w:header="730" w:footer="0" w:top="1460" w:bottom="280" w:left="860" w:right="820"/>
        </w:sectPr>
      </w:pPr>
    </w:p>
    <w:p>
      <w:pPr>
        <w:pStyle w:val="ListParagraph"/>
        <w:numPr>
          <w:ilvl w:val="0"/>
          <w:numId w:val="10"/>
        </w:numPr>
        <w:tabs>
          <w:tab w:pos="1392" w:val="left" w:leader="none"/>
        </w:tabs>
        <w:spacing w:line="240" w:lineRule="auto" w:before="92" w:after="0"/>
        <w:ind w:left="1391" w:right="38" w:hanging="569"/>
        <w:jc w:val="both"/>
        <w:rPr>
          <w:sz w:val="24"/>
        </w:rPr>
      </w:pPr>
      <w:r>
        <w:rPr>
          <w:sz w:val="24"/>
        </w:rPr>
        <w:t>Por resellar escritura ya solventada por causas no imputables a la Dirección de</w:t>
      </w:r>
      <w:r>
        <w:rPr>
          <w:spacing w:val="-3"/>
          <w:sz w:val="24"/>
        </w:rPr>
        <w:t> </w:t>
      </w:r>
      <w:r>
        <w:rPr>
          <w:sz w:val="24"/>
        </w:rPr>
        <w:t>catastro.</w:t>
      </w:r>
    </w:p>
    <w:p>
      <w:pPr>
        <w:pStyle w:val="ListParagraph"/>
        <w:numPr>
          <w:ilvl w:val="0"/>
          <w:numId w:val="10"/>
        </w:numPr>
        <w:tabs>
          <w:tab w:pos="1392" w:val="left" w:leader="none"/>
        </w:tabs>
        <w:spacing w:line="240" w:lineRule="auto" w:before="120" w:after="0"/>
        <w:ind w:left="1391" w:right="38" w:hanging="569"/>
        <w:jc w:val="both"/>
        <w:rPr>
          <w:sz w:val="24"/>
        </w:rPr>
      </w:pPr>
      <w:r>
        <w:rPr/>
        <w:drawing>
          <wp:anchor distT="0" distB="0" distL="0" distR="0" allowOverlap="1" layoutInCell="1" locked="0" behindDoc="1" simplePos="0" relativeHeight="227483648">
            <wp:simplePos x="0" y="0"/>
            <wp:positionH relativeFrom="page">
              <wp:posOffset>1239220</wp:posOffset>
            </wp:positionH>
            <wp:positionV relativeFrom="paragraph">
              <wp:posOffset>593037</wp:posOffset>
            </wp:positionV>
            <wp:extent cx="5022641" cy="5144769"/>
            <wp:effectExtent l="0" t="0" r="0" b="0"/>
            <wp:wrapNone/>
            <wp:docPr id="33" name="image11.png"/>
            <wp:cNvGraphicFramePr>
              <a:graphicFrameLocks noChangeAspect="1"/>
            </wp:cNvGraphicFramePr>
            <a:graphic>
              <a:graphicData uri="http://schemas.openxmlformats.org/drawingml/2006/picture">
                <pic:pic>
                  <pic:nvPicPr>
                    <pic:cNvPr id="34" name="image11.png"/>
                    <pic:cNvPicPr/>
                  </pic:nvPicPr>
                  <pic:blipFill>
                    <a:blip r:embed="rId19" cstate="print"/>
                    <a:stretch>
                      <a:fillRect/>
                    </a:stretch>
                  </pic:blipFill>
                  <pic:spPr>
                    <a:xfrm>
                      <a:off x="0" y="0"/>
                      <a:ext cx="5022641" cy="5144769"/>
                    </a:xfrm>
                    <a:prstGeom prst="rect">
                      <a:avLst/>
                    </a:prstGeom>
                  </pic:spPr>
                </pic:pic>
              </a:graphicData>
            </a:graphic>
          </wp:anchor>
        </w:drawing>
      </w:r>
      <w:r>
        <w:rPr>
          <w:sz w:val="24"/>
        </w:rPr>
        <w:t>Reimpresión de comprobante de pago ISABI o servicios catastrales previa solicitud por escrito del Notario Público o contribuyentes (por cada</w:t>
      </w:r>
      <w:r>
        <w:rPr>
          <w:spacing w:val="-1"/>
          <w:sz w:val="24"/>
        </w:rPr>
        <w:t> </w:t>
      </w:r>
      <w:r>
        <w:rPr>
          <w:sz w:val="24"/>
        </w:rPr>
        <w:t>hoja)</w:t>
      </w:r>
    </w:p>
    <w:p>
      <w:pPr>
        <w:pStyle w:val="ListParagraph"/>
        <w:numPr>
          <w:ilvl w:val="0"/>
          <w:numId w:val="10"/>
        </w:numPr>
        <w:tabs>
          <w:tab w:pos="1394" w:val="left" w:leader="none"/>
        </w:tabs>
        <w:spacing w:line="240" w:lineRule="auto" w:before="120" w:after="0"/>
        <w:ind w:left="1394" w:right="0" w:hanging="603"/>
        <w:jc w:val="both"/>
        <w:rPr>
          <w:sz w:val="24"/>
        </w:rPr>
      </w:pPr>
      <w:r>
        <w:rPr>
          <w:sz w:val="24"/>
        </w:rPr>
        <w:t>Trámite</w:t>
      </w:r>
      <w:r>
        <w:rPr>
          <w:spacing w:val="33"/>
          <w:sz w:val="24"/>
        </w:rPr>
        <w:t> </w:t>
      </w:r>
      <w:r>
        <w:rPr>
          <w:sz w:val="24"/>
        </w:rPr>
        <w:t>urgente</w:t>
      </w:r>
      <w:r>
        <w:rPr>
          <w:spacing w:val="33"/>
          <w:sz w:val="24"/>
        </w:rPr>
        <w:t> </w:t>
      </w:r>
      <w:r>
        <w:rPr>
          <w:sz w:val="24"/>
        </w:rPr>
        <w:t>por</w:t>
      </w:r>
      <w:r>
        <w:rPr>
          <w:spacing w:val="33"/>
          <w:sz w:val="24"/>
        </w:rPr>
        <w:t> </w:t>
      </w:r>
      <w:r>
        <w:rPr>
          <w:sz w:val="24"/>
        </w:rPr>
        <w:t>predio,</w:t>
      </w:r>
      <w:r>
        <w:rPr>
          <w:spacing w:val="32"/>
          <w:sz w:val="24"/>
        </w:rPr>
        <w:t> </w:t>
      </w:r>
      <w:r>
        <w:rPr>
          <w:sz w:val="24"/>
        </w:rPr>
        <w:t>uno</w:t>
      </w:r>
      <w:r>
        <w:rPr>
          <w:spacing w:val="33"/>
          <w:sz w:val="24"/>
        </w:rPr>
        <w:t> </w:t>
      </w:r>
      <w:r>
        <w:rPr>
          <w:sz w:val="24"/>
        </w:rPr>
        <w:t>por</w:t>
      </w:r>
      <w:r>
        <w:rPr>
          <w:spacing w:val="33"/>
          <w:sz w:val="24"/>
        </w:rPr>
        <w:t> </w:t>
      </w:r>
      <w:r>
        <w:rPr>
          <w:sz w:val="24"/>
        </w:rPr>
        <w:t>trámite,</w:t>
      </w:r>
      <w:r>
        <w:rPr>
          <w:spacing w:val="33"/>
          <w:sz w:val="24"/>
        </w:rPr>
        <w:t> </w:t>
      </w:r>
      <w:r>
        <w:rPr>
          <w:sz w:val="24"/>
        </w:rPr>
        <w:t>previa</w:t>
      </w:r>
      <w:r>
        <w:rPr>
          <w:spacing w:val="32"/>
          <w:sz w:val="24"/>
        </w:rPr>
        <w:t> </w:t>
      </w:r>
      <w:r>
        <w:rPr>
          <w:sz w:val="24"/>
        </w:rPr>
        <w:t>revisión</w:t>
      </w:r>
    </w:p>
    <w:p>
      <w:pPr>
        <w:pStyle w:val="BodyText"/>
        <w:spacing w:before="92"/>
        <w:ind w:right="485"/>
        <w:jc w:val="right"/>
      </w:pPr>
      <w:r>
        <w:rPr/>
        <w:br w:type="column"/>
      </w:r>
      <w:r>
        <w:rPr>
          <w:spacing w:val="-1"/>
        </w:rPr>
        <w:t>150.89</w:t>
      </w:r>
    </w:p>
    <w:p>
      <w:pPr>
        <w:pStyle w:val="BodyText"/>
        <w:rPr>
          <w:sz w:val="26"/>
        </w:rPr>
      </w:pPr>
    </w:p>
    <w:p>
      <w:pPr>
        <w:pStyle w:val="BodyText"/>
        <w:rPr>
          <w:sz w:val="26"/>
        </w:rPr>
      </w:pPr>
    </w:p>
    <w:p>
      <w:pPr>
        <w:pStyle w:val="BodyText"/>
        <w:spacing w:before="194"/>
        <w:ind w:right="485"/>
        <w:jc w:val="right"/>
      </w:pPr>
      <w:r>
        <w:rPr>
          <w:spacing w:val="-1"/>
        </w:rPr>
        <w:t>75.00</w:t>
      </w:r>
    </w:p>
    <w:p>
      <w:pPr>
        <w:spacing w:after="0"/>
        <w:jc w:val="right"/>
        <w:sectPr>
          <w:type w:val="continuous"/>
          <w:pgSz w:w="12250" w:h="15850"/>
          <w:pgMar w:top="840" w:bottom="280" w:left="860" w:right="820"/>
          <w:cols w:num="2" w:equalWidth="0">
            <w:col w:w="7983" w:space="565"/>
            <w:col w:w="2022"/>
          </w:cols>
        </w:sectPr>
      </w:pPr>
    </w:p>
    <w:p>
      <w:pPr>
        <w:pStyle w:val="BodyText"/>
        <w:tabs>
          <w:tab w:pos="10074" w:val="right" w:leader="none"/>
        </w:tabs>
        <w:ind w:left="1394"/>
      </w:pPr>
      <w:r>
        <w:rPr/>
        <w:t>del</w:t>
      </w:r>
      <w:r>
        <w:rPr>
          <w:spacing w:val="-1"/>
        </w:rPr>
        <w:t> </w:t>
      </w:r>
      <w:r>
        <w:rPr/>
        <w:t>área correspondiente</w:t>
        <w:tab/>
      </w:r>
      <w:r>
        <w:rPr>
          <w:position w:val="-11"/>
        </w:rPr>
        <w:t>529.47</w:t>
      </w:r>
    </w:p>
    <w:p>
      <w:pPr>
        <w:spacing w:after="0"/>
        <w:sectPr>
          <w:type w:val="continuous"/>
          <w:pgSz w:w="12250" w:h="15850"/>
          <w:pgMar w:top="840" w:bottom="280" w:left="860" w:right="820"/>
        </w:sectPr>
      </w:pPr>
    </w:p>
    <w:p>
      <w:pPr>
        <w:pStyle w:val="BodyText"/>
        <w:spacing w:before="120"/>
        <w:ind w:left="1535" w:hanging="428"/>
      </w:pPr>
      <w:r>
        <w:rPr>
          <w:b/>
        </w:rPr>
        <w:t>aa. </w:t>
      </w:r>
      <w:r>
        <w:rPr/>
        <w:t>Registro o modificación a predios en vías de regularización según acuerdo de la Dirección de Catastro</w:t>
      </w:r>
    </w:p>
    <w:p>
      <w:pPr>
        <w:pStyle w:val="BodyText"/>
        <w:spacing w:before="164"/>
        <w:ind w:left="1535" w:hanging="428"/>
      </w:pPr>
      <w:r>
        <w:rPr>
          <w:b/>
        </w:rPr>
        <w:t>ab. </w:t>
      </w:r>
      <w:r>
        <w:rPr/>
        <w:t>Constancia de no adeudo predial o reimpresión de comprobante de pago</w:t>
      </w:r>
    </w:p>
    <w:p>
      <w:pPr>
        <w:pStyle w:val="BodyText"/>
        <w:spacing w:before="120"/>
        <w:ind w:left="1108"/>
      </w:pPr>
      <w:r>
        <w:rPr/>
        <w:br w:type="column"/>
      </w:r>
      <w:r>
        <w:rPr/>
        <w:t>150.89</w:t>
      </w:r>
    </w:p>
    <w:p>
      <w:pPr>
        <w:pStyle w:val="BodyText"/>
        <w:spacing w:before="440"/>
        <w:ind w:left="1108"/>
      </w:pPr>
      <w:r>
        <w:rPr/>
        <w:t>150.89</w:t>
      </w:r>
    </w:p>
    <w:p>
      <w:pPr>
        <w:spacing w:after="0"/>
        <w:sectPr>
          <w:type w:val="continuous"/>
          <w:pgSz w:w="12250" w:h="15850"/>
          <w:pgMar w:top="840" w:bottom="280" w:left="860" w:right="820"/>
          <w:cols w:num="2" w:equalWidth="0">
            <w:col w:w="7982" w:space="249"/>
            <w:col w:w="2339"/>
          </w:cols>
        </w:sectPr>
      </w:pPr>
    </w:p>
    <w:p>
      <w:pPr>
        <w:pStyle w:val="BodyText"/>
        <w:spacing w:before="1" w:after="1"/>
        <w:rPr>
          <w:sz w:val="11"/>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2"/>
        <w:gridCol w:w="1654"/>
      </w:tblGrid>
      <w:tr>
        <w:trPr>
          <w:trHeight w:val="374" w:hRule="atLeast"/>
        </w:trPr>
        <w:tc>
          <w:tcPr>
            <w:tcW w:w="7412" w:type="dxa"/>
          </w:tcPr>
          <w:p>
            <w:pPr>
              <w:pStyle w:val="TableParagraph"/>
              <w:spacing w:line="268" w:lineRule="exact"/>
              <w:ind w:left="50"/>
              <w:rPr>
                <w:sz w:val="24"/>
              </w:rPr>
            </w:pPr>
            <w:r>
              <w:rPr>
                <w:b/>
                <w:sz w:val="24"/>
              </w:rPr>
              <w:t>ac. </w:t>
            </w:r>
            <w:r>
              <w:rPr>
                <w:sz w:val="24"/>
              </w:rPr>
              <w:t>Liberación de suspensión de traslado de dominio</w:t>
            </w:r>
          </w:p>
        </w:tc>
        <w:tc>
          <w:tcPr>
            <w:tcW w:w="1654" w:type="dxa"/>
          </w:tcPr>
          <w:p>
            <w:pPr>
              <w:pStyle w:val="TableParagraph"/>
              <w:spacing w:line="268" w:lineRule="exact"/>
              <w:ind w:right="47"/>
              <w:jc w:val="right"/>
              <w:rPr>
                <w:sz w:val="24"/>
              </w:rPr>
            </w:pPr>
            <w:r>
              <w:rPr>
                <w:sz w:val="24"/>
              </w:rPr>
              <w:t>153.57</w:t>
            </w:r>
          </w:p>
        </w:tc>
      </w:tr>
      <w:tr>
        <w:trPr>
          <w:trHeight w:val="447" w:hRule="atLeast"/>
        </w:trPr>
        <w:tc>
          <w:tcPr>
            <w:tcW w:w="7412" w:type="dxa"/>
          </w:tcPr>
          <w:p>
            <w:pPr>
              <w:pStyle w:val="TableParagraph"/>
              <w:spacing w:before="98"/>
              <w:ind w:left="50"/>
              <w:rPr>
                <w:sz w:val="24"/>
              </w:rPr>
            </w:pPr>
            <w:r>
              <w:rPr>
                <w:b/>
                <w:sz w:val="24"/>
              </w:rPr>
              <w:t>ad. </w:t>
            </w:r>
            <w:r>
              <w:rPr>
                <w:sz w:val="24"/>
              </w:rPr>
              <w:t>Elaboración de ficha catastral a requerimiento de autoridad</w:t>
            </w:r>
          </w:p>
        </w:tc>
        <w:tc>
          <w:tcPr>
            <w:tcW w:w="1654" w:type="dxa"/>
          </w:tcPr>
          <w:p>
            <w:pPr>
              <w:pStyle w:val="TableParagraph"/>
              <w:spacing w:before="98"/>
              <w:ind w:right="49"/>
              <w:jc w:val="right"/>
              <w:rPr>
                <w:sz w:val="24"/>
              </w:rPr>
            </w:pPr>
            <w:r>
              <w:rPr>
                <w:sz w:val="24"/>
              </w:rPr>
              <w:t>452.68</w:t>
            </w:r>
          </w:p>
        </w:tc>
      </w:tr>
      <w:tr>
        <w:trPr>
          <w:trHeight w:val="405" w:hRule="atLeast"/>
        </w:trPr>
        <w:tc>
          <w:tcPr>
            <w:tcW w:w="7412" w:type="dxa"/>
          </w:tcPr>
          <w:p>
            <w:pPr>
              <w:pStyle w:val="TableParagraph"/>
              <w:spacing w:before="65"/>
              <w:ind w:left="50"/>
              <w:rPr>
                <w:sz w:val="24"/>
              </w:rPr>
            </w:pPr>
            <w:r>
              <w:rPr>
                <w:b/>
                <w:sz w:val="24"/>
              </w:rPr>
              <w:t>ae. </w:t>
            </w:r>
            <w:r>
              <w:rPr>
                <w:sz w:val="24"/>
              </w:rPr>
              <w:t>Subdivisión de predio por cada 2 lotes</w:t>
            </w:r>
          </w:p>
        </w:tc>
        <w:tc>
          <w:tcPr>
            <w:tcW w:w="1654" w:type="dxa"/>
          </w:tcPr>
          <w:p>
            <w:pPr>
              <w:pStyle w:val="TableParagraph"/>
              <w:spacing w:before="65"/>
              <w:ind w:right="49"/>
              <w:jc w:val="right"/>
              <w:rPr>
                <w:sz w:val="24"/>
              </w:rPr>
            </w:pPr>
            <w:r>
              <w:rPr>
                <w:sz w:val="24"/>
              </w:rPr>
              <w:t>150.89</w:t>
            </w:r>
          </w:p>
        </w:tc>
      </w:tr>
      <w:tr>
        <w:trPr>
          <w:trHeight w:val="396" w:hRule="atLeast"/>
        </w:trPr>
        <w:tc>
          <w:tcPr>
            <w:tcW w:w="7412" w:type="dxa"/>
          </w:tcPr>
          <w:p>
            <w:pPr>
              <w:pStyle w:val="TableParagraph"/>
              <w:spacing w:before="56"/>
              <w:ind w:left="50"/>
              <w:rPr>
                <w:sz w:val="24"/>
              </w:rPr>
            </w:pPr>
            <w:r>
              <w:rPr>
                <w:b/>
                <w:sz w:val="24"/>
              </w:rPr>
              <w:t>af. </w:t>
            </w:r>
            <w:r>
              <w:rPr>
                <w:sz w:val="24"/>
              </w:rPr>
              <w:t>Fusión de predios</w:t>
            </w:r>
          </w:p>
        </w:tc>
        <w:tc>
          <w:tcPr>
            <w:tcW w:w="1654" w:type="dxa"/>
          </w:tcPr>
          <w:p>
            <w:pPr>
              <w:pStyle w:val="TableParagraph"/>
              <w:spacing w:before="56"/>
              <w:ind w:right="49"/>
              <w:jc w:val="right"/>
              <w:rPr>
                <w:sz w:val="24"/>
              </w:rPr>
            </w:pPr>
            <w:r>
              <w:rPr>
                <w:sz w:val="24"/>
              </w:rPr>
              <w:t>150.90</w:t>
            </w:r>
          </w:p>
        </w:tc>
      </w:tr>
      <w:tr>
        <w:trPr>
          <w:trHeight w:val="395" w:hRule="atLeast"/>
        </w:trPr>
        <w:tc>
          <w:tcPr>
            <w:tcW w:w="7412" w:type="dxa"/>
          </w:tcPr>
          <w:p>
            <w:pPr>
              <w:pStyle w:val="TableParagraph"/>
              <w:spacing w:before="56"/>
              <w:ind w:left="50"/>
              <w:rPr>
                <w:sz w:val="24"/>
              </w:rPr>
            </w:pPr>
            <w:r>
              <w:rPr>
                <w:b/>
                <w:sz w:val="24"/>
              </w:rPr>
              <w:t>ag. </w:t>
            </w:r>
            <w:r>
              <w:rPr>
                <w:sz w:val="24"/>
              </w:rPr>
              <w:t>Registro de perito valuador por inscripción</w:t>
            </w:r>
          </w:p>
        </w:tc>
        <w:tc>
          <w:tcPr>
            <w:tcW w:w="1654" w:type="dxa"/>
          </w:tcPr>
          <w:p>
            <w:pPr>
              <w:pStyle w:val="TableParagraph"/>
              <w:spacing w:before="56"/>
              <w:ind w:right="47"/>
              <w:jc w:val="right"/>
              <w:rPr>
                <w:sz w:val="24"/>
              </w:rPr>
            </w:pPr>
            <w:r>
              <w:rPr>
                <w:sz w:val="24"/>
              </w:rPr>
              <w:t>1,381.25</w:t>
            </w:r>
          </w:p>
        </w:tc>
      </w:tr>
      <w:tr>
        <w:trPr>
          <w:trHeight w:val="332" w:hRule="atLeast"/>
        </w:trPr>
        <w:tc>
          <w:tcPr>
            <w:tcW w:w="7412" w:type="dxa"/>
          </w:tcPr>
          <w:p>
            <w:pPr>
              <w:pStyle w:val="TableParagraph"/>
              <w:spacing w:line="256" w:lineRule="exact" w:before="56"/>
              <w:ind w:left="50"/>
              <w:rPr>
                <w:sz w:val="24"/>
              </w:rPr>
            </w:pPr>
            <w:r>
              <w:rPr>
                <w:b/>
                <w:sz w:val="24"/>
              </w:rPr>
              <w:t>ah. </w:t>
            </w:r>
            <w:r>
              <w:rPr>
                <w:sz w:val="24"/>
              </w:rPr>
              <w:t>Registro de perito valuador por reinscripción</w:t>
            </w:r>
          </w:p>
        </w:tc>
        <w:tc>
          <w:tcPr>
            <w:tcW w:w="1654" w:type="dxa"/>
          </w:tcPr>
          <w:p>
            <w:pPr>
              <w:pStyle w:val="TableParagraph"/>
              <w:spacing w:line="256" w:lineRule="exact" w:before="56"/>
              <w:ind w:right="49"/>
              <w:jc w:val="right"/>
              <w:rPr>
                <w:sz w:val="24"/>
              </w:rPr>
            </w:pPr>
            <w:r>
              <w:rPr>
                <w:sz w:val="24"/>
              </w:rPr>
              <w:t>591.97</w:t>
            </w:r>
          </w:p>
        </w:tc>
      </w:tr>
    </w:tbl>
    <w:p>
      <w:pPr>
        <w:pStyle w:val="BodyText"/>
        <w:spacing w:before="120"/>
        <w:ind w:left="791"/>
      </w:pPr>
      <w:r>
        <w:rPr/>
        <w:t>Copia de documento</w:t>
      </w:r>
    </w:p>
    <w:p>
      <w:pPr>
        <w:pStyle w:val="ListParagraph"/>
        <w:numPr>
          <w:ilvl w:val="1"/>
          <w:numId w:val="10"/>
        </w:numPr>
        <w:tabs>
          <w:tab w:pos="1512" w:val="left" w:leader="none"/>
          <w:tab w:pos="10074" w:val="right" w:leader="none"/>
        </w:tabs>
        <w:spacing w:line="240" w:lineRule="auto" w:before="120" w:after="0"/>
        <w:ind w:left="1511" w:right="0" w:hanging="361"/>
        <w:jc w:val="left"/>
        <w:rPr>
          <w:sz w:val="24"/>
        </w:rPr>
      </w:pPr>
      <w:r>
        <w:rPr>
          <w:sz w:val="24"/>
        </w:rPr>
        <w:t>Simple</w:t>
      </w:r>
      <w:r>
        <w:rPr>
          <w:spacing w:val="-2"/>
          <w:sz w:val="24"/>
        </w:rPr>
        <w:t> </w:t>
      </w:r>
      <w:r>
        <w:rPr>
          <w:sz w:val="24"/>
        </w:rPr>
        <w:t>por</w:t>
      </w:r>
      <w:r>
        <w:rPr>
          <w:spacing w:val="-4"/>
          <w:sz w:val="24"/>
        </w:rPr>
        <w:t> </w:t>
      </w:r>
      <w:r>
        <w:rPr>
          <w:sz w:val="24"/>
        </w:rPr>
        <w:t>hoja</w:t>
        <w:tab/>
        <w:t>77.68</w:t>
      </w:r>
    </w:p>
    <w:p>
      <w:pPr>
        <w:pStyle w:val="ListParagraph"/>
        <w:numPr>
          <w:ilvl w:val="1"/>
          <w:numId w:val="10"/>
        </w:numPr>
        <w:tabs>
          <w:tab w:pos="1512" w:val="left" w:leader="none"/>
          <w:tab w:pos="10074" w:val="right" w:leader="none"/>
        </w:tabs>
        <w:spacing w:line="240" w:lineRule="auto" w:before="120" w:after="0"/>
        <w:ind w:left="1511" w:right="0" w:hanging="361"/>
        <w:jc w:val="left"/>
        <w:rPr>
          <w:sz w:val="24"/>
        </w:rPr>
      </w:pPr>
      <w:r>
        <w:rPr>
          <w:sz w:val="24"/>
        </w:rPr>
        <w:t>Certificada</w:t>
      </w:r>
      <w:r>
        <w:rPr>
          <w:spacing w:val="-3"/>
          <w:sz w:val="24"/>
        </w:rPr>
        <w:t> </w:t>
      </w:r>
      <w:r>
        <w:rPr>
          <w:sz w:val="24"/>
        </w:rPr>
        <w:t>por hoja</w:t>
        <w:tab/>
        <w:t>118.75</w:t>
      </w:r>
    </w:p>
    <w:p>
      <w:pPr>
        <w:pStyle w:val="BodyText"/>
        <w:spacing w:before="5"/>
        <w:rPr>
          <w:sz w:val="34"/>
        </w:rPr>
      </w:pPr>
    </w:p>
    <w:p>
      <w:pPr>
        <w:pStyle w:val="BodyText"/>
        <w:ind w:left="400" w:right="436"/>
        <w:jc w:val="both"/>
      </w:pPr>
      <w:r>
        <w:rPr/>
        <w:t>Los avalúos comerciales y catastrales emitidos por peritos valuadores se podrán validar solamente si dichos peritos están debidamente acreditados ante la Dirección de Catastro e Impuesto Predial del municipio de Tepic.</w:t>
      </w:r>
    </w:p>
    <w:p>
      <w:pPr>
        <w:pStyle w:val="BodyText"/>
      </w:pPr>
    </w:p>
    <w:p>
      <w:pPr>
        <w:pStyle w:val="Heading1"/>
        <w:ind w:left="1247" w:right="1281"/>
        <w:jc w:val="center"/>
      </w:pPr>
      <w:r>
        <w:rPr/>
        <w:t>Capítulo Segundo</w:t>
      </w:r>
    </w:p>
    <w:p>
      <w:pPr>
        <w:spacing w:before="0"/>
        <w:ind w:left="444" w:right="488" w:firstLine="0"/>
        <w:jc w:val="center"/>
        <w:rPr>
          <w:b/>
          <w:sz w:val="24"/>
        </w:rPr>
      </w:pPr>
      <w:r>
        <w:rPr>
          <w:b/>
          <w:sz w:val="24"/>
        </w:rPr>
        <w:t>Licencias, Permisos y sus Renovaciones, para Anuncios, Carteles y Obras de Carácter Publicitario</w:t>
      </w:r>
    </w:p>
    <w:p>
      <w:pPr>
        <w:pStyle w:val="BodyText"/>
        <w:spacing w:before="1"/>
        <w:rPr>
          <w:b/>
        </w:rPr>
      </w:pPr>
    </w:p>
    <w:p>
      <w:pPr>
        <w:pStyle w:val="BodyText"/>
        <w:ind w:left="400" w:right="435"/>
        <w:jc w:val="both"/>
      </w:pPr>
      <w:r>
        <w:rPr>
          <w:b/>
        </w:rPr>
        <w:t>Artículo 13.- </w:t>
      </w:r>
      <w:r>
        <w:rPr/>
        <w:t>Los derechos por la expedición y renovación de licencias o permisos; por la colocación de anuncios publicitarios, cualquiera que sea el lugar autorizado por la Dependencia Municipal competente para que se fijen e instalen, cumpliendo los procedimientos administrativos y el control normativo para su colocación con los materiales, estructuras y soportes que se utilizan en su construcción, se causarán conforme a la cuota por metro cuadrado exhibición,</w:t>
      </w:r>
      <w:r>
        <w:rPr>
          <w:spacing w:val="-7"/>
        </w:rPr>
        <w:t> </w:t>
      </w:r>
      <w:r>
        <w:rPr/>
        <w:t>siguientes:</w:t>
      </w:r>
    </w:p>
    <w:p>
      <w:pPr>
        <w:pStyle w:val="BodyText"/>
      </w:pPr>
    </w:p>
    <w:p>
      <w:pPr>
        <w:pStyle w:val="BodyText"/>
        <w:ind w:left="400" w:right="445"/>
        <w:jc w:val="both"/>
      </w:pPr>
      <w:r>
        <w:rPr/>
        <w:t>Los anuncios podrán ser temporales o permanentes, los anuncios temporales a su vez podrán ser fijos o móviles, mientras que los permanentes siempre serán fijos.</w:t>
      </w:r>
    </w:p>
    <w:p>
      <w:pPr>
        <w:spacing w:after="0"/>
        <w:jc w:val="both"/>
        <w:sectPr>
          <w:type w:val="continuous"/>
          <w:pgSz w:w="12250" w:h="15850"/>
          <w:pgMar w:top="840" w:bottom="280" w:left="860" w:right="820"/>
        </w:sectPr>
      </w:pPr>
    </w:p>
    <w:p>
      <w:pPr>
        <w:pStyle w:val="BodyText"/>
        <w:spacing w:before="1"/>
        <w:rPr>
          <w:sz w:val="9"/>
        </w:rPr>
      </w:pPr>
    </w:p>
    <w:p>
      <w:pPr>
        <w:pStyle w:val="BodyText"/>
        <w:spacing w:before="93"/>
        <w:ind w:left="400" w:right="440"/>
        <w:jc w:val="both"/>
      </w:pPr>
      <w:r>
        <w:rPr/>
        <w:t>Para el tipo de anuncios temporales, descritos en la fracción I de este artículo, se entenderá que la vigencia del permiso que al respecto se otorgue, no excederá de treinta días naturales, por tanto, los montos que al efecto se paguen por este tipo de anuncios, ampararan un plazo de treinta días naturales como</w:t>
      </w:r>
      <w:r>
        <w:rPr>
          <w:spacing w:val="-11"/>
        </w:rPr>
        <w:t> </w:t>
      </w:r>
      <w:r>
        <w:rPr/>
        <w:t>máximo.</w:t>
      </w:r>
    </w:p>
    <w:p>
      <w:pPr>
        <w:pStyle w:val="BodyText"/>
      </w:pPr>
    </w:p>
    <w:p>
      <w:pPr>
        <w:pStyle w:val="BodyText"/>
        <w:ind w:left="400" w:right="440"/>
        <w:jc w:val="both"/>
      </w:pPr>
      <w:r>
        <w:rPr/>
        <w:drawing>
          <wp:anchor distT="0" distB="0" distL="0" distR="0" allowOverlap="1" layoutInCell="1" locked="0" behindDoc="1" simplePos="0" relativeHeight="227484672">
            <wp:simplePos x="0" y="0"/>
            <wp:positionH relativeFrom="page">
              <wp:posOffset>1252555</wp:posOffset>
            </wp:positionH>
            <wp:positionV relativeFrom="paragraph">
              <wp:posOffset>408633</wp:posOffset>
            </wp:positionV>
            <wp:extent cx="5022641" cy="5144769"/>
            <wp:effectExtent l="0" t="0" r="0" b="0"/>
            <wp:wrapNone/>
            <wp:docPr id="35" name="image12.png"/>
            <wp:cNvGraphicFramePr>
              <a:graphicFrameLocks noChangeAspect="1"/>
            </wp:cNvGraphicFramePr>
            <a:graphic>
              <a:graphicData uri="http://schemas.openxmlformats.org/drawingml/2006/picture">
                <pic:pic>
                  <pic:nvPicPr>
                    <pic:cNvPr id="36" name="image12.png"/>
                    <pic:cNvPicPr/>
                  </pic:nvPicPr>
                  <pic:blipFill>
                    <a:blip r:embed="rId20" cstate="print"/>
                    <a:stretch>
                      <a:fillRect/>
                    </a:stretch>
                  </pic:blipFill>
                  <pic:spPr>
                    <a:xfrm>
                      <a:off x="0" y="0"/>
                      <a:ext cx="5022641" cy="5144769"/>
                    </a:xfrm>
                    <a:prstGeom prst="rect">
                      <a:avLst/>
                    </a:prstGeom>
                  </pic:spPr>
                </pic:pic>
              </a:graphicData>
            </a:graphic>
          </wp:anchor>
        </w:drawing>
      </w:r>
      <w:r>
        <w:rPr/>
        <w:t>Para el tipo de anuncios móviles descrito en la fracción II de este artículo, el cobro será por día natural y no podrá concederse permiso de esta naturaleza más allá de un periodo de noventa días.</w:t>
      </w:r>
    </w:p>
    <w:p>
      <w:pPr>
        <w:pStyle w:val="BodyText"/>
      </w:pPr>
    </w:p>
    <w:p>
      <w:pPr>
        <w:pStyle w:val="BodyText"/>
        <w:ind w:left="400" w:right="441"/>
        <w:jc w:val="both"/>
      </w:pPr>
      <w:r>
        <w:rPr/>
        <w:t>Para el tipo de anuncios descritos en la fracción III de este artículo, el cobro será por treinta días</w:t>
      </w:r>
      <w:r>
        <w:rPr>
          <w:spacing w:val="-5"/>
        </w:rPr>
        <w:t> </w:t>
      </w:r>
      <w:r>
        <w:rPr/>
        <w:t>naturales.</w:t>
      </w:r>
    </w:p>
    <w:p>
      <w:pPr>
        <w:pStyle w:val="BodyText"/>
      </w:pPr>
    </w:p>
    <w:p>
      <w:pPr>
        <w:pStyle w:val="BodyText"/>
        <w:ind w:left="400"/>
        <w:jc w:val="both"/>
      </w:pPr>
      <w:r>
        <w:rPr/>
        <w:t>Para el tipo de anuncios en la fracción IV de este artículo, el cobro será anual.</w:t>
      </w:r>
    </w:p>
    <w:p>
      <w:pPr>
        <w:pStyle w:val="BodyText"/>
        <w:spacing w:before="1"/>
      </w:pPr>
    </w:p>
    <w:p>
      <w:pPr>
        <w:pStyle w:val="ListParagraph"/>
        <w:numPr>
          <w:ilvl w:val="0"/>
          <w:numId w:val="11"/>
        </w:numPr>
        <w:tabs>
          <w:tab w:pos="1533" w:val="left" w:leader="none"/>
          <w:tab w:pos="1534" w:val="left" w:leader="none"/>
        </w:tabs>
        <w:spacing w:line="240" w:lineRule="auto" w:before="0" w:after="0"/>
        <w:ind w:left="1533" w:right="441" w:hanging="567"/>
        <w:jc w:val="left"/>
        <w:rPr>
          <w:sz w:val="24"/>
        </w:rPr>
      </w:pPr>
      <w:r>
        <w:rPr>
          <w:sz w:val="24"/>
        </w:rPr>
        <w:t>Anuncios temporales, permiso por treinta días naturales y con derecho a refrendar 2 veces más,</w:t>
      </w:r>
      <w:r>
        <w:rPr>
          <w:spacing w:val="-5"/>
          <w:sz w:val="24"/>
        </w:rPr>
        <w:t> </w:t>
      </w:r>
      <w:r>
        <w:rPr>
          <w:sz w:val="24"/>
        </w:rPr>
        <w:t>como:</w:t>
      </w:r>
    </w:p>
    <w:p>
      <w:pPr>
        <w:pStyle w:val="BodyText"/>
        <w:tabs>
          <w:tab w:pos="8751" w:val="left" w:leader="none"/>
        </w:tabs>
        <w:ind w:left="954"/>
      </w:pPr>
      <w:r>
        <w:rPr/>
        <w:t>Tipo</w:t>
      </w:r>
      <w:r>
        <w:rPr>
          <w:spacing w:val="-1"/>
        </w:rPr>
        <w:t> </w:t>
      </w:r>
      <w:r>
        <w:rPr/>
        <w:t>de</w:t>
      </w:r>
      <w:r>
        <w:rPr>
          <w:spacing w:val="-2"/>
        </w:rPr>
        <w:t> </w:t>
      </w:r>
      <w:r>
        <w:rPr/>
        <w:t>anuncios</w:t>
        <w:tab/>
        <w:t>Importe</w:t>
      </w:r>
    </w:p>
    <w:p>
      <w:pPr>
        <w:pStyle w:val="ListParagraph"/>
        <w:numPr>
          <w:ilvl w:val="1"/>
          <w:numId w:val="11"/>
        </w:numPr>
        <w:tabs>
          <w:tab w:pos="1674" w:val="left" w:leader="none"/>
          <w:tab w:pos="1675" w:val="left" w:leader="none"/>
          <w:tab w:pos="9567" w:val="right" w:leader="none"/>
        </w:tabs>
        <w:spacing w:line="240" w:lineRule="auto" w:before="137" w:after="0"/>
        <w:ind w:left="1674" w:right="0" w:hanging="569"/>
        <w:jc w:val="left"/>
        <w:rPr>
          <w:sz w:val="24"/>
        </w:rPr>
      </w:pPr>
      <w:r>
        <w:rPr>
          <w:sz w:val="24"/>
        </w:rPr>
        <w:t>Cartelera</w:t>
      </w:r>
      <w:r>
        <w:rPr>
          <w:spacing w:val="-1"/>
          <w:sz w:val="24"/>
        </w:rPr>
        <w:t> </w:t>
      </w:r>
      <w:r>
        <w:rPr>
          <w:sz w:val="24"/>
        </w:rPr>
        <w:t>o</w:t>
      </w:r>
      <w:r>
        <w:rPr>
          <w:spacing w:val="-1"/>
          <w:sz w:val="24"/>
        </w:rPr>
        <w:t> </w:t>
      </w:r>
      <w:r>
        <w:rPr>
          <w:sz w:val="24"/>
        </w:rPr>
        <w:t>mampara</w:t>
        <w:tab/>
        <w:t>439.29</w:t>
      </w:r>
    </w:p>
    <w:p>
      <w:pPr>
        <w:pStyle w:val="ListParagraph"/>
        <w:numPr>
          <w:ilvl w:val="1"/>
          <w:numId w:val="11"/>
        </w:numPr>
        <w:tabs>
          <w:tab w:pos="1674" w:val="left" w:leader="none"/>
          <w:tab w:pos="1675" w:val="left" w:leader="none"/>
          <w:tab w:pos="9567" w:val="right" w:leader="none"/>
        </w:tabs>
        <w:spacing w:line="240" w:lineRule="auto" w:before="139" w:after="0"/>
        <w:ind w:left="1674" w:right="0" w:hanging="569"/>
        <w:jc w:val="left"/>
        <w:rPr>
          <w:sz w:val="24"/>
        </w:rPr>
      </w:pPr>
      <w:r>
        <w:rPr>
          <w:sz w:val="24"/>
        </w:rPr>
        <w:t>Volantes</w:t>
      </w:r>
      <w:r>
        <w:rPr>
          <w:spacing w:val="-1"/>
          <w:sz w:val="24"/>
        </w:rPr>
        <w:t> </w:t>
      </w:r>
      <w:r>
        <w:rPr>
          <w:sz w:val="24"/>
        </w:rPr>
        <w:t>por millar</w:t>
        <w:tab/>
        <w:t>266.96</w:t>
      </w:r>
    </w:p>
    <w:p>
      <w:pPr>
        <w:pStyle w:val="ListParagraph"/>
        <w:numPr>
          <w:ilvl w:val="1"/>
          <w:numId w:val="11"/>
        </w:numPr>
        <w:tabs>
          <w:tab w:pos="1674" w:val="left" w:leader="none"/>
          <w:tab w:pos="1675" w:val="left" w:leader="none"/>
          <w:tab w:pos="9567" w:val="right" w:leader="none"/>
        </w:tabs>
        <w:spacing w:line="240" w:lineRule="auto" w:before="137" w:after="0"/>
        <w:ind w:left="1674" w:right="0" w:hanging="569"/>
        <w:jc w:val="left"/>
        <w:rPr>
          <w:sz w:val="24"/>
        </w:rPr>
      </w:pPr>
      <w:r>
        <w:rPr>
          <w:sz w:val="24"/>
        </w:rPr>
        <w:t>Póster por</w:t>
      </w:r>
      <w:r>
        <w:rPr>
          <w:spacing w:val="-4"/>
          <w:sz w:val="24"/>
        </w:rPr>
        <w:t> </w:t>
      </w:r>
      <w:r>
        <w:rPr>
          <w:sz w:val="24"/>
        </w:rPr>
        <w:t>cada cien</w:t>
        <w:tab/>
        <w:t>227.68</w:t>
      </w:r>
    </w:p>
    <w:p>
      <w:pPr>
        <w:pStyle w:val="ListParagraph"/>
        <w:numPr>
          <w:ilvl w:val="1"/>
          <w:numId w:val="11"/>
        </w:numPr>
        <w:tabs>
          <w:tab w:pos="1674" w:val="left" w:leader="none"/>
          <w:tab w:pos="1675" w:val="left" w:leader="none"/>
          <w:tab w:pos="9567" w:val="right" w:leader="none"/>
        </w:tabs>
        <w:spacing w:line="240" w:lineRule="auto" w:before="139" w:after="0"/>
        <w:ind w:left="1674" w:right="0" w:hanging="569"/>
        <w:jc w:val="left"/>
        <w:rPr>
          <w:sz w:val="24"/>
        </w:rPr>
      </w:pPr>
      <w:r>
        <w:rPr>
          <w:sz w:val="24"/>
        </w:rPr>
        <w:t>Cartel por</w:t>
      </w:r>
      <w:r>
        <w:rPr>
          <w:spacing w:val="-1"/>
          <w:sz w:val="24"/>
        </w:rPr>
        <w:t> </w:t>
      </w:r>
      <w:r>
        <w:rPr>
          <w:sz w:val="24"/>
        </w:rPr>
        <w:t>cada cien</w:t>
        <w:tab/>
        <w:t>190.18</w:t>
      </w:r>
    </w:p>
    <w:p>
      <w:pPr>
        <w:pStyle w:val="ListParagraph"/>
        <w:numPr>
          <w:ilvl w:val="1"/>
          <w:numId w:val="11"/>
        </w:numPr>
        <w:tabs>
          <w:tab w:pos="1674" w:val="left" w:leader="none"/>
          <w:tab w:pos="1675" w:val="left" w:leader="none"/>
          <w:tab w:pos="9568" w:val="right" w:leader="none"/>
        </w:tabs>
        <w:spacing w:line="240" w:lineRule="auto" w:before="137" w:after="0"/>
        <w:ind w:left="1674" w:right="0" w:hanging="569"/>
        <w:jc w:val="left"/>
        <w:rPr>
          <w:sz w:val="24"/>
        </w:rPr>
      </w:pPr>
      <w:r>
        <w:rPr>
          <w:sz w:val="24"/>
        </w:rPr>
        <w:t>Mantas,</w:t>
      </w:r>
      <w:r>
        <w:rPr>
          <w:spacing w:val="-1"/>
          <w:sz w:val="24"/>
        </w:rPr>
        <w:t> </w:t>
      </w:r>
      <w:r>
        <w:rPr>
          <w:sz w:val="24"/>
        </w:rPr>
        <w:t>lonas</w:t>
        <w:tab/>
        <w:t>76.79</w:t>
      </w:r>
    </w:p>
    <w:p>
      <w:pPr>
        <w:pStyle w:val="ListParagraph"/>
        <w:numPr>
          <w:ilvl w:val="1"/>
          <w:numId w:val="11"/>
        </w:numPr>
        <w:tabs>
          <w:tab w:pos="1674" w:val="left" w:leader="none"/>
          <w:tab w:pos="1675" w:val="left" w:leader="none"/>
          <w:tab w:pos="9568" w:val="right" w:leader="none"/>
        </w:tabs>
        <w:spacing w:line="240" w:lineRule="auto" w:before="140" w:after="0"/>
        <w:ind w:left="1674" w:right="0" w:hanging="569"/>
        <w:jc w:val="left"/>
        <w:rPr>
          <w:sz w:val="24"/>
        </w:rPr>
      </w:pPr>
      <w:r>
        <w:rPr>
          <w:sz w:val="24"/>
        </w:rPr>
        <w:t>Bandas por</w:t>
      </w:r>
      <w:r>
        <w:rPr>
          <w:spacing w:val="-1"/>
          <w:sz w:val="24"/>
        </w:rPr>
        <w:t> </w:t>
      </w:r>
      <w:r>
        <w:rPr>
          <w:sz w:val="24"/>
        </w:rPr>
        <w:t>metro lineal</w:t>
        <w:tab/>
        <w:t>15.18</w:t>
      </w:r>
    </w:p>
    <w:p>
      <w:pPr>
        <w:pStyle w:val="ListParagraph"/>
        <w:numPr>
          <w:ilvl w:val="1"/>
          <w:numId w:val="11"/>
        </w:numPr>
        <w:tabs>
          <w:tab w:pos="1674" w:val="left" w:leader="none"/>
          <w:tab w:pos="1675" w:val="left" w:leader="none"/>
          <w:tab w:pos="9567" w:val="right" w:leader="none"/>
        </w:tabs>
        <w:spacing w:line="240" w:lineRule="auto" w:before="137" w:after="0"/>
        <w:ind w:left="1674" w:right="0" w:hanging="569"/>
        <w:jc w:val="left"/>
        <w:rPr>
          <w:sz w:val="24"/>
        </w:rPr>
      </w:pPr>
      <w:r>
        <w:rPr>
          <w:sz w:val="24"/>
        </w:rPr>
        <w:t>Banderola por</w:t>
      </w:r>
      <w:r>
        <w:rPr>
          <w:spacing w:val="-6"/>
          <w:sz w:val="24"/>
        </w:rPr>
        <w:t> </w:t>
      </w:r>
      <w:r>
        <w:rPr>
          <w:sz w:val="24"/>
        </w:rPr>
        <w:t>metro</w:t>
      </w:r>
      <w:r>
        <w:rPr>
          <w:spacing w:val="-2"/>
          <w:sz w:val="24"/>
        </w:rPr>
        <w:t> </w:t>
      </w:r>
      <w:r>
        <w:rPr>
          <w:sz w:val="24"/>
        </w:rPr>
        <w:t>cuadrado</w:t>
        <w:tab/>
        <w:t>533.93</w:t>
      </w:r>
    </w:p>
    <w:p>
      <w:pPr>
        <w:pStyle w:val="ListParagraph"/>
        <w:numPr>
          <w:ilvl w:val="1"/>
          <w:numId w:val="11"/>
        </w:numPr>
        <w:tabs>
          <w:tab w:pos="1674" w:val="left" w:leader="none"/>
          <w:tab w:pos="1675" w:val="left" w:leader="none"/>
          <w:tab w:pos="9567" w:val="right" w:leader="none"/>
        </w:tabs>
        <w:spacing w:line="240" w:lineRule="auto" w:before="139" w:after="0"/>
        <w:ind w:left="1674" w:right="0" w:hanging="569"/>
        <w:jc w:val="left"/>
        <w:rPr>
          <w:sz w:val="24"/>
        </w:rPr>
      </w:pPr>
      <w:r>
        <w:rPr>
          <w:sz w:val="24"/>
        </w:rPr>
        <w:t>Pendón por cada</w:t>
      </w:r>
      <w:r>
        <w:rPr>
          <w:spacing w:val="-3"/>
          <w:sz w:val="24"/>
        </w:rPr>
        <w:t> </w:t>
      </w:r>
      <w:r>
        <w:rPr>
          <w:sz w:val="24"/>
        </w:rPr>
        <w:t>cien</w:t>
      </w:r>
      <w:r>
        <w:rPr>
          <w:spacing w:val="-2"/>
          <w:sz w:val="24"/>
        </w:rPr>
        <w:t> </w:t>
      </w:r>
      <w:r>
        <w:rPr>
          <w:sz w:val="24"/>
        </w:rPr>
        <w:t>unidades</w:t>
        <w:tab/>
        <w:t>190.18</w:t>
      </w:r>
    </w:p>
    <w:p>
      <w:pPr>
        <w:pStyle w:val="ListParagraph"/>
        <w:numPr>
          <w:ilvl w:val="1"/>
          <w:numId w:val="11"/>
        </w:numPr>
        <w:tabs>
          <w:tab w:pos="1674" w:val="left" w:leader="none"/>
          <w:tab w:pos="1675" w:val="left" w:leader="none"/>
          <w:tab w:pos="9568" w:val="right" w:leader="none"/>
        </w:tabs>
        <w:spacing w:line="240" w:lineRule="auto" w:before="137" w:after="0"/>
        <w:ind w:left="1674" w:right="0" w:hanging="569"/>
        <w:jc w:val="left"/>
        <w:rPr>
          <w:sz w:val="24"/>
        </w:rPr>
      </w:pPr>
      <w:r>
        <w:rPr>
          <w:sz w:val="24"/>
        </w:rPr>
        <w:t>Adheribles por</w:t>
      </w:r>
      <w:r>
        <w:rPr>
          <w:spacing w:val="-6"/>
          <w:sz w:val="24"/>
        </w:rPr>
        <w:t> </w:t>
      </w:r>
      <w:r>
        <w:rPr>
          <w:sz w:val="24"/>
        </w:rPr>
        <w:t>metro cuadrado</w:t>
        <w:tab/>
        <w:t>53.57</w:t>
      </w:r>
    </w:p>
    <w:p>
      <w:pPr>
        <w:pStyle w:val="ListParagraph"/>
        <w:numPr>
          <w:ilvl w:val="1"/>
          <w:numId w:val="11"/>
        </w:numPr>
        <w:tabs>
          <w:tab w:pos="1674" w:val="left" w:leader="none"/>
          <w:tab w:pos="1675" w:val="left" w:leader="none"/>
          <w:tab w:pos="9568" w:val="right" w:leader="none"/>
        </w:tabs>
        <w:spacing w:line="240" w:lineRule="auto" w:before="139" w:after="0"/>
        <w:ind w:left="1674" w:right="0" w:hanging="569"/>
        <w:jc w:val="left"/>
        <w:rPr>
          <w:sz w:val="24"/>
        </w:rPr>
      </w:pPr>
      <w:r>
        <w:rPr>
          <w:sz w:val="24"/>
        </w:rPr>
        <w:t>Rotulado por</w:t>
      </w:r>
      <w:r>
        <w:rPr>
          <w:spacing w:val="-1"/>
          <w:sz w:val="24"/>
        </w:rPr>
        <w:t> </w:t>
      </w:r>
      <w:r>
        <w:rPr>
          <w:sz w:val="24"/>
        </w:rPr>
        <w:t>metro cuadrado</w:t>
        <w:tab/>
        <w:t>53.57</w:t>
      </w:r>
    </w:p>
    <w:p>
      <w:pPr>
        <w:pStyle w:val="ListParagraph"/>
        <w:numPr>
          <w:ilvl w:val="1"/>
          <w:numId w:val="11"/>
        </w:numPr>
        <w:tabs>
          <w:tab w:pos="1674" w:val="left" w:leader="none"/>
          <w:tab w:pos="1675" w:val="left" w:leader="none"/>
          <w:tab w:pos="9568" w:val="right" w:leader="none"/>
        </w:tabs>
        <w:spacing w:line="240" w:lineRule="auto" w:before="137" w:after="0"/>
        <w:ind w:left="1674" w:right="0" w:hanging="569"/>
        <w:jc w:val="left"/>
        <w:rPr>
          <w:sz w:val="24"/>
        </w:rPr>
      </w:pPr>
      <w:r>
        <w:rPr>
          <w:sz w:val="24"/>
        </w:rPr>
        <w:t>Electrónico y</w:t>
      </w:r>
      <w:r>
        <w:rPr>
          <w:spacing w:val="-4"/>
          <w:sz w:val="24"/>
        </w:rPr>
        <w:t> </w:t>
      </w:r>
      <w:r>
        <w:rPr>
          <w:sz w:val="24"/>
        </w:rPr>
        <w:t>de</w:t>
      </w:r>
      <w:r>
        <w:rPr>
          <w:spacing w:val="-2"/>
          <w:sz w:val="24"/>
        </w:rPr>
        <w:t> </w:t>
      </w:r>
      <w:r>
        <w:rPr>
          <w:sz w:val="24"/>
        </w:rPr>
        <w:t>pantalla</w:t>
        <w:tab/>
        <w:t>97.32</w:t>
      </w:r>
    </w:p>
    <w:p>
      <w:pPr>
        <w:pStyle w:val="ListParagraph"/>
        <w:numPr>
          <w:ilvl w:val="0"/>
          <w:numId w:val="11"/>
        </w:numPr>
        <w:tabs>
          <w:tab w:pos="1589" w:val="left" w:leader="none"/>
        </w:tabs>
        <w:spacing w:line="240" w:lineRule="auto" w:before="276" w:after="0"/>
        <w:ind w:left="1600" w:right="435" w:hanging="483"/>
        <w:jc w:val="both"/>
        <w:rPr>
          <w:sz w:val="24"/>
        </w:rPr>
      </w:pPr>
      <w:r>
        <w:rPr>
          <w:sz w:val="24"/>
        </w:rPr>
        <w:t>Anuncios móviles, el cobro del permiso será por día natural y no podrá concederse permiso de esta naturaleza más allá de un periodo de noventa días,</w:t>
      </w:r>
      <w:r>
        <w:rPr>
          <w:spacing w:val="-1"/>
          <w:sz w:val="24"/>
        </w:rPr>
        <w:t> </w:t>
      </w:r>
      <w:r>
        <w:rPr>
          <w:sz w:val="24"/>
        </w:rPr>
        <w:t>como:</w:t>
      </w:r>
    </w:p>
    <w:p>
      <w:pPr>
        <w:pStyle w:val="BodyText"/>
        <w:tabs>
          <w:tab w:pos="8751" w:val="left" w:leader="none"/>
        </w:tabs>
        <w:spacing w:before="276"/>
        <w:ind w:left="954"/>
      </w:pPr>
      <w:r>
        <w:rPr/>
        <w:t>Tipo</w:t>
      </w:r>
      <w:r>
        <w:rPr>
          <w:spacing w:val="-1"/>
        </w:rPr>
        <w:t> </w:t>
      </w:r>
      <w:r>
        <w:rPr/>
        <w:t>de</w:t>
      </w:r>
      <w:r>
        <w:rPr>
          <w:spacing w:val="-2"/>
        </w:rPr>
        <w:t> </w:t>
      </w:r>
      <w:r>
        <w:rPr/>
        <w:t>anuncio</w:t>
        <w:tab/>
        <w:t>Importe</w:t>
      </w:r>
    </w:p>
    <w:p>
      <w:pPr>
        <w:pStyle w:val="ListParagraph"/>
        <w:numPr>
          <w:ilvl w:val="1"/>
          <w:numId w:val="11"/>
        </w:numPr>
        <w:tabs>
          <w:tab w:pos="1675" w:val="left" w:leader="none"/>
          <w:tab w:pos="9567" w:val="right" w:leader="none"/>
        </w:tabs>
        <w:spacing w:line="240" w:lineRule="auto" w:before="137" w:after="0"/>
        <w:ind w:left="1674" w:right="0" w:hanging="361"/>
        <w:jc w:val="left"/>
        <w:rPr>
          <w:sz w:val="24"/>
        </w:rPr>
      </w:pPr>
      <w:r>
        <w:rPr>
          <w:sz w:val="24"/>
        </w:rPr>
        <w:t>Visuales por</w:t>
      </w:r>
      <w:r>
        <w:rPr>
          <w:spacing w:val="-6"/>
          <w:sz w:val="24"/>
        </w:rPr>
        <w:t> </w:t>
      </w:r>
      <w:r>
        <w:rPr>
          <w:sz w:val="24"/>
        </w:rPr>
        <w:t>metro cuadrado</w:t>
        <w:tab/>
        <w:t>195.44</w:t>
      </w:r>
    </w:p>
    <w:p>
      <w:pPr>
        <w:pStyle w:val="ListParagraph"/>
        <w:numPr>
          <w:ilvl w:val="1"/>
          <w:numId w:val="11"/>
        </w:numPr>
        <w:tabs>
          <w:tab w:pos="1675" w:val="left" w:leader="none"/>
          <w:tab w:pos="9568" w:val="right" w:leader="none"/>
        </w:tabs>
        <w:spacing w:line="240" w:lineRule="auto" w:before="139" w:after="0"/>
        <w:ind w:left="1674" w:right="0" w:hanging="361"/>
        <w:jc w:val="left"/>
        <w:rPr>
          <w:sz w:val="24"/>
        </w:rPr>
      </w:pPr>
      <w:r>
        <w:rPr>
          <w:sz w:val="24"/>
        </w:rPr>
        <w:t>Sonoro</w:t>
      </w:r>
      <w:r>
        <w:rPr>
          <w:spacing w:val="-1"/>
          <w:sz w:val="24"/>
        </w:rPr>
        <w:t> </w:t>
      </w:r>
      <w:r>
        <w:rPr>
          <w:sz w:val="24"/>
        </w:rPr>
        <w:t>(perifoneo)</w:t>
        <w:tab/>
        <w:t>32.14</w:t>
      </w:r>
    </w:p>
    <w:p>
      <w:pPr>
        <w:pStyle w:val="ListParagraph"/>
        <w:numPr>
          <w:ilvl w:val="1"/>
          <w:numId w:val="11"/>
        </w:numPr>
        <w:tabs>
          <w:tab w:pos="1675" w:val="left" w:leader="none"/>
          <w:tab w:pos="9567" w:val="right" w:leader="none"/>
        </w:tabs>
        <w:spacing w:line="240" w:lineRule="auto" w:before="137" w:after="0"/>
        <w:ind w:left="1674" w:right="0" w:hanging="361"/>
        <w:jc w:val="left"/>
        <w:rPr>
          <w:sz w:val="24"/>
        </w:rPr>
      </w:pPr>
      <w:r>
        <w:rPr>
          <w:sz w:val="24"/>
        </w:rPr>
        <w:t>Audio visual</w:t>
      </w:r>
      <w:r>
        <w:rPr>
          <w:spacing w:val="-1"/>
          <w:sz w:val="24"/>
        </w:rPr>
        <w:t> </w:t>
      </w:r>
      <w:r>
        <w:rPr>
          <w:sz w:val="24"/>
        </w:rPr>
        <w:t>o</w:t>
      </w:r>
      <w:r>
        <w:rPr>
          <w:spacing w:val="-2"/>
          <w:sz w:val="24"/>
        </w:rPr>
        <w:t> </w:t>
      </w:r>
      <w:r>
        <w:rPr>
          <w:sz w:val="24"/>
        </w:rPr>
        <w:t>mixto</w:t>
        <w:tab/>
        <w:t>228.57</w:t>
      </w:r>
    </w:p>
    <w:p>
      <w:pPr>
        <w:pStyle w:val="ListParagraph"/>
        <w:numPr>
          <w:ilvl w:val="1"/>
          <w:numId w:val="11"/>
        </w:numPr>
        <w:tabs>
          <w:tab w:pos="1675" w:val="left" w:leader="none"/>
          <w:tab w:pos="9568" w:val="right" w:leader="none"/>
        </w:tabs>
        <w:spacing w:line="240" w:lineRule="auto" w:before="139" w:after="0"/>
        <w:ind w:left="1674" w:right="0" w:hanging="361"/>
        <w:jc w:val="left"/>
        <w:rPr>
          <w:sz w:val="24"/>
        </w:rPr>
      </w:pPr>
      <w:r>
        <w:rPr>
          <w:sz w:val="24"/>
        </w:rPr>
        <w:t>Inflables</w:t>
      </w:r>
      <w:r>
        <w:rPr>
          <w:spacing w:val="-1"/>
          <w:sz w:val="24"/>
        </w:rPr>
        <w:t> </w:t>
      </w:r>
      <w:r>
        <w:rPr>
          <w:sz w:val="24"/>
        </w:rPr>
        <w:t>por</w:t>
      </w:r>
      <w:r>
        <w:rPr>
          <w:spacing w:val="-3"/>
          <w:sz w:val="24"/>
        </w:rPr>
        <w:t> </w:t>
      </w:r>
      <w:r>
        <w:rPr>
          <w:sz w:val="24"/>
        </w:rPr>
        <w:t>unidad</w:t>
        <w:tab/>
        <w:t>53.57</w:t>
      </w:r>
    </w:p>
    <w:p>
      <w:pPr>
        <w:pStyle w:val="ListParagraph"/>
        <w:numPr>
          <w:ilvl w:val="0"/>
          <w:numId w:val="11"/>
        </w:numPr>
        <w:tabs>
          <w:tab w:pos="1600" w:val="left" w:leader="none"/>
          <w:tab w:pos="1601" w:val="left" w:leader="none"/>
        </w:tabs>
        <w:spacing w:line="240" w:lineRule="auto" w:before="276" w:after="0"/>
        <w:ind w:left="1600" w:right="0" w:hanging="483"/>
        <w:jc w:val="left"/>
        <w:rPr>
          <w:sz w:val="24"/>
        </w:rPr>
      </w:pPr>
      <w:r>
        <w:rPr>
          <w:sz w:val="24"/>
        </w:rPr>
        <w:t>Superficie exhibidoras de anuncios, cobro será por treinta días naturales</w:t>
      </w:r>
      <w:r>
        <w:rPr>
          <w:spacing w:val="-17"/>
          <w:sz w:val="24"/>
        </w:rPr>
        <w:t> </w:t>
      </w:r>
      <w:r>
        <w:rPr>
          <w:sz w:val="24"/>
        </w:rPr>
        <w:t>como:</w:t>
      </w:r>
    </w:p>
    <w:p>
      <w:pPr>
        <w:spacing w:after="0" w:line="240" w:lineRule="auto"/>
        <w:jc w:val="left"/>
        <w:rPr>
          <w:sz w:val="24"/>
        </w:rPr>
        <w:sectPr>
          <w:pgSz w:w="12250" w:h="15850"/>
          <w:pgMar w:header="730" w:footer="0" w:top="1000" w:bottom="280" w:left="860" w:right="820"/>
        </w:sectPr>
      </w:pPr>
    </w:p>
    <w:p>
      <w:pPr>
        <w:pStyle w:val="ListParagraph"/>
        <w:numPr>
          <w:ilvl w:val="1"/>
          <w:numId w:val="11"/>
        </w:numPr>
        <w:tabs>
          <w:tab w:pos="1675" w:val="left" w:leader="none"/>
          <w:tab w:pos="9568" w:val="right" w:leader="none"/>
        </w:tabs>
        <w:spacing w:line="240" w:lineRule="auto" w:before="183" w:after="0"/>
        <w:ind w:left="1674" w:right="0" w:hanging="361"/>
        <w:jc w:val="left"/>
        <w:rPr>
          <w:sz w:val="24"/>
        </w:rPr>
      </w:pPr>
      <w:r>
        <w:rPr>
          <w:sz w:val="24"/>
        </w:rPr>
        <w:t>Caseta telefónica por</w:t>
      </w:r>
      <w:r>
        <w:rPr>
          <w:spacing w:val="-7"/>
          <w:sz w:val="24"/>
        </w:rPr>
        <w:t> </w:t>
      </w:r>
      <w:r>
        <w:rPr>
          <w:sz w:val="24"/>
        </w:rPr>
        <w:t>metro</w:t>
      </w:r>
      <w:r>
        <w:rPr>
          <w:spacing w:val="-2"/>
          <w:sz w:val="24"/>
        </w:rPr>
        <w:t> </w:t>
      </w:r>
      <w:r>
        <w:rPr>
          <w:sz w:val="24"/>
        </w:rPr>
        <w:t>cuadrado</w:t>
        <w:tab/>
        <w:t>91.96</w:t>
      </w:r>
    </w:p>
    <w:p>
      <w:pPr>
        <w:pStyle w:val="ListParagraph"/>
        <w:numPr>
          <w:ilvl w:val="1"/>
          <w:numId w:val="11"/>
        </w:numPr>
        <w:tabs>
          <w:tab w:pos="1675" w:val="left" w:leader="none"/>
          <w:tab w:pos="8967" w:val="left" w:leader="none"/>
        </w:tabs>
        <w:spacing w:line="240" w:lineRule="auto" w:before="139" w:after="0"/>
        <w:ind w:left="1674" w:right="0" w:hanging="361"/>
        <w:jc w:val="left"/>
        <w:rPr>
          <w:sz w:val="24"/>
        </w:rPr>
      </w:pPr>
      <w:r>
        <w:rPr>
          <w:sz w:val="24"/>
        </w:rPr>
        <w:t>Buzones de correo por</w:t>
      </w:r>
      <w:r>
        <w:rPr>
          <w:spacing w:val="-7"/>
          <w:sz w:val="24"/>
        </w:rPr>
        <w:t> </w:t>
      </w:r>
      <w:r>
        <w:rPr>
          <w:sz w:val="24"/>
        </w:rPr>
        <w:t>metro</w:t>
      </w:r>
      <w:r>
        <w:rPr>
          <w:spacing w:val="-2"/>
          <w:sz w:val="24"/>
        </w:rPr>
        <w:t> </w:t>
      </w:r>
      <w:r>
        <w:rPr>
          <w:sz w:val="24"/>
        </w:rPr>
        <w:t>cuadrado</w:t>
        <w:tab/>
        <w:t>91.96</w:t>
      </w:r>
    </w:p>
    <w:p>
      <w:pPr>
        <w:pStyle w:val="ListParagraph"/>
        <w:numPr>
          <w:ilvl w:val="1"/>
          <w:numId w:val="11"/>
        </w:numPr>
        <w:tabs>
          <w:tab w:pos="1675" w:val="left" w:leader="none"/>
          <w:tab w:pos="9567" w:val="right" w:leader="none"/>
        </w:tabs>
        <w:spacing w:line="240" w:lineRule="auto" w:before="137" w:after="0"/>
        <w:ind w:left="1674" w:right="0" w:hanging="361"/>
        <w:jc w:val="left"/>
        <w:rPr>
          <w:sz w:val="24"/>
        </w:rPr>
      </w:pPr>
      <w:r>
        <w:rPr>
          <w:sz w:val="24"/>
        </w:rPr>
        <w:t>Paraderos de autobuses por</w:t>
      </w:r>
      <w:r>
        <w:rPr>
          <w:spacing w:val="-5"/>
          <w:sz w:val="24"/>
        </w:rPr>
        <w:t> </w:t>
      </w:r>
      <w:r>
        <w:rPr>
          <w:sz w:val="24"/>
        </w:rPr>
        <w:t>metro cuadrado</w:t>
        <w:tab/>
        <w:t>228.57</w:t>
      </w:r>
    </w:p>
    <w:p>
      <w:pPr>
        <w:pStyle w:val="BodyText"/>
      </w:pPr>
    </w:p>
    <w:p>
      <w:pPr>
        <w:pStyle w:val="ListParagraph"/>
        <w:numPr>
          <w:ilvl w:val="0"/>
          <w:numId w:val="11"/>
        </w:numPr>
        <w:tabs>
          <w:tab w:pos="1677" w:val="left" w:leader="none"/>
          <w:tab w:pos="1678" w:val="left" w:leader="none"/>
        </w:tabs>
        <w:spacing w:line="240" w:lineRule="auto" w:before="0" w:after="0"/>
        <w:ind w:left="1677" w:right="0" w:hanging="570"/>
        <w:jc w:val="left"/>
        <w:rPr>
          <w:sz w:val="24"/>
        </w:rPr>
      </w:pPr>
      <w:r>
        <w:rPr>
          <w:sz w:val="24"/>
        </w:rPr>
        <w:t>Anuncios con temporalidad de un año como:</w:t>
      </w:r>
    </w:p>
    <w:p>
      <w:pPr>
        <w:pStyle w:val="BodyText"/>
      </w:pPr>
    </w:p>
    <w:p>
      <w:pPr>
        <w:pStyle w:val="BodyText"/>
        <w:ind w:left="779"/>
      </w:pPr>
      <w:r>
        <w:rPr/>
        <w:drawing>
          <wp:anchor distT="0" distB="0" distL="0" distR="0" allowOverlap="1" layoutInCell="1" locked="0" behindDoc="1" simplePos="0" relativeHeight="227485696">
            <wp:simplePos x="0" y="0"/>
            <wp:positionH relativeFrom="page">
              <wp:posOffset>1239220</wp:posOffset>
            </wp:positionH>
            <wp:positionV relativeFrom="paragraph">
              <wp:posOffset>67257</wp:posOffset>
            </wp:positionV>
            <wp:extent cx="5022641" cy="5144769"/>
            <wp:effectExtent l="0" t="0" r="0" b="0"/>
            <wp:wrapNone/>
            <wp:docPr id="37" name="image13.png"/>
            <wp:cNvGraphicFramePr>
              <a:graphicFrameLocks noChangeAspect="1"/>
            </wp:cNvGraphicFramePr>
            <a:graphic>
              <a:graphicData uri="http://schemas.openxmlformats.org/drawingml/2006/picture">
                <pic:pic>
                  <pic:nvPicPr>
                    <pic:cNvPr id="38" name="image13.png"/>
                    <pic:cNvPicPr/>
                  </pic:nvPicPr>
                  <pic:blipFill>
                    <a:blip r:embed="rId23" cstate="print"/>
                    <a:stretch>
                      <a:fillRect/>
                    </a:stretch>
                  </pic:blipFill>
                  <pic:spPr>
                    <a:xfrm>
                      <a:off x="0" y="0"/>
                      <a:ext cx="5022641" cy="5144769"/>
                    </a:xfrm>
                    <a:prstGeom prst="rect">
                      <a:avLst/>
                    </a:prstGeom>
                  </pic:spPr>
                </pic:pic>
              </a:graphicData>
            </a:graphic>
          </wp:anchor>
        </w:drawing>
      </w:r>
      <w:r>
        <w:rPr/>
        <w:t>Tipo de Anuncios</w:t>
      </w:r>
    </w:p>
    <w:p>
      <w:pPr>
        <w:pStyle w:val="BodyText"/>
      </w:pPr>
    </w:p>
    <w:p>
      <w:pPr>
        <w:pStyle w:val="ListParagraph"/>
        <w:numPr>
          <w:ilvl w:val="0"/>
          <w:numId w:val="12"/>
        </w:numPr>
        <w:tabs>
          <w:tab w:pos="1481" w:val="left" w:leader="none"/>
          <w:tab w:pos="8809" w:val="left" w:leader="none"/>
        </w:tabs>
        <w:spacing w:line="240" w:lineRule="auto" w:before="0" w:after="0"/>
        <w:ind w:left="1480" w:right="0" w:hanging="342"/>
        <w:jc w:val="left"/>
        <w:rPr>
          <w:sz w:val="24"/>
        </w:rPr>
      </w:pPr>
      <w:r>
        <w:rPr>
          <w:sz w:val="24"/>
        </w:rPr>
        <w:t>Electrónicos y pantallas por</w:t>
      </w:r>
      <w:r>
        <w:rPr>
          <w:spacing w:val="-10"/>
          <w:sz w:val="24"/>
        </w:rPr>
        <w:t> </w:t>
      </w:r>
      <w:r>
        <w:rPr>
          <w:sz w:val="24"/>
        </w:rPr>
        <w:t>metro</w:t>
      </w:r>
      <w:r>
        <w:rPr>
          <w:spacing w:val="-1"/>
          <w:sz w:val="24"/>
        </w:rPr>
        <w:t> </w:t>
      </w:r>
      <w:r>
        <w:rPr>
          <w:sz w:val="24"/>
        </w:rPr>
        <w:t>cuadrado</w:t>
        <w:tab/>
        <w:t>2,287.50</w:t>
      </w:r>
    </w:p>
    <w:p>
      <w:pPr>
        <w:pStyle w:val="ListParagraph"/>
        <w:numPr>
          <w:ilvl w:val="0"/>
          <w:numId w:val="12"/>
        </w:numPr>
        <w:tabs>
          <w:tab w:pos="1481" w:val="left" w:leader="none"/>
        </w:tabs>
        <w:spacing w:line="240" w:lineRule="auto" w:before="140" w:after="0"/>
        <w:ind w:left="1480" w:right="0" w:hanging="342"/>
        <w:jc w:val="left"/>
        <w:rPr>
          <w:sz w:val="24"/>
        </w:rPr>
      </w:pPr>
      <w:r>
        <w:rPr>
          <w:sz w:val="24"/>
        </w:rPr>
        <w:t>Escultóricos</w:t>
      </w:r>
    </w:p>
    <w:p>
      <w:pPr>
        <w:pStyle w:val="ListParagraph"/>
        <w:numPr>
          <w:ilvl w:val="1"/>
          <w:numId w:val="12"/>
        </w:numPr>
        <w:tabs>
          <w:tab w:pos="1799" w:val="left" w:leader="none"/>
          <w:tab w:pos="1800" w:val="left" w:leader="none"/>
          <w:tab w:pos="9743" w:val="right" w:leader="none"/>
        </w:tabs>
        <w:spacing w:line="240" w:lineRule="auto" w:before="136" w:after="0"/>
        <w:ind w:left="1799" w:right="0" w:hanging="406"/>
        <w:jc w:val="left"/>
        <w:rPr>
          <w:sz w:val="24"/>
        </w:rPr>
      </w:pPr>
      <w:r>
        <w:rPr>
          <w:sz w:val="24"/>
        </w:rPr>
        <w:t>Sin Iluminación por metro cuadrado</w:t>
        <w:tab/>
        <w:t>228.57</w:t>
      </w:r>
    </w:p>
    <w:p>
      <w:pPr>
        <w:pStyle w:val="ListParagraph"/>
        <w:numPr>
          <w:ilvl w:val="1"/>
          <w:numId w:val="12"/>
        </w:numPr>
        <w:tabs>
          <w:tab w:pos="1799" w:val="left" w:leader="none"/>
          <w:tab w:pos="1800" w:val="left" w:leader="none"/>
          <w:tab w:pos="9743" w:val="right" w:leader="none"/>
        </w:tabs>
        <w:spacing w:line="240" w:lineRule="auto" w:before="140" w:after="0"/>
        <w:ind w:left="1799" w:right="0" w:hanging="406"/>
        <w:jc w:val="left"/>
        <w:rPr>
          <w:sz w:val="24"/>
        </w:rPr>
      </w:pPr>
      <w:r>
        <w:rPr>
          <w:sz w:val="24"/>
        </w:rPr>
        <w:t>Con iluminación por</w:t>
      </w:r>
      <w:r>
        <w:rPr>
          <w:spacing w:val="-4"/>
          <w:sz w:val="24"/>
        </w:rPr>
        <w:t> </w:t>
      </w:r>
      <w:r>
        <w:rPr>
          <w:sz w:val="24"/>
        </w:rPr>
        <w:t>metro cuadrado</w:t>
        <w:tab/>
        <w:t>456.2</w:t>
      </w:r>
    </w:p>
    <w:p>
      <w:pPr>
        <w:pStyle w:val="ListParagraph"/>
        <w:numPr>
          <w:ilvl w:val="0"/>
          <w:numId w:val="12"/>
        </w:numPr>
        <w:tabs>
          <w:tab w:pos="1481" w:val="left" w:leader="none"/>
        </w:tabs>
        <w:spacing w:line="240" w:lineRule="auto" w:before="137" w:after="0"/>
        <w:ind w:left="1480" w:right="0" w:hanging="342"/>
        <w:jc w:val="left"/>
        <w:rPr>
          <w:sz w:val="24"/>
        </w:rPr>
      </w:pPr>
      <w:r>
        <w:rPr>
          <w:sz w:val="24"/>
        </w:rPr>
        <w:t>Rotulados</w:t>
      </w:r>
    </w:p>
    <w:p>
      <w:pPr>
        <w:pStyle w:val="ListParagraph"/>
        <w:numPr>
          <w:ilvl w:val="1"/>
          <w:numId w:val="12"/>
        </w:numPr>
        <w:tabs>
          <w:tab w:pos="1799" w:val="left" w:leader="none"/>
          <w:tab w:pos="1800" w:val="left" w:leader="none"/>
          <w:tab w:pos="9008" w:val="left" w:leader="none"/>
        </w:tabs>
        <w:spacing w:line="240" w:lineRule="auto" w:before="139" w:after="0"/>
        <w:ind w:left="1799" w:right="0" w:hanging="500"/>
        <w:jc w:val="left"/>
        <w:rPr>
          <w:sz w:val="24"/>
        </w:rPr>
      </w:pPr>
      <w:r>
        <w:rPr>
          <w:sz w:val="24"/>
        </w:rPr>
        <w:t>Sin iluminación por</w:t>
      </w:r>
      <w:r>
        <w:rPr>
          <w:spacing w:val="-6"/>
          <w:sz w:val="24"/>
        </w:rPr>
        <w:t> </w:t>
      </w:r>
      <w:r>
        <w:rPr>
          <w:sz w:val="24"/>
        </w:rPr>
        <w:t>metro</w:t>
      </w:r>
      <w:r>
        <w:rPr>
          <w:spacing w:val="-1"/>
          <w:sz w:val="24"/>
        </w:rPr>
        <w:t> </w:t>
      </w:r>
      <w:r>
        <w:rPr>
          <w:sz w:val="24"/>
        </w:rPr>
        <w:t>cuadrado</w:t>
        <w:tab/>
        <w:t>198.21</w:t>
      </w:r>
    </w:p>
    <w:p>
      <w:pPr>
        <w:pStyle w:val="ListParagraph"/>
        <w:numPr>
          <w:ilvl w:val="1"/>
          <w:numId w:val="12"/>
        </w:numPr>
        <w:tabs>
          <w:tab w:pos="1823" w:val="left" w:leader="none"/>
          <w:tab w:pos="1824" w:val="left" w:leader="none"/>
          <w:tab w:pos="9008" w:val="left" w:leader="none"/>
        </w:tabs>
        <w:spacing w:line="240" w:lineRule="auto" w:before="137" w:after="0"/>
        <w:ind w:left="1823" w:right="0" w:hanging="524"/>
        <w:jc w:val="left"/>
        <w:rPr>
          <w:sz w:val="24"/>
        </w:rPr>
      </w:pPr>
      <w:r>
        <w:rPr>
          <w:sz w:val="24"/>
        </w:rPr>
        <w:t>Con iluminación por</w:t>
      </w:r>
      <w:r>
        <w:rPr>
          <w:spacing w:val="-6"/>
          <w:sz w:val="24"/>
        </w:rPr>
        <w:t> </w:t>
      </w:r>
      <w:r>
        <w:rPr>
          <w:sz w:val="24"/>
        </w:rPr>
        <w:t>metro</w:t>
      </w:r>
      <w:r>
        <w:rPr>
          <w:spacing w:val="-1"/>
          <w:sz w:val="24"/>
        </w:rPr>
        <w:t> </w:t>
      </w:r>
      <w:r>
        <w:rPr>
          <w:sz w:val="24"/>
        </w:rPr>
        <w:t>cuadrado</w:t>
        <w:tab/>
        <w:t>194.64</w:t>
      </w:r>
    </w:p>
    <w:p>
      <w:pPr>
        <w:pStyle w:val="ListParagraph"/>
        <w:numPr>
          <w:ilvl w:val="0"/>
          <w:numId w:val="12"/>
        </w:numPr>
        <w:tabs>
          <w:tab w:pos="1481" w:val="left" w:leader="none"/>
        </w:tabs>
        <w:spacing w:line="240" w:lineRule="auto" w:before="139" w:after="0"/>
        <w:ind w:left="1480" w:right="0" w:hanging="342"/>
        <w:jc w:val="left"/>
        <w:rPr>
          <w:sz w:val="24"/>
        </w:rPr>
      </w:pPr>
      <w:r>
        <w:rPr>
          <w:sz w:val="24"/>
        </w:rPr>
        <w:t>Alto y bajo</w:t>
      </w:r>
      <w:r>
        <w:rPr>
          <w:spacing w:val="-1"/>
          <w:sz w:val="24"/>
        </w:rPr>
        <w:t> </w:t>
      </w:r>
      <w:r>
        <w:rPr>
          <w:sz w:val="24"/>
        </w:rPr>
        <w:t>relieve</w:t>
      </w:r>
    </w:p>
    <w:p>
      <w:pPr>
        <w:pStyle w:val="ListParagraph"/>
        <w:numPr>
          <w:ilvl w:val="1"/>
          <w:numId w:val="12"/>
        </w:numPr>
        <w:tabs>
          <w:tab w:pos="1824" w:val="left" w:leader="none"/>
          <w:tab w:pos="9008" w:val="left" w:leader="none"/>
        </w:tabs>
        <w:spacing w:line="240" w:lineRule="auto" w:before="137" w:after="0"/>
        <w:ind w:left="1823" w:right="0" w:hanging="385"/>
        <w:jc w:val="left"/>
        <w:rPr>
          <w:sz w:val="24"/>
        </w:rPr>
      </w:pPr>
      <w:r>
        <w:rPr>
          <w:sz w:val="24"/>
        </w:rPr>
        <w:t>Sin iluminación por</w:t>
      </w:r>
      <w:r>
        <w:rPr>
          <w:spacing w:val="-6"/>
          <w:sz w:val="24"/>
        </w:rPr>
        <w:t> </w:t>
      </w:r>
      <w:r>
        <w:rPr>
          <w:sz w:val="24"/>
        </w:rPr>
        <w:t>metro</w:t>
      </w:r>
      <w:r>
        <w:rPr>
          <w:spacing w:val="-1"/>
          <w:sz w:val="24"/>
        </w:rPr>
        <w:t> </w:t>
      </w:r>
      <w:r>
        <w:rPr>
          <w:sz w:val="24"/>
        </w:rPr>
        <w:t>cuadrado</w:t>
        <w:tab/>
        <w:t>151.79</w:t>
      </w:r>
    </w:p>
    <w:p>
      <w:pPr>
        <w:pStyle w:val="ListParagraph"/>
        <w:numPr>
          <w:ilvl w:val="1"/>
          <w:numId w:val="12"/>
        </w:numPr>
        <w:tabs>
          <w:tab w:pos="1824" w:val="left" w:leader="none"/>
          <w:tab w:pos="9008" w:val="left" w:leader="none"/>
        </w:tabs>
        <w:spacing w:line="240" w:lineRule="auto" w:before="139" w:after="0"/>
        <w:ind w:left="1823" w:right="0" w:hanging="385"/>
        <w:jc w:val="left"/>
        <w:rPr>
          <w:sz w:val="24"/>
        </w:rPr>
      </w:pPr>
      <w:r>
        <w:rPr>
          <w:sz w:val="24"/>
        </w:rPr>
        <w:t>Con iluminación por</w:t>
      </w:r>
      <w:r>
        <w:rPr>
          <w:spacing w:val="-6"/>
          <w:sz w:val="24"/>
        </w:rPr>
        <w:t> </w:t>
      </w:r>
      <w:r>
        <w:rPr>
          <w:sz w:val="24"/>
        </w:rPr>
        <w:t>metro</w:t>
      </w:r>
      <w:r>
        <w:rPr>
          <w:spacing w:val="-1"/>
          <w:sz w:val="24"/>
        </w:rPr>
        <w:t> </w:t>
      </w:r>
      <w:r>
        <w:rPr>
          <w:sz w:val="24"/>
        </w:rPr>
        <w:t>cuadrado</w:t>
        <w:tab/>
        <w:t>304.46</w:t>
      </w:r>
    </w:p>
    <w:p>
      <w:pPr>
        <w:pStyle w:val="ListParagraph"/>
        <w:numPr>
          <w:ilvl w:val="0"/>
          <w:numId w:val="12"/>
        </w:numPr>
        <w:tabs>
          <w:tab w:pos="1481" w:val="left" w:leader="none"/>
        </w:tabs>
        <w:spacing w:line="240" w:lineRule="auto" w:before="137" w:after="0"/>
        <w:ind w:left="1480" w:right="0" w:hanging="342"/>
        <w:jc w:val="left"/>
        <w:rPr>
          <w:sz w:val="24"/>
        </w:rPr>
      </w:pPr>
      <w:r>
        <w:rPr>
          <w:sz w:val="24"/>
        </w:rPr>
        <w:t>Gabinete</w:t>
      </w:r>
    </w:p>
    <w:p>
      <w:pPr>
        <w:pStyle w:val="ListParagraph"/>
        <w:numPr>
          <w:ilvl w:val="1"/>
          <w:numId w:val="12"/>
        </w:numPr>
        <w:tabs>
          <w:tab w:pos="1661" w:val="left" w:leader="none"/>
          <w:tab w:pos="9008" w:val="left" w:leader="none"/>
        </w:tabs>
        <w:spacing w:line="240" w:lineRule="auto" w:before="138" w:after="0"/>
        <w:ind w:left="1660" w:right="0" w:hanging="287"/>
        <w:jc w:val="left"/>
        <w:rPr>
          <w:sz w:val="24"/>
        </w:rPr>
      </w:pPr>
      <w:r>
        <w:rPr>
          <w:sz w:val="24"/>
        </w:rPr>
        <w:t>Sin iluminación por</w:t>
      </w:r>
      <w:r>
        <w:rPr>
          <w:spacing w:val="-6"/>
          <w:sz w:val="24"/>
        </w:rPr>
        <w:t> </w:t>
      </w:r>
      <w:r>
        <w:rPr>
          <w:sz w:val="24"/>
        </w:rPr>
        <w:t>metro</w:t>
      </w:r>
      <w:r>
        <w:rPr>
          <w:spacing w:val="-1"/>
          <w:sz w:val="24"/>
        </w:rPr>
        <w:t> </w:t>
      </w:r>
      <w:r>
        <w:rPr>
          <w:sz w:val="24"/>
        </w:rPr>
        <w:t>cuadrado</w:t>
        <w:tab/>
        <w:t>151.79</w:t>
      </w:r>
    </w:p>
    <w:p>
      <w:pPr>
        <w:pStyle w:val="ListParagraph"/>
        <w:numPr>
          <w:ilvl w:val="1"/>
          <w:numId w:val="12"/>
        </w:numPr>
        <w:tabs>
          <w:tab w:pos="1661" w:val="left" w:leader="none"/>
          <w:tab w:pos="9008" w:val="left" w:leader="none"/>
        </w:tabs>
        <w:spacing w:line="240" w:lineRule="auto" w:before="139" w:after="0"/>
        <w:ind w:left="1660" w:right="0" w:hanging="287"/>
        <w:jc w:val="left"/>
        <w:rPr>
          <w:sz w:val="24"/>
        </w:rPr>
      </w:pPr>
      <w:r>
        <w:rPr>
          <w:sz w:val="24"/>
        </w:rPr>
        <w:t>Con iluminación por</w:t>
      </w:r>
      <w:r>
        <w:rPr>
          <w:spacing w:val="-6"/>
          <w:sz w:val="24"/>
        </w:rPr>
        <w:t> </w:t>
      </w:r>
      <w:r>
        <w:rPr>
          <w:sz w:val="24"/>
        </w:rPr>
        <w:t>metro</w:t>
      </w:r>
      <w:r>
        <w:rPr>
          <w:spacing w:val="-1"/>
          <w:sz w:val="24"/>
        </w:rPr>
        <w:t> </w:t>
      </w:r>
      <w:r>
        <w:rPr>
          <w:sz w:val="24"/>
        </w:rPr>
        <w:t>cuadrado</w:t>
        <w:tab/>
        <w:t>228.57</w:t>
      </w:r>
    </w:p>
    <w:p>
      <w:pPr>
        <w:pStyle w:val="ListParagraph"/>
        <w:numPr>
          <w:ilvl w:val="0"/>
          <w:numId w:val="12"/>
        </w:numPr>
        <w:tabs>
          <w:tab w:pos="1660" w:val="left" w:leader="none"/>
          <w:tab w:pos="1661" w:val="left" w:leader="none"/>
        </w:tabs>
        <w:spacing w:line="360" w:lineRule="auto" w:before="137" w:after="0"/>
        <w:ind w:left="1679" w:right="3673" w:hanging="540"/>
        <w:jc w:val="left"/>
        <w:rPr>
          <w:sz w:val="24"/>
        </w:rPr>
      </w:pPr>
      <w:r>
        <w:rPr>
          <w:sz w:val="24"/>
        </w:rPr>
        <w:t>Cartelera espectacular (anuncios superiores a seis metros</w:t>
      </w:r>
      <w:r>
        <w:rPr>
          <w:spacing w:val="-1"/>
          <w:sz w:val="24"/>
        </w:rPr>
        <w:t> </w:t>
      </w:r>
      <w:r>
        <w:rPr>
          <w:sz w:val="24"/>
        </w:rPr>
        <w:t>cuadrados)</w:t>
      </w:r>
    </w:p>
    <w:p>
      <w:pPr>
        <w:pStyle w:val="ListParagraph"/>
        <w:numPr>
          <w:ilvl w:val="1"/>
          <w:numId w:val="12"/>
        </w:numPr>
        <w:tabs>
          <w:tab w:pos="1661" w:val="left" w:leader="none"/>
          <w:tab w:pos="9008" w:val="left" w:leader="none"/>
        </w:tabs>
        <w:spacing w:line="240" w:lineRule="auto" w:before="0" w:after="0"/>
        <w:ind w:left="1660" w:right="0" w:hanging="361"/>
        <w:jc w:val="left"/>
        <w:rPr>
          <w:sz w:val="24"/>
        </w:rPr>
      </w:pPr>
      <w:r>
        <w:rPr>
          <w:sz w:val="24"/>
        </w:rPr>
        <w:t>Sin iluminación por</w:t>
      </w:r>
      <w:r>
        <w:rPr>
          <w:spacing w:val="-6"/>
          <w:sz w:val="24"/>
        </w:rPr>
        <w:t> </w:t>
      </w:r>
      <w:r>
        <w:rPr>
          <w:sz w:val="24"/>
        </w:rPr>
        <w:t>metro</w:t>
      </w:r>
      <w:r>
        <w:rPr>
          <w:spacing w:val="-1"/>
          <w:sz w:val="24"/>
        </w:rPr>
        <w:t> </w:t>
      </w:r>
      <w:r>
        <w:rPr>
          <w:sz w:val="24"/>
        </w:rPr>
        <w:t>cuadrado</w:t>
        <w:tab/>
        <w:t>151.79</w:t>
      </w:r>
    </w:p>
    <w:p>
      <w:pPr>
        <w:pStyle w:val="ListParagraph"/>
        <w:numPr>
          <w:ilvl w:val="1"/>
          <w:numId w:val="12"/>
        </w:numPr>
        <w:tabs>
          <w:tab w:pos="1661" w:val="left" w:leader="none"/>
          <w:tab w:pos="9008" w:val="left" w:leader="none"/>
        </w:tabs>
        <w:spacing w:line="240" w:lineRule="auto" w:before="139" w:after="0"/>
        <w:ind w:left="1660" w:right="0" w:hanging="361"/>
        <w:jc w:val="left"/>
        <w:rPr>
          <w:sz w:val="24"/>
        </w:rPr>
      </w:pPr>
      <w:r>
        <w:rPr>
          <w:sz w:val="24"/>
        </w:rPr>
        <w:t>Con iluminación por</w:t>
      </w:r>
      <w:r>
        <w:rPr>
          <w:spacing w:val="-6"/>
          <w:sz w:val="24"/>
        </w:rPr>
        <w:t> </w:t>
      </w:r>
      <w:r>
        <w:rPr>
          <w:sz w:val="24"/>
        </w:rPr>
        <w:t>metro</w:t>
      </w:r>
      <w:r>
        <w:rPr>
          <w:spacing w:val="-1"/>
          <w:sz w:val="24"/>
        </w:rPr>
        <w:t> </w:t>
      </w:r>
      <w:r>
        <w:rPr>
          <w:sz w:val="24"/>
        </w:rPr>
        <w:t>cuadrado</w:t>
        <w:tab/>
        <w:t>228.57</w:t>
      </w:r>
    </w:p>
    <w:p>
      <w:pPr>
        <w:pStyle w:val="ListParagraph"/>
        <w:numPr>
          <w:ilvl w:val="0"/>
          <w:numId w:val="12"/>
        </w:numPr>
        <w:tabs>
          <w:tab w:pos="1660" w:val="left" w:leader="none"/>
          <w:tab w:pos="1661" w:val="left" w:leader="none"/>
        </w:tabs>
        <w:spacing w:line="360" w:lineRule="auto" w:before="137" w:after="0"/>
        <w:ind w:left="1679" w:right="3675" w:hanging="540"/>
        <w:jc w:val="left"/>
        <w:rPr>
          <w:sz w:val="24"/>
        </w:rPr>
      </w:pPr>
      <w:r>
        <w:rPr>
          <w:sz w:val="24"/>
        </w:rPr>
        <w:t>Gabinete espectacular (anuncios superiores a seis metros</w:t>
      </w:r>
      <w:r>
        <w:rPr>
          <w:spacing w:val="-1"/>
          <w:sz w:val="24"/>
        </w:rPr>
        <w:t> </w:t>
      </w:r>
      <w:r>
        <w:rPr>
          <w:sz w:val="24"/>
        </w:rPr>
        <w:t>cuadrados)</w:t>
      </w:r>
    </w:p>
    <w:p>
      <w:pPr>
        <w:pStyle w:val="ListParagraph"/>
        <w:numPr>
          <w:ilvl w:val="0"/>
          <w:numId w:val="13"/>
        </w:numPr>
        <w:tabs>
          <w:tab w:pos="1660" w:val="left" w:leader="none"/>
          <w:tab w:pos="1661" w:val="left" w:leader="none"/>
          <w:tab w:pos="9008" w:val="left" w:leader="none"/>
        </w:tabs>
        <w:spacing w:line="240" w:lineRule="auto" w:before="0" w:after="0"/>
        <w:ind w:left="1660" w:right="0" w:hanging="522"/>
        <w:jc w:val="left"/>
        <w:rPr>
          <w:sz w:val="24"/>
        </w:rPr>
      </w:pPr>
      <w:r>
        <w:rPr>
          <w:sz w:val="24"/>
        </w:rPr>
        <w:t>Sin iluminación por</w:t>
      </w:r>
      <w:r>
        <w:rPr>
          <w:spacing w:val="-6"/>
          <w:sz w:val="24"/>
        </w:rPr>
        <w:t> </w:t>
      </w:r>
      <w:r>
        <w:rPr>
          <w:sz w:val="24"/>
        </w:rPr>
        <w:t>metro</w:t>
      </w:r>
      <w:r>
        <w:rPr>
          <w:spacing w:val="-1"/>
          <w:sz w:val="24"/>
        </w:rPr>
        <w:t> </w:t>
      </w:r>
      <w:r>
        <w:rPr>
          <w:sz w:val="24"/>
        </w:rPr>
        <w:t>cuadrado</w:t>
        <w:tab/>
        <w:t>228.57</w:t>
      </w:r>
    </w:p>
    <w:p>
      <w:pPr>
        <w:pStyle w:val="ListParagraph"/>
        <w:numPr>
          <w:ilvl w:val="0"/>
          <w:numId w:val="13"/>
        </w:numPr>
        <w:tabs>
          <w:tab w:pos="1660" w:val="left" w:leader="none"/>
          <w:tab w:pos="1661" w:val="left" w:leader="none"/>
          <w:tab w:pos="9008" w:val="left" w:leader="none"/>
        </w:tabs>
        <w:spacing w:line="240" w:lineRule="auto" w:before="140" w:after="0"/>
        <w:ind w:left="1660" w:right="0" w:hanging="522"/>
        <w:jc w:val="left"/>
        <w:rPr>
          <w:sz w:val="24"/>
        </w:rPr>
      </w:pPr>
      <w:r>
        <w:rPr>
          <w:sz w:val="24"/>
        </w:rPr>
        <w:t>Con iluminación por</w:t>
      </w:r>
      <w:r>
        <w:rPr>
          <w:spacing w:val="-6"/>
          <w:sz w:val="24"/>
        </w:rPr>
        <w:t> </w:t>
      </w:r>
      <w:r>
        <w:rPr>
          <w:sz w:val="24"/>
        </w:rPr>
        <w:t>metro</w:t>
      </w:r>
      <w:r>
        <w:rPr>
          <w:spacing w:val="-1"/>
          <w:sz w:val="24"/>
        </w:rPr>
        <w:t> </w:t>
      </w:r>
      <w:r>
        <w:rPr>
          <w:sz w:val="24"/>
        </w:rPr>
        <w:t>cuadrado</w:t>
        <w:tab/>
        <w:t>304.46</w:t>
      </w:r>
    </w:p>
    <w:p>
      <w:pPr>
        <w:pStyle w:val="ListParagraph"/>
        <w:numPr>
          <w:ilvl w:val="0"/>
          <w:numId w:val="12"/>
        </w:numPr>
        <w:tabs>
          <w:tab w:pos="1660" w:val="left" w:leader="none"/>
          <w:tab w:pos="1661" w:val="left" w:leader="none"/>
        </w:tabs>
        <w:spacing w:line="240" w:lineRule="auto" w:before="136" w:after="0"/>
        <w:ind w:left="1660" w:right="0" w:hanging="522"/>
        <w:jc w:val="left"/>
        <w:rPr>
          <w:sz w:val="24"/>
        </w:rPr>
      </w:pPr>
      <w:r>
        <w:rPr>
          <w:sz w:val="24"/>
        </w:rPr>
        <w:t>Impresos auto</w:t>
      </w:r>
      <w:r>
        <w:rPr>
          <w:spacing w:val="-2"/>
          <w:sz w:val="24"/>
        </w:rPr>
        <w:t> </w:t>
      </w:r>
      <w:r>
        <w:rPr>
          <w:sz w:val="24"/>
        </w:rPr>
        <w:t>adheribles:</w:t>
      </w:r>
    </w:p>
    <w:p>
      <w:pPr>
        <w:pStyle w:val="ListParagraph"/>
        <w:numPr>
          <w:ilvl w:val="0"/>
          <w:numId w:val="14"/>
        </w:numPr>
        <w:tabs>
          <w:tab w:pos="1660" w:val="left" w:leader="none"/>
          <w:tab w:pos="1661" w:val="left" w:leader="none"/>
          <w:tab w:pos="9008" w:val="left" w:leader="none"/>
        </w:tabs>
        <w:spacing w:line="240" w:lineRule="auto" w:before="140" w:after="0"/>
        <w:ind w:left="1660" w:right="0" w:hanging="522"/>
        <w:jc w:val="left"/>
        <w:rPr>
          <w:sz w:val="24"/>
        </w:rPr>
      </w:pPr>
      <w:r>
        <w:rPr>
          <w:sz w:val="24"/>
        </w:rPr>
        <w:t>Sin iluminación por</w:t>
      </w:r>
      <w:r>
        <w:rPr>
          <w:spacing w:val="-6"/>
          <w:sz w:val="24"/>
        </w:rPr>
        <w:t> </w:t>
      </w:r>
      <w:r>
        <w:rPr>
          <w:sz w:val="24"/>
        </w:rPr>
        <w:t>metro</w:t>
      </w:r>
      <w:r>
        <w:rPr>
          <w:spacing w:val="-1"/>
          <w:sz w:val="24"/>
        </w:rPr>
        <w:t> </w:t>
      </w:r>
      <w:r>
        <w:rPr>
          <w:sz w:val="24"/>
        </w:rPr>
        <w:t>cuadrado</w:t>
        <w:tab/>
        <w:t>304.46</w:t>
      </w:r>
    </w:p>
    <w:p>
      <w:pPr>
        <w:pStyle w:val="ListParagraph"/>
        <w:numPr>
          <w:ilvl w:val="0"/>
          <w:numId w:val="14"/>
        </w:numPr>
        <w:tabs>
          <w:tab w:pos="1660" w:val="left" w:leader="none"/>
          <w:tab w:pos="1661" w:val="left" w:leader="none"/>
          <w:tab w:pos="9008" w:val="left" w:leader="none"/>
        </w:tabs>
        <w:spacing w:line="240" w:lineRule="auto" w:before="136" w:after="0"/>
        <w:ind w:left="1660" w:right="0" w:hanging="522"/>
        <w:jc w:val="left"/>
        <w:rPr>
          <w:sz w:val="24"/>
        </w:rPr>
      </w:pPr>
      <w:r>
        <w:rPr>
          <w:sz w:val="24"/>
        </w:rPr>
        <w:t>Con iluminación por</w:t>
      </w:r>
      <w:r>
        <w:rPr>
          <w:spacing w:val="-6"/>
          <w:sz w:val="24"/>
        </w:rPr>
        <w:t> </w:t>
      </w:r>
      <w:r>
        <w:rPr>
          <w:sz w:val="24"/>
        </w:rPr>
        <w:t>metro</w:t>
      </w:r>
      <w:r>
        <w:rPr>
          <w:spacing w:val="-1"/>
          <w:sz w:val="24"/>
        </w:rPr>
        <w:t> </w:t>
      </w:r>
      <w:r>
        <w:rPr>
          <w:sz w:val="24"/>
        </w:rPr>
        <w:t>cuadrado</w:t>
        <w:tab/>
        <w:t>380.36</w:t>
      </w:r>
    </w:p>
    <w:p>
      <w:pPr>
        <w:pStyle w:val="BodyText"/>
        <w:tabs>
          <w:tab w:pos="8809" w:val="left" w:leader="none"/>
        </w:tabs>
        <w:spacing w:before="140"/>
        <w:ind w:left="779"/>
      </w:pPr>
      <w:r>
        <w:rPr/>
        <w:t>Sonoro</w:t>
      </w:r>
      <w:r>
        <w:rPr>
          <w:spacing w:val="-3"/>
        </w:rPr>
        <w:t> </w:t>
      </w:r>
      <w:r>
        <w:rPr/>
        <w:t>(perifoneo)</w:t>
        <w:tab/>
        <w:t>4,378.57</w:t>
      </w:r>
    </w:p>
    <w:p>
      <w:pPr>
        <w:pStyle w:val="BodyText"/>
        <w:spacing w:before="11"/>
        <w:rPr>
          <w:sz w:val="23"/>
        </w:rPr>
      </w:pPr>
    </w:p>
    <w:p>
      <w:pPr>
        <w:pStyle w:val="ListParagraph"/>
        <w:numPr>
          <w:ilvl w:val="0"/>
          <w:numId w:val="11"/>
        </w:numPr>
        <w:tabs>
          <w:tab w:pos="1588" w:val="left" w:leader="none"/>
          <w:tab w:pos="1589" w:val="left" w:leader="none"/>
        </w:tabs>
        <w:spacing w:line="240" w:lineRule="auto" w:before="0" w:after="0"/>
        <w:ind w:left="966" w:right="435" w:hanging="8"/>
        <w:jc w:val="left"/>
        <w:rPr>
          <w:sz w:val="24"/>
        </w:rPr>
      </w:pPr>
      <w:r>
        <w:rPr>
          <w:sz w:val="24"/>
        </w:rPr>
        <w:t>No se causarán los derechos a que se refiere este artículo, tratándose de anuncios</w:t>
      </w:r>
      <w:r>
        <w:rPr>
          <w:spacing w:val="27"/>
          <w:sz w:val="24"/>
        </w:rPr>
        <w:t> </w:t>
      </w:r>
      <w:r>
        <w:rPr>
          <w:sz w:val="24"/>
        </w:rPr>
        <w:t>denominativos,</w:t>
      </w:r>
      <w:r>
        <w:rPr>
          <w:spacing w:val="27"/>
          <w:sz w:val="24"/>
        </w:rPr>
        <w:t> </w:t>
      </w:r>
      <w:r>
        <w:rPr>
          <w:sz w:val="24"/>
        </w:rPr>
        <w:t>siempre</w:t>
      </w:r>
      <w:r>
        <w:rPr>
          <w:spacing w:val="27"/>
          <w:sz w:val="24"/>
        </w:rPr>
        <w:t> </w:t>
      </w:r>
      <w:r>
        <w:rPr>
          <w:sz w:val="24"/>
        </w:rPr>
        <w:t>y</w:t>
      </w:r>
      <w:r>
        <w:rPr>
          <w:spacing w:val="28"/>
          <w:sz w:val="24"/>
        </w:rPr>
        <w:t> </w:t>
      </w:r>
      <w:r>
        <w:rPr>
          <w:sz w:val="24"/>
        </w:rPr>
        <w:t>cuando</w:t>
      </w:r>
      <w:r>
        <w:rPr>
          <w:spacing w:val="25"/>
          <w:sz w:val="24"/>
        </w:rPr>
        <w:t> </w:t>
      </w:r>
      <w:r>
        <w:rPr>
          <w:sz w:val="24"/>
        </w:rPr>
        <w:t>no</w:t>
      </w:r>
      <w:r>
        <w:rPr>
          <w:spacing w:val="27"/>
          <w:sz w:val="24"/>
        </w:rPr>
        <w:t> </w:t>
      </w:r>
      <w:r>
        <w:rPr>
          <w:sz w:val="24"/>
        </w:rPr>
        <w:t>sean</w:t>
      </w:r>
      <w:r>
        <w:rPr>
          <w:spacing w:val="27"/>
          <w:sz w:val="24"/>
        </w:rPr>
        <w:t> </w:t>
      </w:r>
      <w:r>
        <w:rPr>
          <w:sz w:val="24"/>
        </w:rPr>
        <w:t>de</w:t>
      </w:r>
      <w:r>
        <w:rPr>
          <w:spacing w:val="28"/>
          <w:sz w:val="24"/>
        </w:rPr>
        <w:t> </w:t>
      </w:r>
      <w:r>
        <w:rPr>
          <w:sz w:val="24"/>
        </w:rPr>
        <w:t>una</w:t>
      </w:r>
      <w:r>
        <w:rPr>
          <w:spacing w:val="27"/>
          <w:sz w:val="24"/>
        </w:rPr>
        <w:t> </w:t>
      </w:r>
      <w:r>
        <w:rPr>
          <w:sz w:val="24"/>
        </w:rPr>
        <w:t>superficie</w:t>
      </w:r>
      <w:r>
        <w:rPr>
          <w:spacing w:val="27"/>
          <w:sz w:val="24"/>
        </w:rPr>
        <w:t> </w:t>
      </w:r>
      <w:r>
        <w:rPr>
          <w:sz w:val="24"/>
        </w:rPr>
        <w:t>mayor</w:t>
      </w:r>
      <w:r>
        <w:rPr>
          <w:spacing w:val="26"/>
          <w:sz w:val="24"/>
        </w:rPr>
        <w:t> </w:t>
      </w:r>
      <w:r>
        <w:rPr>
          <w:sz w:val="24"/>
        </w:rPr>
        <w:t>a</w:t>
      </w:r>
      <w:r>
        <w:rPr>
          <w:spacing w:val="26"/>
          <w:sz w:val="24"/>
        </w:rPr>
        <w:t> </w:t>
      </w:r>
      <w:r>
        <w:rPr>
          <w:sz w:val="24"/>
        </w:rPr>
        <w:t>dos</w:t>
      </w:r>
    </w:p>
    <w:p>
      <w:pPr>
        <w:spacing w:after="0" w:line="240" w:lineRule="auto"/>
        <w:jc w:val="left"/>
        <w:rPr>
          <w:sz w:val="24"/>
        </w:rPr>
        <w:sectPr>
          <w:headerReference w:type="even" r:id="rId21"/>
          <w:headerReference w:type="default" r:id="rId22"/>
          <w:pgSz w:w="12250" w:h="15850"/>
          <w:pgMar w:header="730" w:footer="0" w:top="1000" w:bottom="280" w:left="860" w:right="820"/>
          <w:pgNumType w:start="20"/>
        </w:sectPr>
      </w:pPr>
    </w:p>
    <w:p>
      <w:pPr>
        <w:pStyle w:val="BodyText"/>
        <w:spacing w:before="1"/>
        <w:rPr>
          <w:sz w:val="9"/>
        </w:rPr>
      </w:pPr>
    </w:p>
    <w:p>
      <w:pPr>
        <w:pStyle w:val="BodyText"/>
        <w:spacing w:before="93"/>
        <w:ind w:left="966" w:right="439"/>
        <w:jc w:val="both"/>
      </w:pPr>
      <w:r>
        <w:rPr/>
        <w:t>metros cuadrados y se permitirá su instalación únicamente en una fachada del inmueble exclusivamente para la debida identificación del establecimiento comercial que se trate.</w:t>
      </w:r>
    </w:p>
    <w:p>
      <w:pPr>
        <w:pStyle w:val="BodyText"/>
      </w:pPr>
    </w:p>
    <w:p>
      <w:pPr>
        <w:pStyle w:val="ListParagraph"/>
        <w:numPr>
          <w:ilvl w:val="0"/>
          <w:numId w:val="11"/>
        </w:numPr>
        <w:tabs>
          <w:tab w:pos="1589" w:val="left" w:leader="none"/>
        </w:tabs>
        <w:spacing w:line="240" w:lineRule="auto" w:before="0" w:after="0"/>
        <w:ind w:left="966" w:right="442" w:hanging="8"/>
        <w:jc w:val="both"/>
        <w:rPr>
          <w:sz w:val="24"/>
        </w:rPr>
      </w:pPr>
      <w:r>
        <w:rPr/>
        <w:drawing>
          <wp:anchor distT="0" distB="0" distL="0" distR="0" allowOverlap="1" layoutInCell="1" locked="0" behindDoc="1" simplePos="0" relativeHeight="227486720">
            <wp:simplePos x="0" y="0"/>
            <wp:positionH relativeFrom="page">
              <wp:posOffset>1252555</wp:posOffset>
            </wp:positionH>
            <wp:positionV relativeFrom="paragraph">
              <wp:posOffset>583893</wp:posOffset>
            </wp:positionV>
            <wp:extent cx="5022641" cy="5144769"/>
            <wp:effectExtent l="0" t="0" r="0" b="0"/>
            <wp:wrapNone/>
            <wp:docPr id="39" name="image14.png"/>
            <wp:cNvGraphicFramePr>
              <a:graphicFrameLocks noChangeAspect="1"/>
            </wp:cNvGraphicFramePr>
            <a:graphic>
              <a:graphicData uri="http://schemas.openxmlformats.org/drawingml/2006/picture">
                <pic:pic>
                  <pic:nvPicPr>
                    <pic:cNvPr id="40" name="image14.png"/>
                    <pic:cNvPicPr/>
                  </pic:nvPicPr>
                  <pic:blipFill>
                    <a:blip r:embed="rId24" cstate="print"/>
                    <a:stretch>
                      <a:fillRect/>
                    </a:stretch>
                  </pic:blipFill>
                  <pic:spPr>
                    <a:xfrm>
                      <a:off x="0" y="0"/>
                      <a:ext cx="5022641" cy="5144769"/>
                    </a:xfrm>
                    <a:prstGeom prst="rect">
                      <a:avLst/>
                    </a:prstGeom>
                  </pic:spPr>
                </pic:pic>
              </a:graphicData>
            </a:graphic>
          </wp:anchor>
        </w:drawing>
      </w:r>
      <w:r>
        <w:rPr>
          <w:sz w:val="24"/>
        </w:rPr>
        <w:t>No se causarán los derechos a que se refiere este artículo, tratándose de anuncios denominativos en comercios ambulantes, siempre y cuando su área no sea mayor a un metro cuadrado y se instalen única y exclusivamente para la debida identificación del comercio que se</w:t>
      </w:r>
      <w:r>
        <w:rPr>
          <w:spacing w:val="-1"/>
          <w:sz w:val="24"/>
        </w:rPr>
        <w:t> </w:t>
      </w:r>
      <w:r>
        <w:rPr>
          <w:sz w:val="24"/>
        </w:rPr>
        <w:t>trate.</w:t>
      </w:r>
    </w:p>
    <w:p>
      <w:pPr>
        <w:pStyle w:val="BodyText"/>
      </w:pPr>
    </w:p>
    <w:p>
      <w:pPr>
        <w:pStyle w:val="BodyText"/>
        <w:ind w:left="400" w:right="438"/>
        <w:jc w:val="both"/>
      </w:pPr>
      <w:r>
        <w:rPr>
          <w:b/>
        </w:rPr>
        <w:t>Artículo 14.- </w:t>
      </w:r>
      <w:r>
        <w:rPr/>
        <w:t>La expedición de licencias para la colocación de anuncios espectaculares requerirá, invariablemente, del dictamen técnico correspondiente por parte de la autoridad municipal competente, de conformidad con lo dispuesto en el Reglamento correspondiente en materia de Anuncios para el Municipio de Tepic.</w:t>
      </w:r>
    </w:p>
    <w:p>
      <w:pPr>
        <w:pStyle w:val="BodyText"/>
        <w:spacing w:before="1"/>
      </w:pPr>
    </w:p>
    <w:p>
      <w:pPr>
        <w:pStyle w:val="Heading1"/>
        <w:ind w:left="3873" w:right="3908"/>
        <w:jc w:val="center"/>
      </w:pPr>
      <w:r>
        <w:rPr/>
        <w:t>Capítulo Tercero Regulación ambiental</w:t>
      </w:r>
    </w:p>
    <w:p>
      <w:pPr>
        <w:pStyle w:val="BodyText"/>
        <w:rPr>
          <w:b/>
        </w:rPr>
      </w:pPr>
    </w:p>
    <w:p>
      <w:pPr>
        <w:pStyle w:val="BodyText"/>
        <w:ind w:left="400" w:right="437"/>
        <w:jc w:val="both"/>
      </w:pPr>
      <w:r>
        <w:rPr>
          <w:b/>
        </w:rPr>
        <w:t>Artículo 15.- </w:t>
      </w:r>
      <w:r>
        <w:rPr/>
        <w:t>Por los servicios de dictaminación, evaluación de impacto ambiental así como de la emisión de licencias, permisos y autorizaciones que efectúe la Dependencia facultada en los términos de la legislación correspondiente, se aplicarán las siguientes cuotas:</w:t>
      </w:r>
    </w:p>
    <w:p>
      <w:pPr>
        <w:pStyle w:val="BodyText"/>
      </w:pPr>
    </w:p>
    <w:p>
      <w:pPr>
        <w:pStyle w:val="BodyText"/>
        <w:tabs>
          <w:tab w:pos="8170" w:val="left" w:leader="none"/>
        </w:tabs>
        <w:ind w:left="3129"/>
      </w:pPr>
      <w:r>
        <w:rPr/>
        <w:t>Concepto</w:t>
        <w:tab/>
        <w:t>Importe</w:t>
      </w:r>
    </w:p>
    <w:p>
      <w:pPr>
        <w:pStyle w:val="BodyText"/>
        <w:ind w:left="8511"/>
      </w:pPr>
      <w:r>
        <w:rPr>
          <w:w w:val="99"/>
        </w:rPr>
        <w:t>$</w:t>
      </w:r>
    </w:p>
    <w:p>
      <w:pPr>
        <w:spacing w:after="0"/>
        <w:sectPr>
          <w:pgSz w:w="12250" w:h="15850"/>
          <w:pgMar w:header="730" w:footer="0" w:top="1000" w:bottom="280" w:left="860" w:right="820"/>
        </w:sectPr>
      </w:pPr>
    </w:p>
    <w:p>
      <w:pPr>
        <w:pStyle w:val="BodyText"/>
        <w:spacing w:before="32"/>
        <w:ind w:left="866"/>
        <w:jc w:val="both"/>
      </w:pPr>
      <w:r>
        <w:rPr/>
        <w:t>I. Por emisión de compatibilidad ambiental.</w:t>
      </w:r>
    </w:p>
    <w:p>
      <w:pPr>
        <w:pStyle w:val="ListParagraph"/>
        <w:numPr>
          <w:ilvl w:val="0"/>
          <w:numId w:val="15"/>
        </w:numPr>
        <w:tabs>
          <w:tab w:pos="1394" w:val="left" w:leader="none"/>
        </w:tabs>
        <w:spacing w:line="240" w:lineRule="auto" w:before="120" w:after="0"/>
        <w:ind w:left="1389" w:right="38" w:hanging="569"/>
        <w:jc w:val="both"/>
        <w:rPr>
          <w:sz w:val="24"/>
        </w:rPr>
      </w:pPr>
      <w:r>
        <w:rPr>
          <w:sz w:val="24"/>
        </w:rPr>
        <w:t>Por anuncio solicitado (gabinete y cartelera espectacular)</w:t>
      </w:r>
    </w:p>
    <w:p>
      <w:pPr>
        <w:pStyle w:val="ListParagraph"/>
        <w:numPr>
          <w:ilvl w:val="0"/>
          <w:numId w:val="15"/>
        </w:numPr>
        <w:tabs>
          <w:tab w:pos="1390" w:val="left" w:leader="none"/>
        </w:tabs>
        <w:spacing w:line="240" w:lineRule="auto" w:before="120" w:after="0"/>
        <w:ind w:left="1389" w:right="38" w:hanging="512"/>
        <w:jc w:val="both"/>
        <w:rPr>
          <w:sz w:val="24"/>
        </w:rPr>
      </w:pPr>
      <w:r>
        <w:rPr>
          <w:sz w:val="24"/>
        </w:rPr>
        <w:t>Por los servicios de opinión técnica para la revisión de proyectos que generen desequilibrio ecológico indistintamente del uso de suelo, por cada mil metros cuadrados</w:t>
      </w:r>
    </w:p>
    <w:p>
      <w:pPr>
        <w:pStyle w:val="BodyText"/>
        <w:spacing w:before="2"/>
        <w:rPr>
          <w:sz w:val="37"/>
        </w:rPr>
      </w:pPr>
      <w:r>
        <w:rPr/>
        <w:br w:type="column"/>
      </w:r>
      <w:r>
        <w:rPr>
          <w:sz w:val="37"/>
        </w:rPr>
      </w:r>
    </w:p>
    <w:p>
      <w:pPr>
        <w:pStyle w:val="BodyText"/>
        <w:ind w:left="820"/>
      </w:pPr>
      <w:r>
        <w:rPr/>
        <w:t>105.36</w:t>
      </w:r>
    </w:p>
    <w:p>
      <w:pPr>
        <w:pStyle w:val="BodyText"/>
        <w:rPr>
          <w:sz w:val="26"/>
        </w:rPr>
      </w:pPr>
    </w:p>
    <w:p>
      <w:pPr>
        <w:pStyle w:val="BodyText"/>
        <w:spacing w:before="218"/>
        <w:ind w:left="820"/>
      </w:pPr>
      <w:r>
        <w:rPr/>
        <w:t>166.07</w:t>
      </w:r>
    </w:p>
    <w:p>
      <w:pPr>
        <w:spacing w:after="0"/>
        <w:sectPr>
          <w:type w:val="continuous"/>
          <w:pgSz w:w="12250" w:h="15850"/>
          <w:pgMar w:top="840" w:bottom="280" w:left="860" w:right="820"/>
          <w:cols w:num="2" w:equalWidth="0">
            <w:col w:w="7388" w:space="111"/>
            <w:col w:w="3071"/>
          </w:cols>
        </w:sectPr>
      </w:pPr>
    </w:p>
    <w:p>
      <w:pPr>
        <w:pStyle w:val="BodyText"/>
        <w:rPr>
          <w:sz w:val="20"/>
        </w:rPr>
      </w:pPr>
    </w:p>
    <w:p>
      <w:pPr>
        <w:pStyle w:val="BodyText"/>
        <w:spacing w:before="2"/>
      </w:pPr>
    </w:p>
    <w:p>
      <w:pPr>
        <w:spacing w:after="0"/>
        <w:sectPr>
          <w:type w:val="continuous"/>
          <w:pgSz w:w="12250" w:h="15850"/>
          <w:pgMar w:top="840" w:bottom="280" w:left="860" w:right="820"/>
        </w:sectPr>
      </w:pPr>
    </w:p>
    <w:p>
      <w:pPr>
        <w:pStyle w:val="ListParagraph"/>
        <w:numPr>
          <w:ilvl w:val="0"/>
          <w:numId w:val="16"/>
        </w:numPr>
        <w:tabs>
          <w:tab w:pos="1360" w:val="left" w:leader="none"/>
          <w:tab w:pos="1361" w:val="left" w:leader="none"/>
        </w:tabs>
        <w:spacing w:line="240" w:lineRule="auto" w:before="92" w:after="0"/>
        <w:ind w:left="1360" w:right="1" w:hanging="560"/>
        <w:jc w:val="left"/>
        <w:rPr>
          <w:sz w:val="24"/>
        </w:rPr>
      </w:pPr>
      <w:r>
        <w:rPr>
          <w:sz w:val="24"/>
        </w:rPr>
        <w:t>Por la evaluación de la manifestación de impacto ambiental:</w:t>
      </w:r>
    </w:p>
    <w:p>
      <w:pPr>
        <w:pStyle w:val="ListParagraph"/>
        <w:numPr>
          <w:ilvl w:val="1"/>
          <w:numId w:val="16"/>
        </w:numPr>
        <w:tabs>
          <w:tab w:pos="1547" w:val="left" w:leader="none"/>
          <w:tab w:pos="1548" w:val="left" w:leader="none"/>
        </w:tabs>
        <w:spacing w:line="240" w:lineRule="auto" w:before="121" w:after="0"/>
        <w:ind w:left="1547" w:right="0" w:hanging="584"/>
        <w:jc w:val="left"/>
        <w:rPr>
          <w:sz w:val="24"/>
        </w:rPr>
      </w:pPr>
      <w:r>
        <w:rPr>
          <w:sz w:val="24"/>
        </w:rPr>
        <w:t>En su modalidad de informe</w:t>
      </w:r>
      <w:r>
        <w:rPr>
          <w:spacing w:val="-7"/>
          <w:sz w:val="24"/>
        </w:rPr>
        <w:t> </w:t>
      </w:r>
      <w:r>
        <w:rPr>
          <w:sz w:val="24"/>
        </w:rPr>
        <w:t>preventivo</w:t>
      </w:r>
    </w:p>
    <w:p>
      <w:pPr>
        <w:pStyle w:val="ListParagraph"/>
        <w:numPr>
          <w:ilvl w:val="1"/>
          <w:numId w:val="16"/>
        </w:numPr>
        <w:tabs>
          <w:tab w:pos="1547" w:val="left" w:leader="none"/>
          <w:tab w:pos="1548" w:val="left" w:leader="none"/>
        </w:tabs>
        <w:spacing w:line="240" w:lineRule="auto" w:before="120" w:after="0"/>
        <w:ind w:left="1547" w:right="0" w:hanging="584"/>
        <w:jc w:val="left"/>
        <w:rPr>
          <w:sz w:val="24"/>
        </w:rPr>
      </w:pPr>
      <w:r>
        <w:rPr>
          <w:sz w:val="24"/>
        </w:rPr>
        <w:t>En su modalidad</w:t>
      </w:r>
      <w:r>
        <w:rPr>
          <w:spacing w:val="-4"/>
          <w:sz w:val="24"/>
        </w:rPr>
        <w:t> </w:t>
      </w:r>
      <w:r>
        <w:rPr>
          <w:sz w:val="24"/>
        </w:rPr>
        <w:t>general</w:t>
      </w:r>
    </w:p>
    <w:p>
      <w:pPr>
        <w:pStyle w:val="ListParagraph"/>
        <w:numPr>
          <w:ilvl w:val="1"/>
          <w:numId w:val="16"/>
        </w:numPr>
        <w:tabs>
          <w:tab w:pos="1547" w:val="left" w:leader="none"/>
          <w:tab w:pos="1548" w:val="left" w:leader="none"/>
        </w:tabs>
        <w:spacing w:line="240" w:lineRule="auto" w:before="120" w:after="0"/>
        <w:ind w:left="1547" w:right="0" w:hanging="584"/>
        <w:jc w:val="left"/>
        <w:rPr>
          <w:sz w:val="24"/>
        </w:rPr>
      </w:pPr>
      <w:r>
        <w:rPr>
          <w:sz w:val="24"/>
        </w:rPr>
        <w:t>En su modalidad</w:t>
      </w:r>
      <w:r>
        <w:rPr>
          <w:spacing w:val="-4"/>
          <w:sz w:val="24"/>
        </w:rPr>
        <w:t> </w:t>
      </w:r>
      <w:r>
        <w:rPr>
          <w:sz w:val="24"/>
        </w:rPr>
        <w:t>específica</w:t>
      </w:r>
    </w:p>
    <w:p>
      <w:pPr>
        <w:pStyle w:val="ListParagraph"/>
        <w:numPr>
          <w:ilvl w:val="0"/>
          <w:numId w:val="16"/>
        </w:numPr>
        <w:tabs>
          <w:tab w:pos="1361" w:val="left" w:leader="none"/>
        </w:tabs>
        <w:spacing w:line="240" w:lineRule="auto" w:before="120" w:after="0"/>
        <w:ind w:left="1360" w:right="0" w:hanging="627"/>
        <w:jc w:val="both"/>
        <w:rPr>
          <w:sz w:val="24"/>
        </w:rPr>
      </w:pPr>
      <w:r>
        <w:rPr>
          <w:sz w:val="24"/>
        </w:rPr>
        <w:t>Por los servicios de dictaminación de la factibilidad ambiental, en materia de prevención y control de los efectos sobre el ambiente ocasionados por la contaminación del agua, suelo y aire, de los establecimientos, comerciales de servicios y pequeña industria, conforme se establece en las siguientes categorías:</w:t>
      </w:r>
    </w:p>
    <w:p>
      <w:pPr>
        <w:pStyle w:val="BodyText"/>
        <w:rPr>
          <w:sz w:val="26"/>
        </w:rPr>
      </w:pPr>
      <w:r>
        <w:rPr/>
        <w:br w:type="column"/>
      </w:r>
      <w:r>
        <w:rPr>
          <w:sz w:val="26"/>
        </w:rPr>
      </w:r>
    </w:p>
    <w:p>
      <w:pPr>
        <w:pStyle w:val="BodyText"/>
        <w:spacing w:before="8"/>
        <w:rPr>
          <w:sz w:val="36"/>
        </w:rPr>
      </w:pPr>
    </w:p>
    <w:p>
      <w:pPr>
        <w:pStyle w:val="BodyText"/>
        <w:spacing w:before="1"/>
        <w:ind w:right="1522"/>
        <w:jc w:val="right"/>
      </w:pPr>
      <w:r>
        <w:rPr>
          <w:spacing w:val="-1"/>
        </w:rPr>
        <w:t>5,991.07</w:t>
      </w:r>
    </w:p>
    <w:p>
      <w:pPr>
        <w:pStyle w:val="BodyText"/>
        <w:spacing w:before="151"/>
        <w:ind w:right="1522"/>
        <w:jc w:val="right"/>
      </w:pPr>
      <w:r>
        <w:rPr>
          <w:spacing w:val="-1"/>
        </w:rPr>
        <w:t>8,831.25</w:t>
      </w:r>
    </w:p>
    <w:p>
      <w:pPr>
        <w:pStyle w:val="BodyText"/>
        <w:spacing w:before="149"/>
        <w:ind w:right="1522"/>
        <w:jc w:val="right"/>
      </w:pPr>
      <w:r>
        <w:rPr>
          <w:spacing w:val="-1"/>
        </w:rPr>
        <w:t>17,664.29</w:t>
      </w:r>
    </w:p>
    <w:p>
      <w:pPr>
        <w:spacing w:after="0"/>
        <w:jc w:val="right"/>
        <w:sectPr>
          <w:type w:val="continuous"/>
          <w:pgSz w:w="12250" w:h="15850"/>
          <w:pgMar w:top="840" w:bottom="280" w:left="860" w:right="820"/>
          <w:cols w:num="2" w:equalWidth="0">
            <w:col w:w="7348" w:space="40"/>
            <w:col w:w="3182"/>
          </w:cols>
        </w:sectPr>
      </w:pPr>
    </w:p>
    <w:p>
      <w:pPr>
        <w:pStyle w:val="ListParagraph"/>
        <w:numPr>
          <w:ilvl w:val="1"/>
          <w:numId w:val="16"/>
        </w:numPr>
        <w:tabs>
          <w:tab w:pos="1612" w:val="left" w:leader="none"/>
        </w:tabs>
        <w:spacing w:line="240" w:lineRule="auto" w:before="183" w:after="0"/>
        <w:ind w:left="1300" w:right="1" w:firstLine="0"/>
        <w:jc w:val="both"/>
        <w:rPr>
          <w:sz w:val="24"/>
        </w:rPr>
      </w:pPr>
      <w:r>
        <w:rPr>
          <w:sz w:val="24"/>
        </w:rPr>
        <w:t>Establecimientos mercantiles y de servicios que son generadores de residuos sólidos de conformidad con la normatividad municipal</w:t>
      </w:r>
      <w:r>
        <w:rPr>
          <w:spacing w:val="-6"/>
          <w:sz w:val="24"/>
        </w:rPr>
        <w:t> </w:t>
      </w:r>
      <w:r>
        <w:rPr>
          <w:sz w:val="24"/>
        </w:rPr>
        <w:t>vigente.</w:t>
      </w:r>
    </w:p>
    <w:p>
      <w:pPr>
        <w:pStyle w:val="ListParagraph"/>
        <w:numPr>
          <w:ilvl w:val="1"/>
          <w:numId w:val="16"/>
        </w:numPr>
        <w:tabs>
          <w:tab w:pos="1584" w:val="left" w:leader="none"/>
        </w:tabs>
        <w:spacing w:line="240" w:lineRule="auto" w:before="120" w:after="0"/>
        <w:ind w:left="1300" w:right="0" w:firstLine="0"/>
        <w:jc w:val="both"/>
        <w:rPr>
          <w:sz w:val="24"/>
        </w:rPr>
      </w:pPr>
      <w:r>
        <w:rPr/>
        <w:drawing>
          <wp:anchor distT="0" distB="0" distL="0" distR="0" allowOverlap="1" layoutInCell="1" locked="0" behindDoc="1" simplePos="0" relativeHeight="227487744">
            <wp:simplePos x="0" y="0"/>
            <wp:positionH relativeFrom="page">
              <wp:posOffset>1239220</wp:posOffset>
            </wp:positionH>
            <wp:positionV relativeFrom="paragraph">
              <wp:posOffset>768297</wp:posOffset>
            </wp:positionV>
            <wp:extent cx="5022641" cy="5144769"/>
            <wp:effectExtent l="0" t="0" r="0" b="0"/>
            <wp:wrapNone/>
            <wp:docPr id="41" name="image15.png"/>
            <wp:cNvGraphicFramePr>
              <a:graphicFrameLocks noChangeAspect="1"/>
            </wp:cNvGraphicFramePr>
            <a:graphic>
              <a:graphicData uri="http://schemas.openxmlformats.org/drawingml/2006/picture">
                <pic:pic>
                  <pic:nvPicPr>
                    <pic:cNvPr id="42" name="image15.png"/>
                    <pic:cNvPicPr/>
                  </pic:nvPicPr>
                  <pic:blipFill>
                    <a:blip r:embed="rId25" cstate="print"/>
                    <a:stretch>
                      <a:fillRect/>
                    </a:stretch>
                  </pic:blipFill>
                  <pic:spPr>
                    <a:xfrm>
                      <a:off x="0" y="0"/>
                      <a:ext cx="5022641" cy="5144769"/>
                    </a:xfrm>
                    <a:prstGeom prst="rect">
                      <a:avLst/>
                    </a:prstGeom>
                  </pic:spPr>
                </pic:pic>
              </a:graphicData>
            </a:graphic>
          </wp:anchor>
        </w:drawing>
      </w:r>
      <w:r>
        <w:rPr>
          <w:sz w:val="24"/>
        </w:rPr>
        <w:t>Establecimientos comerciales, de servicios y pequeña industria que son considerados como generadores de residuos sólidos, manejo especial y/o peligroso y que adicionalmente en sus procesos descarguen sustancias contaminantes en los sistemas de drenaje y alcantarillado del municipio, y/o por emisión de partículas suspendidas a la</w:t>
      </w:r>
      <w:r>
        <w:rPr>
          <w:spacing w:val="-7"/>
          <w:sz w:val="24"/>
        </w:rPr>
        <w:t> </w:t>
      </w:r>
      <w:r>
        <w:rPr>
          <w:sz w:val="24"/>
        </w:rPr>
        <w:t>atmósfera.</w:t>
      </w:r>
    </w:p>
    <w:p>
      <w:pPr>
        <w:pStyle w:val="ListParagraph"/>
        <w:numPr>
          <w:ilvl w:val="1"/>
          <w:numId w:val="16"/>
        </w:numPr>
        <w:tabs>
          <w:tab w:pos="1572" w:val="left" w:leader="none"/>
        </w:tabs>
        <w:spacing w:line="240" w:lineRule="auto" w:before="120" w:after="0"/>
        <w:ind w:left="1300" w:right="0" w:firstLine="0"/>
        <w:jc w:val="both"/>
        <w:rPr>
          <w:sz w:val="24"/>
        </w:rPr>
      </w:pPr>
      <w:r>
        <w:rPr>
          <w:sz w:val="24"/>
        </w:rPr>
        <w:t>Establecimientos comerciales, de servicios y pequeña industria que son considerados como generadores de residuos sólidos, manejo especial y/o peligrosos y que adicionalmente en sus procesos descarguen sustancias contaminantes en los sistemas de drenaje y alcantarillado, emitan partículas suspendidas a la atmósfera y/o generen contaminación por ruido, vibraciones, energía térmica, lumínica y/o olores perjudiciales.</w:t>
      </w:r>
    </w:p>
    <w:p>
      <w:pPr>
        <w:pStyle w:val="ListParagraph"/>
        <w:numPr>
          <w:ilvl w:val="1"/>
          <w:numId w:val="16"/>
        </w:numPr>
        <w:tabs>
          <w:tab w:pos="1584" w:val="left" w:leader="none"/>
        </w:tabs>
        <w:spacing w:line="240" w:lineRule="auto" w:before="121" w:after="0"/>
        <w:ind w:left="1300" w:right="2" w:firstLine="0"/>
        <w:jc w:val="both"/>
        <w:rPr>
          <w:sz w:val="24"/>
        </w:rPr>
      </w:pPr>
      <w:r>
        <w:rPr>
          <w:sz w:val="24"/>
        </w:rPr>
        <w:t>Establecimientos comerciales, de servicios y pequeña industria considerados como grandes generadores de residuos sólidos, manejo especial y/o peligrosos y que adicionalmente en sus procesos descarguen sustancias contaminantes en los sistemas de drenaje y alcantarillado, emitan partículas suspendidas a la atmósfera y/o generen contaminación por ruido, vibraciones, energía térmica, lumínica y/o olores perjudiciales</w:t>
      </w:r>
    </w:p>
    <w:p>
      <w:pPr>
        <w:pStyle w:val="BodyText"/>
        <w:spacing w:before="183"/>
        <w:ind w:right="1505"/>
        <w:jc w:val="right"/>
      </w:pPr>
      <w:r>
        <w:rPr/>
        <w:br w:type="column"/>
      </w:r>
      <w:r>
        <w:rPr>
          <w:spacing w:val="-1"/>
        </w:rPr>
        <w:t>154.46</w:t>
      </w:r>
    </w:p>
    <w:p>
      <w:pPr>
        <w:pStyle w:val="BodyText"/>
        <w:rPr>
          <w:sz w:val="26"/>
        </w:rPr>
      </w:pPr>
    </w:p>
    <w:p>
      <w:pPr>
        <w:pStyle w:val="BodyText"/>
        <w:spacing w:before="5"/>
        <w:rPr>
          <w:sz w:val="32"/>
        </w:rPr>
      </w:pPr>
    </w:p>
    <w:p>
      <w:pPr>
        <w:pStyle w:val="BodyText"/>
        <w:ind w:right="1505"/>
        <w:jc w:val="right"/>
      </w:pPr>
      <w:r>
        <w:rPr>
          <w:spacing w:val="-1"/>
        </w:rPr>
        <w:t>384.82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pPr>
    </w:p>
    <w:p>
      <w:pPr>
        <w:pStyle w:val="BodyText"/>
        <w:spacing w:before="1"/>
        <w:ind w:right="1505"/>
        <w:jc w:val="right"/>
      </w:pPr>
      <w:r>
        <w:rPr>
          <w:spacing w:val="-1"/>
        </w:rPr>
        <w:t>933.93</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0"/>
        </w:rPr>
      </w:pPr>
    </w:p>
    <w:p>
      <w:pPr>
        <w:pStyle w:val="BodyText"/>
        <w:ind w:right="1504"/>
        <w:jc w:val="right"/>
      </w:pPr>
      <w:r>
        <w:rPr>
          <w:spacing w:val="-1"/>
        </w:rPr>
        <w:t>2,220.54</w:t>
      </w:r>
    </w:p>
    <w:p>
      <w:pPr>
        <w:spacing w:after="0"/>
        <w:jc w:val="right"/>
        <w:sectPr>
          <w:pgSz w:w="12250" w:h="15850"/>
          <w:pgMar w:header="730" w:footer="0" w:top="1000" w:bottom="280" w:left="860" w:right="820"/>
          <w:cols w:num="2" w:equalWidth="0">
            <w:col w:w="7351" w:space="40"/>
            <w:col w:w="3179"/>
          </w:cols>
        </w:sectPr>
      </w:pPr>
    </w:p>
    <w:p>
      <w:pPr>
        <w:pStyle w:val="ListParagraph"/>
        <w:numPr>
          <w:ilvl w:val="0"/>
          <w:numId w:val="16"/>
        </w:numPr>
        <w:tabs>
          <w:tab w:pos="1360" w:val="left" w:leader="none"/>
          <w:tab w:pos="1361" w:val="left" w:leader="none"/>
          <w:tab w:pos="9054" w:val="right" w:leader="none"/>
        </w:tabs>
        <w:spacing w:line="240" w:lineRule="auto" w:before="121" w:after="0"/>
        <w:ind w:left="1360" w:right="0" w:hanging="654"/>
        <w:jc w:val="left"/>
        <w:rPr>
          <w:sz w:val="24"/>
        </w:rPr>
      </w:pPr>
      <w:r>
        <w:rPr>
          <w:sz w:val="24"/>
        </w:rPr>
        <w:t>Por la emisión de</w:t>
      </w:r>
      <w:r>
        <w:rPr>
          <w:spacing w:val="-5"/>
          <w:sz w:val="24"/>
        </w:rPr>
        <w:t> </w:t>
      </w:r>
      <w:r>
        <w:rPr>
          <w:sz w:val="24"/>
        </w:rPr>
        <w:t>licencias ambientales</w:t>
        <w:tab/>
        <w:t>116.07</w:t>
      </w:r>
    </w:p>
    <w:p>
      <w:pPr>
        <w:spacing w:after="0" w:line="240" w:lineRule="auto"/>
        <w:jc w:val="left"/>
        <w:rPr>
          <w:sz w:val="24"/>
        </w:rPr>
        <w:sectPr>
          <w:type w:val="continuous"/>
          <w:pgSz w:w="12250" w:h="15850"/>
          <w:pgMar w:top="840" w:bottom="280" w:left="860" w:right="820"/>
        </w:sectPr>
      </w:pPr>
    </w:p>
    <w:p>
      <w:pPr>
        <w:pStyle w:val="BodyText"/>
        <w:spacing w:before="1"/>
        <w:rPr>
          <w:sz w:val="26"/>
        </w:rPr>
      </w:pPr>
    </w:p>
    <w:p>
      <w:pPr>
        <w:pStyle w:val="ListParagraph"/>
        <w:numPr>
          <w:ilvl w:val="0"/>
          <w:numId w:val="16"/>
        </w:numPr>
        <w:tabs>
          <w:tab w:pos="1361" w:val="left" w:leader="none"/>
        </w:tabs>
        <w:spacing w:line="240" w:lineRule="auto" w:before="0" w:after="0"/>
        <w:ind w:left="1360" w:right="40" w:hanging="586"/>
        <w:jc w:val="both"/>
        <w:rPr>
          <w:sz w:val="24"/>
        </w:rPr>
      </w:pPr>
      <w:r>
        <w:rPr>
          <w:sz w:val="24"/>
        </w:rPr>
        <w:t>Por los servicios de verificación ambiental, en materia de prevención y control de los efectos sobre el ambiente ocasionados por la contaminación del agua, suelo y aire, de los puestos comerciales, conforme se establece en las siguientes</w:t>
      </w:r>
      <w:r>
        <w:rPr>
          <w:spacing w:val="-2"/>
          <w:sz w:val="24"/>
        </w:rPr>
        <w:t> </w:t>
      </w:r>
      <w:r>
        <w:rPr>
          <w:sz w:val="24"/>
        </w:rPr>
        <w:t>categorías:</w:t>
      </w:r>
    </w:p>
    <w:p>
      <w:pPr>
        <w:pStyle w:val="BodyText"/>
        <w:spacing w:before="121"/>
        <w:ind w:left="1360" w:right="42" w:hanging="360"/>
        <w:jc w:val="both"/>
      </w:pPr>
      <w:r>
        <w:rPr/>
        <w:t>a. Puestos comerciales fijos y semifijos que son considerados como generadores de residuos y que adicionalmente en sus procesos descarguen sustancias contaminantes en los sistemas de drenaje y alcantarillado del municipio, y/o por emisión de partículas suspendidas a la atmósfera.</w:t>
      </w:r>
    </w:p>
    <w:p>
      <w:pPr>
        <w:pStyle w:val="ListParagraph"/>
        <w:numPr>
          <w:ilvl w:val="0"/>
          <w:numId w:val="16"/>
        </w:numPr>
        <w:tabs>
          <w:tab w:pos="1361" w:val="left" w:leader="none"/>
        </w:tabs>
        <w:spacing w:line="240" w:lineRule="auto" w:before="120" w:after="0"/>
        <w:ind w:left="1360" w:right="46" w:hanging="653"/>
        <w:jc w:val="both"/>
        <w:rPr>
          <w:sz w:val="24"/>
        </w:rPr>
      </w:pPr>
      <w:r>
        <w:rPr>
          <w:sz w:val="24"/>
        </w:rPr>
        <w:t>Por los registros relacionados con las etapas de manejo de la gestión de los</w:t>
      </w:r>
      <w:r>
        <w:rPr>
          <w:spacing w:val="-3"/>
          <w:sz w:val="24"/>
        </w:rPr>
        <w:t> </w:t>
      </w:r>
      <w:r>
        <w:rPr>
          <w:sz w:val="24"/>
        </w:rPr>
        <w:t>residuos</w:t>
      </w:r>
    </w:p>
    <w:p>
      <w:pPr>
        <w:pStyle w:val="ListParagraph"/>
        <w:numPr>
          <w:ilvl w:val="0"/>
          <w:numId w:val="17"/>
        </w:numPr>
        <w:tabs>
          <w:tab w:pos="1718" w:val="left" w:leader="none"/>
        </w:tabs>
        <w:spacing w:line="240" w:lineRule="auto" w:before="120" w:after="0"/>
        <w:ind w:left="1718" w:right="38" w:hanging="360"/>
        <w:jc w:val="both"/>
        <w:rPr>
          <w:sz w:val="24"/>
        </w:rPr>
      </w:pPr>
      <w:r>
        <w:rPr>
          <w:sz w:val="24"/>
        </w:rPr>
        <w:t>Registro municipal de transporte particular Identificación de personas físicas o morales que decidan</w:t>
      </w:r>
      <w:r>
        <w:rPr>
          <w:spacing w:val="19"/>
          <w:sz w:val="24"/>
        </w:rPr>
        <w:t> </w:t>
      </w:r>
      <w:r>
        <w:rPr>
          <w:sz w:val="24"/>
        </w:rPr>
        <w:t>realizar</w:t>
      </w:r>
      <w:r>
        <w:rPr>
          <w:spacing w:val="17"/>
          <w:sz w:val="24"/>
        </w:rPr>
        <w:t> </w:t>
      </w:r>
      <w:r>
        <w:rPr>
          <w:sz w:val="24"/>
        </w:rPr>
        <w:t>el</w:t>
      </w:r>
      <w:r>
        <w:rPr>
          <w:spacing w:val="18"/>
          <w:sz w:val="24"/>
        </w:rPr>
        <w:t> </w:t>
      </w:r>
      <w:r>
        <w:rPr>
          <w:sz w:val="24"/>
        </w:rPr>
        <w:t>traslado</w:t>
      </w:r>
      <w:r>
        <w:rPr>
          <w:spacing w:val="19"/>
          <w:sz w:val="24"/>
        </w:rPr>
        <w:t> </w:t>
      </w:r>
      <w:r>
        <w:rPr>
          <w:sz w:val="24"/>
        </w:rPr>
        <w:t>de</w:t>
      </w:r>
      <w:r>
        <w:rPr>
          <w:spacing w:val="19"/>
          <w:sz w:val="24"/>
        </w:rPr>
        <w:t> </w:t>
      </w:r>
      <w:r>
        <w:rPr>
          <w:sz w:val="24"/>
        </w:rPr>
        <w:t>sus</w:t>
      </w:r>
      <w:r>
        <w:rPr>
          <w:spacing w:val="18"/>
          <w:sz w:val="24"/>
        </w:rPr>
        <w:t> </w:t>
      </w:r>
      <w:r>
        <w:rPr>
          <w:sz w:val="24"/>
        </w:rPr>
        <w:t>residuos</w:t>
      </w:r>
      <w:r>
        <w:rPr>
          <w:spacing w:val="17"/>
          <w:sz w:val="24"/>
        </w:rPr>
        <w:t> </w:t>
      </w:r>
      <w:r>
        <w:rPr>
          <w:sz w:val="24"/>
        </w:rPr>
        <w:t>por</w:t>
      </w:r>
      <w:r>
        <w:rPr>
          <w:spacing w:val="17"/>
          <w:sz w:val="24"/>
        </w:rPr>
        <w:t> </w:t>
      </w:r>
      <w:r>
        <w:rPr>
          <w:sz w:val="24"/>
        </w:rPr>
        <w:t>sus</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6"/>
        </w:rPr>
      </w:pPr>
    </w:p>
    <w:p>
      <w:pPr>
        <w:pStyle w:val="BodyText"/>
        <w:spacing w:before="1"/>
        <w:ind w:right="1505"/>
        <w:jc w:val="right"/>
      </w:pPr>
      <w:r>
        <w:rPr>
          <w:spacing w:val="-1"/>
        </w:rPr>
        <w:t>224.00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2"/>
        </w:rPr>
      </w:pPr>
    </w:p>
    <w:p>
      <w:pPr>
        <w:pStyle w:val="BodyText"/>
        <w:ind w:right="1505"/>
        <w:jc w:val="right"/>
      </w:pPr>
      <w:r>
        <w:rPr>
          <w:spacing w:val="-1"/>
        </w:rPr>
        <w:t>88.00</w:t>
      </w:r>
    </w:p>
    <w:p>
      <w:pPr>
        <w:spacing w:after="0"/>
        <w:jc w:val="right"/>
        <w:sectPr>
          <w:type w:val="continuous"/>
          <w:pgSz w:w="12250" w:h="15850"/>
          <w:pgMar w:top="840" w:bottom="280" w:left="860" w:right="820"/>
          <w:cols w:num="2" w:equalWidth="0">
            <w:col w:w="7393" w:space="219"/>
            <w:col w:w="2958"/>
          </w:cols>
        </w:sectPr>
      </w:pPr>
    </w:p>
    <w:p>
      <w:pPr>
        <w:pStyle w:val="BodyText"/>
        <w:spacing w:before="1"/>
        <w:rPr>
          <w:sz w:val="9"/>
        </w:rPr>
      </w:pPr>
    </w:p>
    <w:p>
      <w:pPr>
        <w:spacing w:after="0"/>
        <w:rPr>
          <w:sz w:val="9"/>
        </w:rPr>
        <w:sectPr>
          <w:pgSz w:w="12250" w:h="15850"/>
          <w:pgMar w:header="730" w:footer="0" w:top="1000" w:bottom="280" w:left="860" w:right="820"/>
        </w:sectPr>
      </w:pPr>
    </w:p>
    <w:p>
      <w:pPr>
        <w:pStyle w:val="BodyText"/>
        <w:spacing w:before="93"/>
        <w:ind w:left="1718" w:right="41"/>
        <w:jc w:val="both"/>
      </w:pPr>
      <w:r>
        <w:rPr/>
        <w:t>propios medios, la emisión del registro contempla la revisión del vehículo para asegurar el control de daños ambientales causados por la actividad de transporte de residuos.</w:t>
      </w:r>
    </w:p>
    <w:p>
      <w:pPr>
        <w:pStyle w:val="BodyText"/>
        <w:spacing w:before="120"/>
        <w:ind w:left="1718" w:right="40"/>
        <w:jc w:val="both"/>
      </w:pPr>
      <w:r>
        <w:rPr/>
        <w:drawing>
          <wp:anchor distT="0" distB="0" distL="0" distR="0" allowOverlap="1" layoutInCell="1" locked="0" behindDoc="1" simplePos="0" relativeHeight="227488768">
            <wp:simplePos x="0" y="0"/>
            <wp:positionH relativeFrom="page">
              <wp:posOffset>1252555</wp:posOffset>
            </wp:positionH>
            <wp:positionV relativeFrom="paragraph">
              <wp:posOffset>583893</wp:posOffset>
            </wp:positionV>
            <wp:extent cx="5022641" cy="5144769"/>
            <wp:effectExtent l="0" t="0" r="0" b="0"/>
            <wp:wrapNone/>
            <wp:docPr id="43" name="image16.png"/>
            <wp:cNvGraphicFramePr>
              <a:graphicFrameLocks noChangeAspect="1"/>
            </wp:cNvGraphicFramePr>
            <a:graphic>
              <a:graphicData uri="http://schemas.openxmlformats.org/drawingml/2006/picture">
                <pic:pic>
                  <pic:nvPicPr>
                    <pic:cNvPr id="44" name="image16.png"/>
                    <pic:cNvPicPr/>
                  </pic:nvPicPr>
                  <pic:blipFill>
                    <a:blip r:embed="rId26" cstate="print"/>
                    <a:stretch>
                      <a:fillRect/>
                    </a:stretch>
                  </pic:blipFill>
                  <pic:spPr>
                    <a:xfrm>
                      <a:off x="0" y="0"/>
                      <a:ext cx="5022641" cy="5144769"/>
                    </a:xfrm>
                    <a:prstGeom prst="rect">
                      <a:avLst/>
                    </a:prstGeom>
                  </pic:spPr>
                </pic:pic>
              </a:graphicData>
            </a:graphic>
          </wp:anchor>
        </w:drawing>
      </w:r>
      <w:r>
        <w:rPr/>
        <w:t>La emisión de este registro conlleva la emisión de un tarjetón de identificación para el vehículo autorizado.</w:t>
      </w:r>
    </w:p>
    <w:p>
      <w:pPr>
        <w:pStyle w:val="ListParagraph"/>
        <w:numPr>
          <w:ilvl w:val="0"/>
          <w:numId w:val="17"/>
        </w:numPr>
        <w:tabs>
          <w:tab w:pos="1721" w:val="left" w:leader="none"/>
        </w:tabs>
        <w:spacing w:line="240" w:lineRule="auto" w:before="120" w:after="0"/>
        <w:ind w:left="1720" w:right="40" w:hanging="360"/>
        <w:jc w:val="both"/>
        <w:rPr>
          <w:sz w:val="24"/>
        </w:rPr>
      </w:pPr>
      <w:r>
        <w:rPr>
          <w:sz w:val="24"/>
        </w:rPr>
        <w:t>Registro municipal de empresa recolectora Identificación de personas físicas o morales que pretendan prestar el servicio de recolección a los generadores de residuos dentro del municipio, la emisión de este registro contempla la revisión tanto de las instalaciones de resguardo de vehículos, como de la totalidad de los vehículos que realicen la actividad de</w:t>
      </w:r>
      <w:r>
        <w:rPr>
          <w:spacing w:val="-3"/>
          <w:sz w:val="24"/>
        </w:rPr>
        <w:t> </w:t>
      </w:r>
      <w:r>
        <w:rPr>
          <w:sz w:val="24"/>
        </w:rPr>
        <w:t>recolección.</w:t>
      </w:r>
    </w:p>
    <w:p>
      <w:pPr>
        <w:pStyle w:val="BodyText"/>
        <w:spacing w:before="121"/>
        <w:ind w:left="1720" w:right="38"/>
        <w:jc w:val="both"/>
      </w:pPr>
      <w:r>
        <w:rPr/>
        <w:t>La emisión de este registro conlleva la emisión de un tarjetón para cada uno de los vehículos registrados como parte de la empresa</w:t>
      </w:r>
      <w:r>
        <w:rPr>
          <w:spacing w:val="-11"/>
        </w:rPr>
        <w:t> </w:t>
      </w:r>
      <w:r>
        <w:rPr/>
        <w:t>recolectora</w:t>
      </w:r>
    </w:p>
    <w:p>
      <w:pPr>
        <w:pStyle w:val="ListParagraph"/>
        <w:numPr>
          <w:ilvl w:val="0"/>
          <w:numId w:val="17"/>
        </w:numPr>
        <w:tabs>
          <w:tab w:pos="1721" w:val="left" w:leader="none"/>
        </w:tabs>
        <w:spacing w:line="240" w:lineRule="auto" w:before="120" w:after="0"/>
        <w:ind w:left="1720" w:right="0" w:hanging="361"/>
        <w:jc w:val="both"/>
        <w:rPr>
          <w:sz w:val="24"/>
        </w:rPr>
      </w:pPr>
      <w:r>
        <w:rPr>
          <w:sz w:val="24"/>
        </w:rPr>
        <w:t>Registro municipal de Estación de</w:t>
      </w:r>
      <w:r>
        <w:rPr>
          <w:spacing w:val="-11"/>
          <w:sz w:val="24"/>
        </w:rPr>
        <w:t> </w:t>
      </w:r>
      <w:r>
        <w:rPr>
          <w:sz w:val="24"/>
        </w:rPr>
        <w:t>transferencia</w:t>
      </w:r>
    </w:p>
    <w:p>
      <w:pPr>
        <w:pStyle w:val="BodyText"/>
        <w:spacing w:before="120"/>
        <w:ind w:left="1720" w:right="40"/>
        <w:jc w:val="both"/>
      </w:pPr>
      <w:r>
        <w:rPr/>
        <w:t>Identificación de las instalaciones en las que personas físicas y morales pretendan realizar el trasvase de residuos para asegurar la correcta operación en términos de prevención de la contaminación por manipulación de residuos. La ejecución de este registro contempla la visita a las estaciones para la revisión de la operación de la estación.</w:t>
      </w:r>
    </w:p>
    <w:p>
      <w:pPr>
        <w:pStyle w:val="ListParagraph"/>
        <w:numPr>
          <w:ilvl w:val="0"/>
          <w:numId w:val="17"/>
        </w:numPr>
        <w:tabs>
          <w:tab w:pos="1721" w:val="left" w:leader="none"/>
        </w:tabs>
        <w:spacing w:line="240" w:lineRule="auto" w:before="121" w:after="0"/>
        <w:ind w:left="1720" w:right="42" w:hanging="360"/>
        <w:jc w:val="both"/>
        <w:rPr>
          <w:sz w:val="24"/>
        </w:rPr>
      </w:pPr>
      <w:r>
        <w:rPr>
          <w:sz w:val="24"/>
        </w:rPr>
        <w:t>Registro municipal de centro de acopio Identificación de Instalaciones en las que personas físicas y morales lleven a cabo actividades de acopio de residuos con el objetivo de constatar que la operación del establecimiento comercial no representa riesgos ambientales.</w:t>
      </w:r>
    </w:p>
    <w:p>
      <w:pPr>
        <w:pStyle w:val="ListParagraph"/>
        <w:numPr>
          <w:ilvl w:val="0"/>
          <w:numId w:val="17"/>
        </w:numPr>
        <w:tabs>
          <w:tab w:pos="1721" w:val="left" w:leader="none"/>
        </w:tabs>
        <w:spacing w:line="240" w:lineRule="auto" w:before="118" w:after="0"/>
        <w:ind w:left="1720" w:right="39" w:hanging="360"/>
        <w:jc w:val="both"/>
        <w:rPr>
          <w:sz w:val="24"/>
        </w:rPr>
      </w:pPr>
      <w:r>
        <w:rPr>
          <w:sz w:val="24"/>
        </w:rPr>
        <w:t>Registro Municipal de planta de reciclaje Identificación de las instalaciones en las que personas físicas y morales realicen la manipulación de los residuos para la restitución del valor económico de los materiales y su reincorporación a los procesos productivos. Asegurando, mediante la revisión de las instalaciones y procesos que estos no causen daños al</w:t>
      </w:r>
      <w:r>
        <w:rPr>
          <w:spacing w:val="-5"/>
          <w:sz w:val="24"/>
        </w:rPr>
        <w:t> </w:t>
      </w:r>
      <w:r>
        <w:rPr>
          <w:sz w:val="24"/>
        </w:rPr>
        <w:t>ambiente.</w:t>
      </w:r>
    </w:p>
    <w:p>
      <w:pPr>
        <w:pStyle w:val="ListParagraph"/>
        <w:numPr>
          <w:ilvl w:val="0"/>
          <w:numId w:val="16"/>
        </w:numPr>
        <w:tabs>
          <w:tab w:pos="1361" w:val="left" w:leader="none"/>
        </w:tabs>
        <w:spacing w:line="240" w:lineRule="auto" w:before="120" w:after="0"/>
        <w:ind w:left="1360" w:right="0" w:hanging="721"/>
        <w:jc w:val="both"/>
        <w:rPr>
          <w:sz w:val="24"/>
        </w:rPr>
      </w:pPr>
      <w:r>
        <w:rPr>
          <w:sz w:val="24"/>
        </w:rPr>
        <w:t>Por los servicios de dictaminación</w:t>
      </w:r>
      <w:r>
        <w:rPr>
          <w:spacing w:val="-7"/>
          <w:sz w:val="24"/>
        </w:rPr>
        <w:t> </w:t>
      </w:r>
      <w:r>
        <w:rPr>
          <w:sz w:val="24"/>
        </w:rPr>
        <w:t>forestal:</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2"/>
        <w:ind w:left="640"/>
      </w:pPr>
      <w:r>
        <w:rPr/>
        <w:t>264.00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7"/>
        </w:rPr>
      </w:pPr>
    </w:p>
    <w:p>
      <w:pPr>
        <w:pStyle w:val="BodyText"/>
        <w:ind w:left="640"/>
      </w:pPr>
      <w:r>
        <w:rPr/>
        <w:t>176.00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0"/>
        </w:rPr>
      </w:pPr>
    </w:p>
    <w:p>
      <w:pPr>
        <w:pStyle w:val="BodyText"/>
        <w:ind w:left="640"/>
      </w:pPr>
      <w:r>
        <w:rPr/>
        <w:t>176.00</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6"/>
        </w:rPr>
      </w:pPr>
    </w:p>
    <w:p>
      <w:pPr>
        <w:pStyle w:val="BodyText"/>
        <w:spacing w:before="1"/>
        <w:ind w:left="640"/>
      </w:pPr>
      <w:r>
        <w:rPr/>
        <w:t>176.00</w:t>
      </w:r>
    </w:p>
    <w:p>
      <w:pPr>
        <w:spacing w:after="0"/>
        <w:sectPr>
          <w:type w:val="continuous"/>
          <w:pgSz w:w="12250" w:h="15850"/>
          <w:pgMar w:top="840" w:bottom="280" w:left="860" w:right="820"/>
          <w:cols w:num="2" w:equalWidth="0">
            <w:col w:w="7391" w:space="288"/>
            <w:col w:w="2891"/>
          </w:cols>
        </w:sectPr>
      </w:pPr>
    </w:p>
    <w:p>
      <w:pPr>
        <w:pStyle w:val="ListParagraph"/>
        <w:numPr>
          <w:ilvl w:val="2"/>
          <w:numId w:val="5"/>
        </w:numPr>
        <w:tabs>
          <w:tab w:pos="1951" w:val="left" w:leader="none"/>
          <w:tab w:pos="9054" w:val="right" w:leader="none"/>
        </w:tabs>
        <w:spacing w:line="240" w:lineRule="auto" w:before="135" w:after="0"/>
        <w:ind w:left="1950" w:right="0" w:hanging="281"/>
        <w:jc w:val="left"/>
        <w:rPr>
          <w:sz w:val="24"/>
        </w:rPr>
      </w:pPr>
      <w:r>
        <w:rPr>
          <w:sz w:val="24"/>
        </w:rPr>
        <w:t>Dictamen forestal</w:t>
      </w:r>
      <w:r>
        <w:rPr>
          <w:spacing w:val="-1"/>
          <w:sz w:val="24"/>
        </w:rPr>
        <w:t> </w:t>
      </w:r>
      <w:r>
        <w:rPr>
          <w:sz w:val="24"/>
        </w:rPr>
        <w:t>(por ejemplar)</w:t>
        <w:tab/>
        <w:t>91.96</w:t>
      </w:r>
    </w:p>
    <w:p>
      <w:pPr>
        <w:spacing w:after="0" w:line="240" w:lineRule="auto"/>
        <w:jc w:val="left"/>
        <w:rPr>
          <w:sz w:val="24"/>
        </w:rPr>
        <w:sectPr>
          <w:type w:val="continuous"/>
          <w:pgSz w:w="12250" w:h="15850"/>
          <w:pgMar w:top="840" w:bottom="280" w:left="860" w:right="820"/>
        </w:sectPr>
      </w:pPr>
    </w:p>
    <w:p>
      <w:pPr>
        <w:pStyle w:val="Heading1"/>
        <w:spacing w:before="183"/>
        <w:ind w:left="1247" w:right="1280"/>
        <w:jc w:val="center"/>
      </w:pPr>
      <w:r>
        <w:rPr/>
        <w:t>Capítulo Cuarto</w:t>
      </w:r>
    </w:p>
    <w:p>
      <w:pPr>
        <w:spacing w:before="0"/>
        <w:ind w:left="1247" w:right="1282" w:firstLine="0"/>
        <w:jc w:val="center"/>
        <w:rPr>
          <w:b/>
          <w:sz w:val="24"/>
        </w:rPr>
      </w:pPr>
      <w:r>
        <w:rPr>
          <w:b/>
          <w:sz w:val="24"/>
        </w:rPr>
        <w:t>Servicios Especiales de Aseo</w:t>
      </w:r>
      <w:r>
        <w:rPr>
          <w:b/>
          <w:spacing w:val="-11"/>
          <w:sz w:val="24"/>
        </w:rPr>
        <w:t> </w:t>
      </w:r>
      <w:r>
        <w:rPr>
          <w:b/>
          <w:sz w:val="24"/>
        </w:rPr>
        <w:t>Público</w:t>
      </w:r>
    </w:p>
    <w:p>
      <w:pPr>
        <w:pStyle w:val="BodyText"/>
        <w:rPr>
          <w:b/>
          <w:sz w:val="23"/>
        </w:rPr>
      </w:pPr>
    </w:p>
    <w:p>
      <w:pPr>
        <w:pStyle w:val="BodyText"/>
        <w:ind w:left="400" w:right="436"/>
        <w:jc w:val="both"/>
      </w:pPr>
      <w:r>
        <w:rPr/>
        <w:drawing>
          <wp:anchor distT="0" distB="0" distL="0" distR="0" allowOverlap="1" layoutInCell="1" locked="0" behindDoc="1" simplePos="0" relativeHeight="227489792">
            <wp:simplePos x="0" y="0"/>
            <wp:positionH relativeFrom="page">
              <wp:posOffset>1239220</wp:posOffset>
            </wp:positionH>
            <wp:positionV relativeFrom="paragraph">
              <wp:posOffset>775917</wp:posOffset>
            </wp:positionV>
            <wp:extent cx="5022641" cy="5144769"/>
            <wp:effectExtent l="0" t="0" r="0" b="0"/>
            <wp:wrapNone/>
            <wp:docPr id="45" name="image17.png"/>
            <wp:cNvGraphicFramePr>
              <a:graphicFrameLocks noChangeAspect="1"/>
            </wp:cNvGraphicFramePr>
            <a:graphic>
              <a:graphicData uri="http://schemas.openxmlformats.org/drawingml/2006/picture">
                <pic:pic>
                  <pic:nvPicPr>
                    <pic:cNvPr id="46" name="image17.png"/>
                    <pic:cNvPicPr/>
                  </pic:nvPicPr>
                  <pic:blipFill>
                    <a:blip r:embed="rId27" cstate="print"/>
                    <a:stretch>
                      <a:fillRect/>
                    </a:stretch>
                  </pic:blipFill>
                  <pic:spPr>
                    <a:xfrm>
                      <a:off x="0" y="0"/>
                      <a:ext cx="5022641" cy="5144769"/>
                    </a:xfrm>
                    <a:prstGeom prst="rect">
                      <a:avLst/>
                    </a:prstGeom>
                  </pic:spPr>
                </pic:pic>
              </a:graphicData>
            </a:graphic>
          </wp:anchor>
        </w:drawing>
      </w:r>
      <w:r>
        <w:rPr>
          <w:b/>
        </w:rPr>
        <w:t>Artículo 16.- </w:t>
      </w:r>
      <w:r>
        <w:rPr/>
        <w:t>Las personas físicas o morales que realicen actividades de comercio, industria, talleres, restaurantes, prestadores de servicio al público, espectáculos y similares, pagarán los derechos correspondientes, por servicios de recolección de basura de desechos sólidos por evento, conforme a las siguientes</w:t>
      </w:r>
      <w:r>
        <w:rPr>
          <w:spacing w:val="-5"/>
        </w:rPr>
        <w:t> </w:t>
      </w:r>
      <w:r>
        <w:rPr/>
        <w:t>tarifas:</w:t>
      </w:r>
    </w:p>
    <w:p>
      <w:pPr>
        <w:pStyle w:val="BodyText"/>
      </w:pPr>
    </w:p>
    <w:p>
      <w:pPr>
        <w:pStyle w:val="ListParagraph"/>
        <w:numPr>
          <w:ilvl w:val="0"/>
          <w:numId w:val="18"/>
        </w:numPr>
        <w:tabs>
          <w:tab w:pos="1308" w:val="left" w:leader="none"/>
        </w:tabs>
        <w:spacing w:line="240" w:lineRule="auto" w:before="0" w:after="0"/>
        <w:ind w:left="1245" w:right="442" w:hanging="562"/>
        <w:jc w:val="both"/>
        <w:rPr>
          <w:sz w:val="24"/>
        </w:rPr>
      </w:pPr>
      <w:r>
        <w:rPr/>
        <w:tab/>
      </w:r>
      <w:r>
        <w:rPr>
          <w:sz w:val="24"/>
        </w:rPr>
        <w:t>Por recolección de basura, desechos o desperdicios no contaminantes, en vehículos del Ayuntamiento, como</w:t>
      </w:r>
      <w:r>
        <w:rPr>
          <w:spacing w:val="-6"/>
          <w:sz w:val="24"/>
        </w:rPr>
        <w:t> </w:t>
      </w:r>
      <w:r>
        <w:rPr>
          <w:sz w:val="24"/>
        </w:rPr>
        <w:t>sigue:</w:t>
      </w:r>
    </w:p>
    <w:p>
      <w:pPr>
        <w:pStyle w:val="BodyText"/>
        <w:spacing w:before="9"/>
        <w:rPr>
          <w:sz w:val="22"/>
        </w:rPr>
      </w:pPr>
    </w:p>
    <w:tbl>
      <w:tblPr>
        <w:tblW w:w="0" w:type="auto"/>
        <w:jc w:val="left"/>
        <w:tblInd w:w="1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99"/>
        <w:gridCol w:w="1942"/>
      </w:tblGrid>
      <w:tr>
        <w:trPr>
          <w:trHeight w:val="340" w:hRule="atLeast"/>
        </w:trPr>
        <w:tc>
          <w:tcPr>
            <w:tcW w:w="5599" w:type="dxa"/>
          </w:tcPr>
          <w:p>
            <w:pPr>
              <w:pStyle w:val="TableParagraph"/>
              <w:spacing w:line="268" w:lineRule="exact"/>
              <w:ind w:left="50"/>
              <w:rPr>
                <w:sz w:val="24"/>
              </w:rPr>
            </w:pPr>
            <w:r>
              <w:rPr>
                <w:sz w:val="24"/>
              </w:rPr>
              <w:t>a) De 21 a 40 kilos</w:t>
            </w:r>
          </w:p>
        </w:tc>
        <w:tc>
          <w:tcPr>
            <w:tcW w:w="1942" w:type="dxa"/>
          </w:tcPr>
          <w:p>
            <w:pPr>
              <w:pStyle w:val="TableParagraph"/>
              <w:spacing w:line="268" w:lineRule="exact"/>
              <w:ind w:right="48"/>
              <w:jc w:val="right"/>
              <w:rPr>
                <w:sz w:val="24"/>
              </w:rPr>
            </w:pPr>
            <w:r>
              <w:rPr>
                <w:sz w:val="24"/>
              </w:rPr>
              <w:t>29.46</w:t>
            </w:r>
          </w:p>
        </w:tc>
      </w:tr>
      <w:tr>
        <w:trPr>
          <w:trHeight w:val="414" w:hRule="atLeast"/>
        </w:trPr>
        <w:tc>
          <w:tcPr>
            <w:tcW w:w="5599" w:type="dxa"/>
          </w:tcPr>
          <w:p>
            <w:pPr>
              <w:pStyle w:val="TableParagraph"/>
              <w:spacing w:before="64"/>
              <w:ind w:left="50"/>
              <w:rPr>
                <w:sz w:val="24"/>
              </w:rPr>
            </w:pPr>
            <w:r>
              <w:rPr>
                <w:sz w:val="24"/>
              </w:rPr>
              <w:t>b) De 41 a 60 kilos</w:t>
            </w:r>
          </w:p>
        </w:tc>
        <w:tc>
          <w:tcPr>
            <w:tcW w:w="1942" w:type="dxa"/>
          </w:tcPr>
          <w:p>
            <w:pPr>
              <w:pStyle w:val="TableParagraph"/>
              <w:spacing w:before="64"/>
              <w:ind w:right="48"/>
              <w:jc w:val="right"/>
              <w:rPr>
                <w:sz w:val="24"/>
              </w:rPr>
            </w:pPr>
            <w:r>
              <w:rPr>
                <w:sz w:val="24"/>
              </w:rPr>
              <w:t>41.07</w:t>
            </w:r>
          </w:p>
        </w:tc>
      </w:tr>
      <w:tr>
        <w:trPr>
          <w:trHeight w:val="414" w:hRule="atLeast"/>
        </w:trPr>
        <w:tc>
          <w:tcPr>
            <w:tcW w:w="5599" w:type="dxa"/>
          </w:tcPr>
          <w:p>
            <w:pPr>
              <w:pStyle w:val="TableParagraph"/>
              <w:spacing w:before="66"/>
              <w:ind w:left="50"/>
              <w:rPr>
                <w:sz w:val="24"/>
              </w:rPr>
            </w:pPr>
            <w:r>
              <w:rPr>
                <w:sz w:val="24"/>
              </w:rPr>
              <w:t>c) De 61 a 80 kilos</w:t>
            </w:r>
          </w:p>
        </w:tc>
        <w:tc>
          <w:tcPr>
            <w:tcW w:w="1942" w:type="dxa"/>
          </w:tcPr>
          <w:p>
            <w:pPr>
              <w:pStyle w:val="TableParagraph"/>
              <w:spacing w:before="66"/>
              <w:ind w:right="48"/>
              <w:jc w:val="right"/>
              <w:rPr>
                <w:sz w:val="24"/>
              </w:rPr>
            </w:pPr>
            <w:r>
              <w:rPr>
                <w:sz w:val="24"/>
              </w:rPr>
              <w:t>52.68</w:t>
            </w:r>
          </w:p>
        </w:tc>
      </w:tr>
      <w:tr>
        <w:trPr>
          <w:trHeight w:val="413" w:hRule="atLeast"/>
        </w:trPr>
        <w:tc>
          <w:tcPr>
            <w:tcW w:w="5599" w:type="dxa"/>
          </w:tcPr>
          <w:p>
            <w:pPr>
              <w:pStyle w:val="TableParagraph"/>
              <w:spacing w:before="64"/>
              <w:ind w:left="50"/>
              <w:rPr>
                <w:sz w:val="24"/>
              </w:rPr>
            </w:pPr>
            <w:r>
              <w:rPr>
                <w:sz w:val="24"/>
              </w:rPr>
              <w:t>d) De 81 a 100 kilos</w:t>
            </w:r>
          </w:p>
        </w:tc>
        <w:tc>
          <w:tcPr>
            <w:tcW w:w="1942" w:type="dxa"/>
          </w:tcPr>
          <w:p>
            <w:pPr>
              <w:pStyle w:val="TableParagraph"/>
              <w:spacing w:before="64"/>
              <w:ind w:right="48"/>
              <w:jc w:val="right"/>
              <w:rPr>
                <w:sz w:val="24"/>
              </w:rPr>
            </w:pPr>
            <w:r>
              <w:rPr>
                <w:sz w:val="24"/>
              </w:rPr>
              <w:t>60.71</w:t>
            </w:r>
          </w:p>
        </w:tc>
      </w:tr>
      <w:tr>
        <w:trPr>
          <w:trHeight w:val="413" w:hRule="atLeast"/>
        </w:trPr>
        <w:tc>
          <w:tcPr>
            <w:tcW w:w="5599" w:type="dxa"/>
          </w:tcPr>
          <w:p>
            <w:pPr>
              <w:pStyle w:val="TableParagraph"/>
              <w:spacing w:before="65"/>
              <w:ind w:left="50"/>
              <w:rPr>
                <w:sz w:val="24"/>
              </w:rPr>
            </w:pPr>
            <w:r>
              <w:rPr>
                <w:sz w:val="24"/>
              </w:rPr>
              <w:t>e) De 101 a 250 kilos</w:t>
            </w:r>
          </w:p>
        </w:tc>
        <w:tc>
          <w:tcPr>
            <w:tcW w:w="1942" w:type="dxa"/>
          </w:tcPr>
          <w:p>
            <w:pPr>
              <w:pStyle w:val="TableParagraph"/>
              <w:spacing w:before="65"/>
              <w:ind w:right="48"/>
              <w:jc w:val="right"/>
              <w:rPr>
                <w:sz w:val="24"/>
              </w:rPr>
            </w:pPr>
            <w:r>
              <w:rPr>
                <w:sz w:val="24"/>
              </w:rPr>
              <w:t>113.39</w:t>
            </w:r>
          </w:p>
        </w:tc>
      </w:tr>
      <w:tr>
        <w:trPr>
          <w:trHeight w:val="413" w:hRule="atLeast"/>
        </w:trPr>
        <w:tc>
          <w:tcPr>
            <w:tcW w:w="5599" w:type="dxa"/>
          </w:tcPr>
          <w:p>
            <w:pPr>
              <w:pStyle w:val="TableParagraph"/>
              <w:spacing w:before="64"/>
              <w:ind w:left="50"/>
              <w:rPr>
                <w:sz w:val="24"/>
              </w:rPr>
            </w:pPr>
            <w:r>
              <w:rPr>
                <w:sz w:val="24"/>
              </w:rPr>
              <w:t>f) De 251 a 500 kilos</w:t>
            </w:r>
          </w:p>
        </w:tc>
        <w:tc>
          <w:tcPr>
            <w:tcW w:w="1942" w:type="dxa"/>
          </w:tcPr>
          <w:p>
            <w:pPr>
              <w:pStyle w:val="TableParagraph"/>
              <w:spacing w:before="64"/>
              <w:ind w:right="48"/>
              <w:jc w:val="right"/>
              <w:rPr>
                <w:sz w:val="24"/>
              </w:rPr>
            </w:pPr>
            <w:r>
              <w:rPr>
                <w:sz w:val="24"/>
              </w:rPr>
              <w:t>191.07</w:t>
            </w:r>
          </w:p>
        </w:tc>
      </w:tr>
      <w:tr>
        <w:trPr>
          <w:trHeight w:val="341" w:hRule="atLeast"/>
        </w:trPr>
        <w:tc>
          <w:tcPr>
            <w:tcW w:w="5599" w:type="dxa"/>
          </w:tcPr>
          <w:p>
            <w:pPr>
              <w:pStyle w:val="TableParagraph"/>
              <w:spacing w:line="256" w:lineRule="exact" w:before="65"/>
              <w:ind w:left="50"/>
              <w:rPr>
                <w:sz w:val="24"/>
              </w:rPr>
            </w:pPr>
            <w:r>
              <w:rPr>
                <w:sz w:val="24"/>
              </w:rPr>
              <w:t>g) De 501 en adelante por cada 500 kilos</w:t>
            </w:r>
          </w:p>
        </w:tc>
        <w:tc>
          <w:tcPr>
            <w:tcW w:w="1942" w:type="dxa"/>
          </w:tcPr>
          <w:p>
            <w:pPr>
              <w:pStyle w:val="TableParagraph"/>
              <w:spacing w:line="256" w:lineRule="exact" w:before="65"/>
              <w:ind w:right="48"/>
              <w:jc w:val="right"/>
              <w:rPr>
                <w:sz w:val="24"/>
              </w:rPr>
            </w:pPr>
            <w:r>
              <w:rPr>
                <w:sz w:val="24"/>
              </w:rPr>
              <w:t>152.68</w:t>
            </w:r>
          </w:p>
        </w:tc>
      </w:tr>
    </w:tbl>
    <w:p>
      <w:pPr>
        <w:pStyle w:val="BodyText"/>
        <w:spacing w:before="10"/>
        <w:rPr>
          <w:sz w:val="35"/>
        </w:rPr>
      </w:pPr>
    </w:p>
    <w:p>
      <w:pPr>
        <w:pStyle w:val="ListParagraph"/>
        <w:numPr>
          <w:ilvl w:val="0"/>
          <w:numId w:val="18"/>
        </w:numPr>
        <w:tabs>
          <w:tab w:pos="1253" w:val="left" w:leader="none"/>
        </w:tabs>
        <w:spacing w:line="240" w:lineRule="auto" w:before="0" w:after="0"/>
        <w:ind w:left="1307" w:right="437" w:hanging="624"/>
        <w:jc w:val="both"/>
        <w:rPr>
          <w:sz w:val="24"/>
        </w:rPr>
      </w:pPr>
      <w:r>
        <w:rPr>
          <w:sz w:val="24"/>
        </w:rPr>
        <w:t>La limpieza de lotes baldíos, jardines, prados será obligación de los propietarios, pero quienes no lleven a cabo el saneamiento dentro de los diez días después de notificados para que lo hicieren, el terreno será limpiado por personal</w:t>
      </w:r>
      <w:r>
        <w:rPr>
          <w:spacing w:val="-23"/>
          <w:sz w:val="24"/>
        </w:rPr>
        <w:t> </w:t>
      </w:r>
      <w:r>
        <w:rPr>
          <w:sz w:val="24"/>
        </w:rPr>
        <w:t>Municipal.</w:t>
      </w:r>
    </w:p>
    <w:p>
      <w:pPr>
        <w:pStyle w:val="BodyText"/>
      </w:pPr>
    </w:p>
    <w:p>
      <w:pPr>
        <w:pStyle w:val="BodyText"/>
        <w:spacing w:before="1"/>
        <w:ind w:left="1394" w:right="434"/>
        <w:jc w:val="both"/>
      </w:pPr>
      <w:r>
        <w:rPr/>
        <w:t>Por dichos trabajos, el propietario deberá cubrir a la Tesorería Municipal $41.96 por cada metro cuadrado de superficie atendida, para lo cual se otorgará un plazo de quince días naturales siguientes a la notificación del saldo a pagar.</w:t>
      </w:r>
    </w:p>
    <w:p>
      <w:pPr>
        <w:pStyle w:val="BodyText"/>
        <w:spacing w:before="11"/>
        <w:rPr>
          <w:sz w:val="23"/>
        </w:rPr>
      </w:pPr>
    </w:p>
    <w:p>
      <w:pPr>
        <w:pStyle w:val="ListParagraph"/>
        <w:numPr>
          <w:ilvl w:val="0"/>
          <w:numId w:val="18"/>
        </w:numPr>
        <w:tabs>
          <w:tab w:pos="1253" w:val="left" w:leader="none"/>
        </w:tabs>
        <w:spacing w:line="240" w:lineRule="auto" w:before="0" w:after="0"/>
        <w:ind w:left="1307" w:right="439" w:hanging="562"/>
        <w:jc w:val="both"/>
        <w:rPr>
          <w:sz w:val="24"/>
        </w:rPr>
      </w:pPr>
      <w:r>
        <w:rPr>
          <w:sz w:val="24"/>
        </w:rPr>
        <w:t>Todas las empresas y particulares que utilicen el relleno sanitario Municipal para descargar los desechos sólidos que su establecimiento genere pagarán</w:t>
      </w:r>
      <w:r>
        <w:rPr>
          <w:spacing w:val="-13"/>
          <w:sz w:val="24"/>
        </w:rPr>
        <w:t> </w:t>
      </w:r>
      <w:r>
        <w:rPr>
          <w:spacing w:val="2"/>
          <w:sz w:val="24"/>
        </w:rPr>
        <w:t>por;</w:t>
      </w:r>
    </w:p>
    <w:p>
      <w:pPr>
        <w:pStyle w:val="BodyText"/>
        <w:spacing w:before="8"/>
      </w:pPr>
    </w:p>
    <w:tbl>
      <w:tblPr>
        <w:tblW w:w="0" w:type="auto"/>
        <w:jc w:val="left"/>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3"/>
        <w:gridCol w:w="3411"/>
      </w:tblGrid>
      <w:tr>
        <w:trPr>
          <w:trHeight w:val="332" w:hRule="atLeast"/>
        </w:trPr>
        <w:tc>
          <w:tcPr>
            <w:tcW w:w="5303" w:type="dxa"/>
          </w:tcPr>
          <w:p>
            <w:pPr>
              <w:pStyle w:val="TableParagraph"/>
              <w:spacing w:line="268" w:lineRule="exact"/>
              <w:ind w:left="50"/>
              <w:rPr>
                <w:sz w:val="24"/>
              </w:rPr>
            </w:pPr>
            <w:r>
              <w:rPr>
                <w:sz w:val="24"/>
              </w:rPr>
              <w:t>Camionetas Pick-up</w:t>
            </w:r>
          </w:p>
        </w:tc>
        <w:tc>
          <w:tcPr>
            <w:tcW w:w="3411" w:type="dxa"/>
          </w:tcPr>
          <w:p>
            <w:pPr>
              <w:pStyle w:val="TableParagraph"/>
              <w:spacing w:line="268" w:lineRule="exact"/>
              <w:ind w:right="48"/>
              <w:jc w:val="right"/>
              <w:rPr>
                <w:sz w:val="24"/>
              </w:rPr>
            </w:pPr>
            <w:r>
              <w:rPr>
                <w:sz w:val="24"/>
              </w:rPr>
              <w:t>51.79</w:t>
            </w:r>
          </w:p>
        </w:tc>
      </w:tr>
      <w:tr>
        <w:trPr>
          <w:trHeight w:val="396" w:hRule="atLeast"/>
        </w:trPr>
        <w:tc>
          <w:tcPr>
            <w:tcW w:w="5303" w:type="dxa"/>
          </w:tcPr>
          <w:p>
            <w:pPr>
              <w:pStyle w:val="TableParagraph"/>
              <w:spacing w:before="56"/>
              <w:ind w:left="50"/>
              <w:rPr>
                <w:sz w:val="24"/>
              </w:rPr>
            </w:pPr>
            <w:r>
              <w:rPr>
                <w:sz w:val="24"/>
              </w:rPr>
              <w:t>Camioneta doble rodado</w:t>
            </w:r>
          </w:p>
        </w:tc>
        <w:tc>
          <w:tcPr>
            <w:tcW w:w="3411" w:type="dxa"/>
          </w:tcPr>
          <w:p>
            <w:pPr>
              <w:pStyle w:val="TableParagraph"/>
              <w:spacing w:before="56"/>
              <w:ind w:right="48"/>
              <w:jc w:val="right"/>
              <w:rPr>
                <w:sz w:val="24"/>
              </w:rPr>
            </w:pPr>
            <w:r>
              <w:rPr>
                <w:sz w:val="24"/>
              </w:rPr>
              <w:t>105.36</w:t>
            </w:r>
          </w:p>
        </w:tc>
      </w:tr>
      <w:tr>
        <w:trPr>
          <w:trHeight w:val="396" w:hRule="atLeast"/>
        </w:trPr>
        <w:tc>
          <w:tcPr>
            <w:tcW w:w="5303" w:type="dxa"/>
          </w:tcPr>
          <w:p>
            <w:pPr>
              <w:pStyle w:val="TableParagraph"/>
              <w:spacing w:before="56"/>
              <w:ind w:left="50"/>
              <w:rPr>
                <w:sz w:val="24"/>
              </w:rPr>
            </w:pPr>
            <w:r>
              <w:rPr>
                <w:sz w:val="24"/>
              </w:rPr>
              <w:t>Camión y/o volteo</w:t>
            </w:r>
          </w:p>
        </w:tc>
        <w:tc>
          <w:tcPr>
            <w:tcW w:w="3411" w:type="dxa"/>
          </w:tcPr>
          <w:p>
            <w:pPr>
              <w:pStyle w:val="TableParagraph"/>
              <w:spacing w:before="56"/>
              <w:ind w:right="48"/>
              <w:jc w:val="right"/>
              <w:rPr>
                <w:sz w:val="24"/>
              </w:rPr>
            </w:pPr>
            <w:r>
              <w:rPr>
                <w:sz w:val="24"/>
              </w:rPr>
              <w:t>168.75</w:t>
            </w:r>
          </w:p>
        </w:tc>
      </w:tr>
      <w:tr>
        <w:trPr>
          <w:trHeight w:val="332" w:hRule="atLeast"/>
        </w:trPr>
        <w:tc>
          <w:tcPr>
            <w:tcW w:w="5303" w:type="dxa"/>
          </w:tcPr>
          <w:p>
            <w:pPr>
              <w:pStyle w:val="TableParagraph"/>
              <w:spacing w:line="256" w:lineRule="exact" w:before="56"/>
              <w:ind w:left="50"/>
              <w:rPr>
                <w:sz w:val="24"/>
              </w:rPr>
            </w:pPr>
            <w:r>
              <w:rPr>
                <w:sz w:val="24"/>
              </w:rPr>
              <w:t>Camión Compactador</w:t>
            </w:r>
          </w:p>
        </w:tc>
        <w:tc>
          <w:tcPr>
            <w:tcW w:w="3411" w:type="dxa"/>
          </w:tcPr>
          <w:p>
            <w:pPr>
              <w:pStyle w:val="TableParagraph"/>
              <w:spacing w:line="256" w:lineRule="exact" w:before="56"/>
              <w:ind w:right="48"/>
              <w:jc w:val="right"/>
              <w:rPr>
                <w:sz w:val="24"/>
              </w:rPr>
            </w:pPr>
            <w:r>
              <w:rPr>
                <w:sz w:val="24"/>
              </w:rPr>
              <w:t>191.96</w:t>
            </w:r>
          </w:p>
        </w:tc>
      </w:tr>
    </w:tbl>
    <w:p>
      <w:pPr>
        <w:pStyle w:val="BodyText"/>
      </w:pPr>
    </w:p>
    <w:p>
      <w:pPr>
        <w:pStyle w:val="ListParagraph"/>
        <w:numPr>
          <w:ilvl w:val="0"/>
          <w:numId w:val="18"/>
        </w:numPr>
        <w:tabs>
          <w:tab w:pos="1253" w:val="left" w:leader="none"/>
        </w:tabs>
        <w:spacing w:line="240" w:lineRule="auto" w:before="0" w:after="0"/>
        <w:ind w:left="1252" w:right="431" w:hanging="569"/>
        <w:jc w:val="both"/>
        <w:rPr>
          <w:sz w:val="24"/>
        </w:rPr>
      </w:pPr>
      <w:r>
        <w:rPr>
          <w:sz w:val="24"/>
        </w:rPr>
        <w:t>Las empresas o particulares que tengan otorgado convenio, por parte del Ayuntamiento, para la recolección de residuos sólidos y que descarguen en el relleno sanitario municipal pagarán $ 0.20, por cada</w:t>
      </w:r>
      <w:r>
        <w:rPr>
          <w:spacing w:val="-9"/>
          <w:sz w:val="24"/>
        </w:rPr>
        <w:t> </w:t>
      </w:r>
      <w:r>
        <w:rPr>
          <w:sz w:val="24"/>
        </w:rPr>
        <w:t>kilogramo.</w:t>
      </w:r>
    </w:p>
    <w:p>
      <w:pPr>
        <w:pStyle w:val="BodyText"/>
      </w:pPr>
    </w:p>
    <w:p>
      <w:pPr>
        <w:pStyle w:val="ListParagraph"/>
        <w:numPr>
          <w:ilvl w:val="0"/>
          <w:numId w:val="18"/>
        </w:numPr>
        <w:tabs>
          <w:tab w:pos="1253" w:val="left" w:leader="none"/>
        </w:tabs>
        <w:spacing w:line="240" w:lineRule="auto" w:before="0" w:after="0"/>
        <w:ind w:left="1252" w:right="437" w:hanging="569"/>
        <w:jc w:val="both"/>
        <w:rPr>
          <w:sz w:val="24"/>
        </w:rPr>
      </w:pPr>
      <w:r>
        <w:rPr>
          <w:sz w:val="24"/>
        </w:rPr>
        <w:t>La realización de eventos en la vía pública o en propiedad privada; que ocasionen o produzcan basura o desechos sólidos en la vía pública y requiera la intervención de personal de aseo público para recogerlos, él o los organizadores, o el propietario del predio donde se hubiera efectuado el evento, estarán obligados a pagar por ello, el equivalente</w:t>
      </w:r>
      <w:r>
        <w:rPr>
          <w:spacing w:val="-4"/>
          <w:sz w:val="24"/>
        </w:rPr>
        <w:t> </w:t>
      </w:r>
      <w:r>
        <w:rPr>
          <w:sz w:val="24"/>
        </w:rPr>
        <w:t>a:</w:t>
      </w:r>
    </w:p>
    <w:p>
      <w:pPr>
        <w:spacing w:after="0" w:line="240" w:lineRule="auto"/>
        <w:jc w:val="both"/>
        <w:rPr>
          <w:sz w:val="24"/>
        </w:rPr>
        <w:sectPr>
          <w:pgSz w:w="12250" w:h="15850"/>
          <w:pgMar w:header="730" w:footer="0" w:top="1000" w:bottom="280" w:left="860" w:right="820"/>
        </w:sectPr>
      </w:pPr>
    </w:p>
    <w:p>
      <w:pPr>
        <w:pStyle w:val="BodyText"/>
        <w:spacing w:before="9" w:after="1"/>
        <w:rPr>
          <w:sz w:val="17"/>
        </w:rPr>
      </w:pPr>
    </w:p>
    <w:tbl>
      <w:tblPr>
        <w:tblW w:w="0" w:type="auto"/>
        <w:jc w:val="left"/>
        <w:tblInd w:w="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9"/>
        <w:gridCol w:w="5653"/>
        <w:gridCol w:w="3410"/>
      </w:tblGrid>
      <w:tr>
        <w:trPr>
          <w:trHeight w:val="332" w:hRule="atLeast"/>
        </w:trPr>
        <w:tc>
          <w:tcPr>
            <w:tcW w:w="479" w:type="dxa"/>
            <w:vMerge w:val="restart"/>
          </w:tcPr>
          <w:p>
            <w:pPr>
              <w:pStyle w:val="TableParagraph"/>
              <w:rPr>
                <w:rFonts w:ascii="Times New Roman"/>
                <w:sz w:val="24"/>
              </w:rPr>
            </w:pPr>
          </w:p>
        </w:tc>
        <w:tc>
          <w:tcPr>
            <w:tcW w:w="5653" w:type="dxa"/>
          </w:tcPr>
          <w:p>
            <w:pPr>
              <w:pStyle w:val="TableParagraph"/>
              <w:spacing w:line="268" w:lineRule="exact"/>
              <w:ind w:left="1373"/>
              <w:rPr>
                <w:sz w:val="24"/>
              </w:rPr>
            </w:pPr>
            <w:r>
              <w:rPr>
                <w:sz w:val="24"/>
              </w:rPr>
              <w:t>a) Hasta 100 personas</w:t>
            </w:r>
          </w:p>
        </w:tc>
        <w:tc>
          <w:tcPr>
            <w:tcW w:w="3410" w:type="dxa"/>
          </w:tcPr>
          <w:p>
            <w:pPr>
              <w:pStyle w:val="TableParagraph"/>
              <w:spacing w:line="268" w:lineRule="exact"/>
              <w:ind w:left="77" w:right="88"/>
              <w:jc w:val="center"/>
              <w:rPr>
                <w:sz w:val="24"/>
              </w:rPr>
            </w:pPr>
            <w:r>
              <w:rPr>
                <w:sz w:val="24"/>
              </w:rPr>
              <w:t>308.93</w:t>
            </w:r>
          </w:p>
        </w:tc>
      </w:tr>
      <w:tr>
        <w:trPr>
          <w:trHeight w:val="396" w:hRule="atLeast"/>
        </w:trPr>
        <w:tc>
          <w:tcPr>
            <w:tcW w:w="479" w:type="dxa"/>
            <w:vMerge/>
            <w:tcBorders>
              <w:top w:val="nil"/>
            </w:tcBorders>
          </w:tcPr>
          <w:p>
            <w:pPr>
              <w:rPr>
                <w:sz w:val="2"/>
                <w:szCs w:val="2"/>
              </w:rPr>
            </w:pPr>
          </w:p>
        </w:tc>
        <w:tc>
          <w:tcPr>
            <w:tcW w:w="5653" w:type="dxa"/>
          </w:tcPr>
          <w:p>
            <w:pPr>
              <w:pStyle w:val="TableParagraph"/>
              <w:spacing w:before="56"/>
              <w:ind w:left="1373"/>
              <w:rPr>
                <w:sz w:val="24"/>
              </w:rPr>
            </w:pPr>
            <w:r>
              <w:rPr>
                <w:sz w:val="24"/>
              </w:rPr>
              <w:t>b) Hasta 200 personas</w:t>
            </w:r>
          </w:p>
        </w:tc>
        <w:tc>
          <w:tcPr>
            <w:tcW w:w="3410" w:type="dxa"/>
          </w:tcPr>
          <w:p>
            <w:pPr>
              <w:pStyle w:val="TableParagraph"/>
              <w:spacing w:before="56"/>
              <w:ind w:left="77" w:right="88"/>
              <w:jc w:val="center"/>
              <w:rPr>
                <w:sz w:val="24"/>
              </w:rPr>
            </w:pPr>
            <w:r>
              <w:rPr>
                <w:sz w:val="24"/>
              </w:rPr>
              <w:t>360.71</w:t>
            </w:r>
          </w:p>
        </w:tc>
      </w:tr>
      <w:tr>
        <w:trPr>
          <w:trHeight w:val="395" w:hRule="atLeast"/>
        </w:trPr>
        <w:tc>
          <w:tcPr>
            <w:tcW w:w="479" w:type="dxa"/>
            <w:vMerge/>
            <w:tcBorders>
              <w:top w:val="nil"/>
            </w:tcBorders>
          </w:tcPr>
          <w:p>
            <w:pPr>
              <w:rPr>
                <w:sz w:val="2"/>
                <w:szCs w:val="2"/>
              </w:rPr>
            </w:pPr>
          </w:p>
        </w:tc>
        <w:tc>
          <w:tcPr>
            <w:tcW w:w="5653" w:type="dxa"/>
          </w:tcPr>
          <w:p>
            <w:pPr>
              <w:pStyle w:val="TableParagraph"/>
              <w:spacing w:before="56"/>
              <w:ind w:left="1373"/>
              <w:rPr>
                <w:sz w:val="24"/>
              </w:rPr>
            </w:pPr>
            <w:r>
              <w:rPr>
                <w:sz w:val="24"/>
              </w:rPr>
              <w:t>c) Hasta 300 personas</w:t>
            </w:r>
          </w:p>
        </w:tc>
        <w:tc>
          <w:tcPr>
            <w:tcW w:w="3410" w:type="dxa"/>
          </w:tcPr>
          <w:p>
            <w:pPr>
              <w:pStyle w:val="TableParagraph"/>
              <w:spacing w:before="56"/>
              <w:ind w:left="77" w:right="88"/>
              <w:jc w:val="center"/>
              <w:rPr>
                <w:sz w:val="24"/>
              </w:rPr>
            </w:pPr>
            <w:r>
              <w:rPr>
                <w:sz w:val="24"/>
              </w:rPr>
              <w:t>412.50</w:t>
            </w:r>
          </w:p>
        </w:tc>
      </w:tr>
      <w:tr>
        <w:trPr>
          <w:trHeight w:val="395" w:hRule="atLeast"/>
        </w:trPr>
        <w:tc>
          <w:tcPr>
            <w:tcW w:w="479" w:type="dxa"/>
            <w:vMerge/>
            <w:tcBorders>
              <w:top w:val="nil"/>
            </w:tcBorders>
          </w:tcPr>
          <w:p>
            <w:pPr>
              <w:rPr>
                <w:sz w:val="2"/>
                <w:szCs w:val="2"/>
              </w:rPr>
            </w:pPr>
          </w:p>
        </w:tc>
        <w:tc>
          <w:tcPr>
            <w:tcW w:w="5653" w:type="dxa"/>
          </w:tcPr>
          <w:p>
            <w:pPr>
              <w:pStyle w:val="TableParagraph"/>
              <w:spacing w:before="56"/>
              <w:ind w:left="1373"/>
              <w:rPr>
                <w:sz w:val="24"/>
              </w:rPr>
            </w:pPr>
            <w:r>
              <w:rPr>
                <w:sz w:val="24"/>
              </w:rPr>
              <w:t>d) Hasta 400 personas</w:t>
            </w:r>
          </w:p>
        </w:tc>
        <w:tc>
          <w:tcPr>
            <w:tcW w:w="3410" w:type="dxa"/>
          </w:tcPr>
          <w:p>
            <w:pPr>
              <w:pStyle w:val="TableParagraph"/>
              <w:spacing w:before="56"/>
              <w:ind w:left="77" w:right="88"/>
              <w:jc w:val="center"/>
              <w:rPr>
                <w:sz w:val="24"/>
              </w:rPr>
            </w:pPr>
            <w:r>
              <w:rPr>
                <w:sz w:val="24"/>
              </w:rPr>
              <w:t>464.29</w:t>
            </w:r>
          </w:p>
        </w:tc>
      </w:tr>
      <w:tr>
        <w:trPr>
          <w:trHeight w:val="396" w:hRule="atLeast"/>
        </w:trPr>
        <w:tc>
          <w:tcPr>
            <w:tcW w:w="479" w:type="dxa"/>
            <w:vMerge/>
            <w:tcBorders>
              <w:top w:val="nil"/>
            </w:tcBorders>
          </w:tcPr>
          <w:p>
            <w:pPr>
              <w:rPr>
                <w:sz w:val="2"/>
                <w:szCs w:val="2"/>
              </w:rPr>
            </w:pPr>
          </w:p>
        </w:tc>
        <w:tc>
          <w:tcPr>
            <w:tcW w:w="5653" w:type="dxa"/>
          </w:tcPr>
          <w:p>
            <w:pPr>
              <w:pStyle w:val="TableParagraph"/>
              <w:spacing w:before="56"/>
              <w:ind w:left="1373"/>
              <w:rPr>
                <w:sz w:val="24"/>
              </w:rPr>
            </w:pPr>
            <w:r>
              <w:rPr>
                <w:sz w:val="24"/>
              </w:rPr>
              <w:t>e) Hasta 500 personas</w:t>
            </w:r>
          </w:p>
        </w:tc>
        <w:tc>
          <w:tcPr>
            <w:tcW w:w="3410" w:type="dxa"/>
          </w:tcPr>
          <w:p>
            <w:pPr>
              <w:pStyle w:val="TableParagraph"/>
              <w:spacing w:before="56"/>
              <w:ind w:left="77" w:right="88"/>
              <w:jc w:val="center"/>
              <w:rPr>
                <w:sz w:val="24"/>
              </w:rPr>
            </w:pPr>
            <w:r>
              <w:rPr>
                <w:sz w:val="24"/>
              </w:rPr>
              <w:t>515.18</w:t>
            </w:r>
          </w:p>
        </w:tc>
      </w:tr>
      <w:tr>
        <w:trPr>
          <w:trHeight w:val="396" w:hRule="atLeast"/>
        </w:trPr>
        <w:tc>
          <w:tcPr>
            <w:tcW w:w="479" w:type="dxa"/>
            <w:vMerge/>
            <w:tcBorders>
              <w:top w:val="nil"/>
            </w:tcBorders>
          </w:tcPr>
          <w:p>
            <w:pPr>
              <w:rPr>
                <w:sz w:val="2"/>
                <w:szCs w:val="2"/>
              </w:rPr>
            </w:pPr>
          </w:p>
        </w:tc>
        <w:tc>
          <w:tcPr>
            <w:tcW w:w="5653" w:type="dxa"/>
          </w:tcPr>
          <w:p>
            <w:pPr>
              <w:pStyle w:val="TableParagraph"/>
              <w:tabs>
                <w:tab w:pos="1733" w:val="left" w:leader="none"/>
              </w:tabs>
              <w:spacing w:before="56"/>
              <w:ind w:left="1373"/>
              <w:rPr>
                <w:sz w:val="24"/>
              </w:rPr>
            </w:pPr>
            <w:r>
              <w:rPr>
                <w:sz w:val="24"/>
              </w:rPr>
              <w:t>f)</w:t>
              <w:tab/>
              <w:t>Hasta 1000</w:t>
            </w:r>
            <w:r>
              <w:rPr>
                <w:spacing w:val="-3"/>
                <w:sz w:val="24"/>
              </w:rPr>
              <w:t> </w:t>
            </w:r>
            <w:r>
              <w:rPr>
                <w:sz w:val="24"/>
              </w:rPr>
              <w:t>personas</w:t>
            </w:r>
          </w:p>
        </w:tc>
        <w:tc>
          <w:tcPr>
            <w:tcW w:w="3410" w:type="dxa"/>
          </w:tcPr>
          <w:p>
            <w:pPr>
              <w:pStyle w:val="TableParagraph"/>
              <w:spacing w:before="56"/>
              <w:ind w:left="77" w:right="88"/>
              <w:jc w:val="center"/>
              <w:rPr>
                <w:sz w:val="24"/>
              </w:rPr>
            </w:pPr>
            <w:r>
              <w:rPr>
                <w:sz w:val="24"/>
              </w:rPr>
              <w:t>618.75</w:t>
            </w:r>
          </w:p>
        </w:tc>
      </w:tr>
      <w:tr>
        <w:trPr>
          <w:trHeight w:val="422" w:hRule="atLeast"/>
        </w:trPr>
        <w:tc>
          <w:tcPr>
            <w:tcW w:w="479" w:type="dxa"/>
            <w:vMerge/>
            <w:tcBorders>
              <w:top w:val="nil"/>
            </w:tcBorders>
          </w:tcPr>
          <w:p>
            <w:pPr>
              <w:rPr>
                <w:sz w:val="2"/>
                <w:szCs w:val="2"/>
              </w:rPr>
            </w:pPr>
          </w:p>
        </w:tc>
        <w:tc>
          <w:tcPr>
            <w:tcW w:w="5653" w:type="dxa"/>
          </w:tcPr>
          <w:p>
            <w:pPr>
              <w:pStyle w:val="TableParagraph"/>
              <w:spacing w:before="56"/>
              <w:ind w:left="1373"/>
              <w:rPr>
                <w:sz w:val="24"/>
              </w:rPr>
            </w:pPr>
            <w:r>
              <w:rPr>
                <w:sz w:val="24"/>
              </w:rPr>
              <w:t>g) Por cada 1000 personas</w:t>
            </w:r>
          </w:p>
        </w:tc>
        <w:tc>
          <w:tcPr>
            <w:tcW w:w="3410" w:type="dxa"/>
          </w:tcPr>
          <w:p>
            <w:pPr>
              <w:pStyle w:val="TableParagraph"/>
              <w:spacing w:before="56"/>
              <w:ind w:left="77" w:right="88"/>
              <w:jc w:val="center"/>
              <w:rPr>
                <w:sz w:val="24"/>
              </w:rPr>
            </w:pPr>
            <w:r>
              <w:rPr>
                <w:sz w:val="24"/>
              </w:rPr>
              <w:t>722.32</w:t>
            </w:r>
          </w:p>
        </w:tc>
      </w:tr>
      <w:tr>
        <w:trPr>
          <w:trHeight w:val="910" w:hRule="atLeast"/>
        </w:trPr>
        <w:tc>
          <w:tcPr>
            <w:tcW w:w="479" w:type="dxa"/>
          </w:tcPr>
          <w:p>
            <w:pPr>
              <w:pStyle w:val="TableParagraph"/>
              <w:spacing w:before="82"/>
              <w:ind w:left="50"/>
              <w:rPr>
                <w:b/>
                <w:sz w:val="24"/>
              </w:rPr>
            </w:pPr>
            <w:r>
              <w:rPr>
                <w:b/>
                <w:sz w:val="24"/>
              </w:rPr>
              <w:t>VI.</w:t>
            </w:r>
          </w:p>
        </w:tc>
        <w:tc>
          <w:tcPr>
            <w:tcW w:w="5653" w:type="dxa"/>
          </w:tcPr>
          <w:p>
            <w:pPr>
              <w:pStyle w:val="TableParagraph"/>
              <w:spacing w:line="270" w:lineRule="atLeast" w:before="82"/>
              <w:ind w:left="139" w:right="33"/>
              <w:jc w:val="both"/>
              <w:rPr>
                <w:sz w:val="24"/>
              </w:rPr>
            </w:pPr>
            <w:r>
              <w:rPr>
                <w:sz w:val="24"/>
              </w:rPr>
              <w:t>Todos los comercios fijos, semifijos y ambulantes, 20 kilos de basura o desperdicios contaminantes convenio y pagarán mensualmente.</w:t>
            </w:r>
          </w:p>
        </w:tc>
        <w:tc>
          <w:tcPr>
            <w:tcW w:w="3410" w:type="dxa"/>
          </w:tcPr>
          <w:p>
            <w:pPr>
              <w:pStyle w:val="TableParagraph"/>
              <w:spacing w:line="270" w:lineRule="atLeast" w:before="82"/>
              <w:ind w:left="79" w:right="88"/>
              <w:jc w:val="center"/>
              <w:rPr>
                <w:sz w:val="24"/>
              </w:rPr>
            </w:pPr>
            <w:r>
              <w:rPr>
                <w:sz w:val="24"/>
              </w:rPr>
              <w:t>los cuales no generen más de por día, deberán adherirse al 159.50</w:t>
            </w:r>
          </w:p>
        </w:tc>
      </w:tr>
    </w:tbl>
    <w:p>
      <w:pPr>
        <w:pStyle w:val="BodyText"/>
        <w:rPr>
          <w:sz w:val="16"/>
        </w:rPr>
      </w:pPr>
    </w:p>
    <w:p>
      <w:pPr>
        <w:pStyle w:val="Heading1"/>
        <w:spacing w:before="92"/>
        <w:ind w:left="1247" w:right="649"/>
        <w:jc w:val="center"/>
      </w:pPr>
      <w:r>
        <w:rPr/>
        <w:drawing>
          <wp:anchor distT="0" distB="0" distL="0" distR="0" allowOverlap="1" layoutInCell="1" locked="0" behindDoc="1" simplePos="0" relativeHeight="227490816">
            <wp:simplePos x="0" y="0"/>
            <wp:positionH relativeFrom="page">
              <wp:posOffset>1252555</wp:posOffset>
            </wp:positionH>
            <wp:positionV relativeFrom="paragraph">
              <wp:posOffset>-1151815</wp:posOffset>
            </wp:positionV>
            <wp:extent cx="5022641" cy="5144769"/>
            <wp:effectExtent l="0" t="0" r="0" b="0"/>
            <wp:wrapNone/>
            <wp:docPr id="47" name="image18.png"/>
            <wp:cNvGraphicFramePr>
              <a:graphicFrameLocks noChangeAspect="1"/>
            </wp:cNvGraphicFramePr>
            <a:graphic>
              <a:graphicData uri="http://schemas.openxmlformats.org/drawingml/2006/picture">
                <pic:pic>
                  <pic:nvPicPr>
                    <pic:cNvPr id="48" name="image18.png"/>
                    <pic:cNvPicPr/>
                  </pic:nvPicPr>
                  <pic:blipFill>
                    <a:blip r:embed="rId28" cstate="print"/>
                    <a:stretch>
                      <a:fillRect/>
                    </a:stretch>
                  </pic:blipFill>
                  <pic:spPr>
                    <a:xfrm>
                      <a:off x="0" y="0"/>
                      <a:ext cx="5022641" cy="5144769"/>
                    </a:xfrm>
                    <a:prstGeom prst="rect">
                      <a:avLst/>
                    </a:prstGeom>
                  </pic:spPr>
                </pic:pic>
              </a:graphicData>
            </a:graphic>
          </wp:anchor>
        </w:drawing>
      </w:r>
      <w:r>
        <w:rPr/>
        <w:t>Capítulo Quinto</w:t>
      </w:r>
    </w:p>
    <w:p>
      <w:pPr>
        <w:spacing w:before="0"/>
        <w:ind w:left="1078" w:right="488" w:firstLine="0"/>
        <w:jc w:val="center"/>
        <w:rPr>
          <w:b/>
          <w:sz w:val="24"/>
        </w:rPr>
      </w:pPr>
      <w:r>
        <w:rPr>
          <w:b/>
          <w:sz w:val="24"/>
        </w:rPr>
        <w:t>Servicios de Poda, Tala de árboles y Recolección de Residuos Vegetales</w:t>
      </w:r>
    </w:p>
    <w:p>
      <w:pPr>
        <w:pStyle w:val="BodyText"/>
        <w:rPr>
          <w:b/>
        </w:rPr>
      </w:pPr>
    </w:p>
    <w:p>
      <w:pPr>
        <w:pStyle w:val="BodyText"/>
        <w:ind w:left="400" w:right="439"/>
        <w:jc w:val="both"/>
      </w:pPr>
      <w:r>
        <w:rPr>
          <w:b/>
        </w:rPr>
        <w:t>Artículo 17.- </w:t>
      </w:r>
      <w:r>
        <w:rPr/>
        <w:t>Las personas físicas o morales que soliciten la tala o poda de árboles y la recolección de residuos vegetales en el interior de domicilios particulares e instituciones públicas así como en área de banqueta pagarán los derechos correspondientes conforme a lo</w:t>
      </w:r>
      <w:r>
        <w:rPr>
          <w:spacing w:val="-1"/>
        </w:rPr>
        <w:t> </w:t>
      </w:r>
      <w:r>
        <w:rPr/>
        <w:t>siguiente:</w:t>
      </w:r>
    </w:p>
    <w:p>
      <w:pPr>
        <w:pStyle w:val="BodyText"/>
        <w:spacing w:before="8"/>
      </w:pP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0"/>
        <w:gridCol w:w="2145"/>
      </w:tblGrid>
      <w:tr>
        <w:trPr>
          <w:trHeight w:val="884" w:hRule="atLeast"/>
        </w:trPr>
        <w:tc>
          <w:tcPr>
            <w:tcW w:w="6210" w:type="dxa"/>
          </w:tcPr>
          <w:p>
            <w:pPr>
              <w:pStyle w:val="TableParagraph"/>
              <w:spacing w:line="268" w:lineRule="exact"/>
              <w:ind w:left="2080" w:right="2982"/>
              <w:jc w:val="center"/>
              <w:rPr>
                <w:b/>
                <w:sz w:val="24"/>
              </w:rPr>
            </w:pPr>
            <w:r>
              <w:rPr>
                <w:b/>
                <w:sz w:val="24"/>
              </w:rPr>
              <w:t>Concepto</w:t>
            </w:r>
          </w:p>
          <w:p>
            <w:pPr>
              <w:pStyle w:val="TableParagraph"/>
              <w:rPr>
                <w:sz w:val="24"/>
              </w:rPr>
            </w:pPr>
          </w:p>
          <w:p>
            <w:pPr>
              <w:pStyle w:val="TableParagraph"/>
              <w:tabs>
                <w:tab w:pos="409" w:val="left" w:leader="none"/>
              </w:tabs>
              <w:ind w:left="50"/>
              <w:rPr>
                <w:sz w:val="24"/>
              </w:rPr>
            </w:pPr>
            <w:r>
              <w:rPr>
                <w:sz w:val="24"/>
              </w:rPr>
              <w:t>I.</w:t>
              <w:tab/>
              <w:t>Poda de árboles a domicilios</w:t>
            </w:r>
            <w:r>
              <w:rPr>
                <w:spacing w:val="-7"/>
                <w:sz w:val="24"/>
              </w:rPr>
              <w:t> </w:t>
            </w:r>
            <w:r>
              <w:rPr>
                <w:sz w:val="24"/>
              </w:rPr>
              <w:t>particulares:</w:t>
            </w:r>
          </w:p>
        </w:tc>
        <w:tc>
          <w:tcPr>
            <w:tcW w:w="2145" w:type="dxa"/>
          </w:tcPr>
          <w:p>
            <w:pPr>
              <w:pStyle w:val="TableParagraph"/>
              <w:spacing w:line="268" w:lineRule="exact"/>
              <w:ind w:right="49"/>
              <w:jc w:val="right"/>
              <w:rPr>
                <w:b/>
                <w:sz w:val="24"/>
              </w:rPr>
            </w:pPr>
            <w:r>
              <w:rPr>
                <w:b/>
                <w:w w:val="95"/>
                <w:sz w:val="24"/>
              </w:rPr>
              <w:t>Pesos</w:t>
            </w:r>
          </w:p>
        </w:tc>
      </w:tr>
      <w:tr>
        <w:trPr>
          <w:trHeight w:val="396" w:hRule="atLeast"/>
        </w:trPr>
        <w:tc>
          <w:tcPr>
            <w:tcW w:w="6210" w:type="dxa"/>
          </w:tcPr>
          <w:p>
            <w:pPr>
              <w:pStyle w:val="TableParagraph"/>
              <w:spacing w:before="56"/>
              <w:ind w:left="90"/>
              <w:rPr>
                <w:sz w:val="24"/>
              </w:rPr>
            </w:pPr>
            <w:r>
              <w:rPr>
                <w:sz w:val="24"/>
              </w:rPr>
              <w:t>a) De 0.01 a 3.00 mts.</w:t>
            </w:r>
          </w:p>
        </w:tc>
        <w:tc>
          <w:tcPr>
            <w:tcW w:w="2145" w:type="dxa"/>
          </w:tcPr>
          <w:p>
            <w:pPr>
              <w:pStyle w:val="TableParagraph"/>
              <w:spacing w:before="56"/>
              <w:ind w:right="49"/>
              <w:jc w:val="right"/>
              <w:rPr>
                <w:sz w:val="24"/>
              </w:rPr>
            </w:pPr>
            <w:r>
              <w:rPr>
                <w:sz w:val="24"/>
              </w:rPr>
              <w:t>152.68</w:t>
            </w:r>
          </w:p>
        </w:tc>
      </w:tr>
      <w:tr>
        <w:trPr>
          <w:trHeight w:val="395" w:hRule="atLeast"/>
        </w:trPr>
        <w:tc>
          <w:tcPr>
            <w:tcW w:w="6210" w:type="dxa"/>
          </w:tcPr>
          <w:p>
            <w:pPr>
              <w:pStyle w:val="TableParagraph"/>
              <w:spacing w:before="56"/>
              <w:ind w:left="90"/>
              <w:rPr>
                <w:sz w:val="24"/>
              </w:rPr>
            </w:pPr>
            <w:r>
              <w:rPr>
                <w:sz w:val="24"/>
              </w:rPr>
              <w:t>b) De 3.01 a 6.00 mts.</w:t>
            </w:r>
          </w:p>
        </w:tc>
        <w:tc>
          <w:tcPr>
            <w:tcW w:w="2145" w:type="dxa"/>
          </w:tcPr>
          <w:p>
            <w:pPr>
              <w:pStyle w:val="TableParagraph"/>
              <w:spacing w:before="56"/>
              <w:ind w:right="49"/>
              <w:jc w:val="right"/>
              <w:rPr>
                <w:sz w:val="24"/>
              </w:rPr>
            </w:pPr>
            <w:r>
              <w:rPr>
                <w:sz w:val="24"/>
              </w:rPr>
              <w:t>382.14</w:t>
            </w:r>
          </w:p>
        </w:tc>
      </w:tr>
      <w:tr>
        <w:trPr>
          <w:trHeight w:val="396" w:hRule="atLeast"/>
        </w:trPr>
        <w:tc>
          <w:tcPr>
            <w:tcW w:w="6210" w:type="dxa"/>
          </w:tcPr>
          <w:p>
            <w:pPr>
              <w:pStyle w:val="TableParagraph"/>
              <w:spacing w:before="56"/>
              <w:ind w:left="90"/>
              <w:rPr>
                <w:sz w:val="24"/>
              </w:rPr>
            </w:pPr>
            <w:r>
              <w:rPr>
                <w:sz w:val="24"/>
              </w:rPr>
              <w:t>c) De 6.01 a 9.00 mts</w:t>
            </w:r>
          </w:p>
        </w:tc>
        <w:tc>
          <w:tcPr>
            <w:tcW w:w="2145" w:type="dxa"/>
          </w:tcPr>
          <w:p>
            <w:pPr>
              <w:pStyle w:val="TableParagraph"/>
              <w:spacing w:before="56"/>
              <w:ind w:right="49"/>
              <w:jc w:val="right"/>
              <w:rPr>
                <w:sz w:val="24"/>
              </w:rPr>
            </w:pPr>
            <w:r>
              <w:rPr>
                <w:sz w:val="24"/>
              </w:rPr>
              <w:t>535.71</w:t>
            </w:r>
          </w:p>
        </w:tc>
      </w:tr>
      <w:tr>
        <w:trPr>
          <w:trHeight w:val="396" w:hRule="atLeast"/>
        </w:trPr>
        <w:tc>
          <w:tcPr>
            <w:tcW w:w="6210" w:type="dxa"/>
          </w:tcPr>
          <w:p>
            <w:pPr>
              <w:pStyle w:val="TableParagraph"/>
              <w:spacing w:before="56"/>
              <w:ind w:left="90"/>
              <w:rPr>
                <w:sz w:val="24"/>
              </w:rPr>
            </w:pPr>
            <w:r>
              <w:rPr>
                <w:sz w:val="24"/>
              </w:rPr>
              <w:t>d) De 9.01 a 12.00 mts.</w:t>
            </w:r>
          </w:p>
        </w:tc>
        <w:tc>
          <w:tcPr>
            <w:tcW w:w="2145" w:type="dxa"/>
          </w:tcPr>
          <w:p>
            <w:pPr>
              <w:pStyle w:val="TableParagraph"/>
              <w:spacing w:before="56"/>
              <w:ind w:right="49"/>
              <w:jc w:val="right"/>
              <w:rPr>
                <w:sz w:val="24"/>
              </w:rPr>
            </w:pPr>
            <w:r>
              <w:rPr>
                <w:sz w:val="24"/>
              </w:rPr>
              <w:t>677.68</w:t>
            </w:r>
          </w:p>
        </w:tc>
      </w:tr>
      <w:tr>
        <w:trPr>
          <w:trHeight w:val="593" w:hRule="atLeast"/>
        </w:trPr>
        <w:tc>
          <w:tcPr>
            <w:tcW w:w="6210" w:type="dxa"/>
          </w:tcPr>
          <w:p>
            <w:pPr>
              <w:pStyle w:val="TableParagraph"/>
              <w:spacing w:before="56"/>
              <w:ind w:left="90"/>
              <w:rPr>
                <w:sz w:val="24"/>
              </w:rPr>
            </w:pPr>
            <w:r>
              <w:rPr>
                <w:sz w:val="24"/>
              </w:rPr>
              <w:t>e) De 12.01 a 15 mts.</w:t>
            </w:r>
          </w:p>
        </w:tc>
        <w:tc>
          <w:tcPr>
            <w:tcW w:w="2145" w:type="dxa"/>
          </w:tcPr>
          <w:p>
            <w:pPr>
              <w:pStyle w:val="TableParagraph"/>
              <w:spacing w:before="56"/>
              <w:ind w:right="49"/>
              <w:jc w:val="right"/>
              <w:rPr>
                <w:sz w:val="24"/>
              </w:rPr>
            </w:pPr>
            <w:r>
              <w:rPr>
                <w:sz w:val="24"/>
              </w:rPr>
              <w:t>849.11</w:t>
            </w:r>
          </w:p>
        </w:tc>
      </w:tr>
      <w:tr>
        <w:trPr>
          <w:trHeight w:val="990" w:hRule="atLeast"/>
        </w:trPr>
        <w:tc>
          <w:tcPr>
            <w:tcW w:w="6210" w:type="dxa"/>
          </w:tcPr>
          <w:p>
            <w:pPr>
              <w:pStyle w:val="TableParagraph"/>
              <w:spacing w:line="390" w:lineRule="atLeast" w:before="140"/>
              <w:ind w:left="153" w:right="1325" w:hanging="104"/>
              <w:rPr>
                <w:sz w:val="24"/>
              </w:rPr>
            </w:pPr>
            <w:r>
              <w:rPr>
                <w:sz w:val="24"/>
              </w:rPr>
              <w:t>II. Tala de árboles a domicilios particulares De 0.01 a 3.00 mts</w:t>
            </w:r>
          </w:p>
        </w:tc>
        <w:tc>
          <w:tcPr>
            <w:tcW w:w="2145" w:type="dxa"/>
          </w:tcPr>
          <w:p>
            <w:pPr>
              <w:pStyle w:val="TableParagraph"/>
              <w:rPr>
                <w:sz w:val="26"/>
              </w:rPr>
            </w:pPr>
          </w:p>
          <w:p>
            <w:pPr>
              <w:pStyle w:val="TableParagraph"/>
              <w:spacing w:before="6"/>
              <w:rPr>
                <w:sz w:val="30"/>
              </w:rPr>
            </w:pPr>
          </w:p>
          <w:p>
            <w:pPr>
              <w:pStyle w:val="TableParagraph"/>
              <w:ind w:right="49"/>
              <w:jc w:val="right"/>
              <w:rPr>
                <w:sz w:val="24"/>
              </w:rPr>
            </w:pPr>
            <w:r>
              <w:rPr>
                <w:sz w:val="24"/>
              </w:rPr>
              <w:t>152.68</w:t>
            </w:r>
          </w:p>
        </w:tc>
      </w:tr>
      <w:tr>
        <w:trPr>
          <w:trHeight w:val="396" w:hRule="atLeast"/>
        </w:trPr>
        <w:tc>
          <w:tcPr>
            <w:tcW w:w="6210" w:type="dxa"/>
          </w:tcPr>
          <w:p>
            <w:pPr>
              <w:pStyle w:val="TableParagraph"/>
              <w:spacing w:before="56"/>
              <w:ind w:left="153"/>
              <w:rPr>
                <w:sz w:val="24"/>
              </w:rPr>
            </w:pPr>
            <w:r>
              <w:rPr>
                <w:sz w:val="24"/>
              </w:rPr>
              <w:t>De 3.01 a 6.00 mts.</w:t>
            </w:r>
          </w:p>
        </w:tc>
        <w:tc>
          <w:tcPr>
            <w:tcW w:w="2145" w:type="dxa"/>
          </w:tcPr>
          <w:p>
            <w:pPr>
              <w:pStyle w:val="TableParagraph"/>
              <w:spacing w:before="56"/>
              <w:ind w:right="49"/>
              <w:jc w:val="right"/>
              <w:rPr>
                <w:sz w:val="24"/>
              </w:rPr>
            </w:pPr>
            <w:r>
              <w:rPr>
                <w:sz w:val="24"/>
              </w:rPr>
              <w:t>382.14</w:t>
            </w:r>
          </w:p>
        </w:tc>
      </w:tr>
      <w:tr>
        <w:trPr>
          <w:trHeight w:val="396" w:hRule="atLeast"/>
        </w:trPr>
        <w:tc>
          <w:tcPr>
            <w:tcW w:w="6210" w:type="dxa"/>
          </w:tcPr>
          <w:p>
            <w:pPr>
              <w:pStyle w:val="TableParagraph"/>
              <w:spacing w:before="56"/>
              <w:ind w:left="153"/>
              <w:rPr>
                <w:sz w:val="24"/>
              </w:rPr>
            </w:pPr>
            <w:r>
              <w:rPr>
                <w:sz w:val="24"/>
              </w:rPr>
              <w:t>De 6.01 a 9.00 mts</w:t>
            </w:r>
          </w:p>
        </w:tc>
        <w:tc>
          <w:tcPr>
            <w:tcW w:w="2145" w:type="dxa"/>
          </w:tcPr>
          <w:p>
            <w:pPr>
              <w:pStyle w:val="TableParagraph"/>
              <w:spacing w:before="56"/>
              <w:ind w:right="49"/>
              <w:jc w:val="right"/>
              <w:rPr>
                <w:sz w:val="24"/>
              </w:rPr>
            </w:pPr>
            <w:r>
              <w:rPr>
                <w:sz w:val="24"/>
              </w:rPr>
              <w:t>535.71</w:t>
            </w:r>
          </w:p>
        </w:tc>
      </w:tr>
      <w:tr>
        <w:trPr>
          <w:trHeight w:val="396" w:hRule="atLeast"/>
        </w:trPr>
        <w:tc>
          <w:tcPr>
            <w:tcW w:w="6210" w:type="dxa"/>
          </w:tcPr>
          <w:p>
            <w:pPr>
              <w:pStyle w:val="TableParagraph"/>
              <w:spacing w:before="56"/>
              <w:ind w:left="153"/>
              <w:rPr>
                <w:sz w:val="24"/>
              </w:rPr>
            </w:pPr>
            <w:r>
              <w:rPr>
                <w:sz w:val="24"/>
              </w:rPr>
              <w:t>De 9.01 a 12.00 mts.</w:t>
            </w:r>
          </w:p>
        </w:tc>
        <w:tc>
          <w:tcPr>
            <w:tcW w:w="2145" w:type="dxa"/>
          </w:tcPr>
          <w:p>
            <w:pPr>
              <w:pStyle w:val="TableParagraph"/>
              <w:spacing w:before="56"/>
              <w:ind w:right="49"/>
              <w:jc w:val="right"/>
              <w:rPr>
                <w:sz w:val="24"/>
              </w:rPr>
            </w:pPr>
            <w:r>
              <w:rPr>
                <w:sz w:val="24"/>
              </w:rPr>
              <w:t>677.68</w:t>
            </w:r>
          </w:p>
        </w:tc>
      </w:tr>
      <w:tr>
        <w:trPr>
          <w:trHeight w:val="593" w:hRule="atLeast"/>
        </w:trPr>
        <w:tc>
          <w:tcPr>
            <w:tcW w:w="6210" w:type="dxa"/>
          </w:tcPr>
          <w:p>
            <w:pPr>
              <w:pStyle w:val="TableParagraph"/>
              <w:spacing w:before="56"/>
              <w:ind w:left="153"/>
              <w:rPr>
                <w:sz w:val="24"/>
              </w:rPr>
            </w:pPr>
            <w:r>
              <w:rPr>
                <w:sz w:val="24"/>
              </w:rPr>
              <w:t>De 12.01 a 15 mts.</w:t>
            </w:r>
          </w:p>
        </w:tc>
        <w:tc>
          <w:tcPr>
            <w:tcW w:w="2145" w:type="dxa"/>
          </w:tcPr>
          <w:p>
            <w:pPr>
              <w:pStyle w:val="TableParagraph"/>
              <w:spacing w:before="56"/>
              <w:ind w:right="49"/>
              <w:jc w:val="right"/>
              <w:rPr>
                <w:sz w:val="24"/>
              </w:rPr>
            </w:pPr>
            <w:r>
              <w:rPr>
                <w:sz w:val="24"/>
              </w:rPr>
              <w:t>849.11</w:t>
            </w:r>
          </w:p>
        </w:tc>
      </w:tr>
      <w:tr>
        <w:trPr>
          <w:trHeight w:val="989" w:hRule="atLeast"/>
        </w:trPr>
        <w:tc>
          <w:tcPr>
            <w:tcW w:w="6210" w:type="dxa"/>
          </w:tcPr>
          <w:p>
            <w:pPr>
              <w:pStyle w:val="TableParagraph"/>
              <w:spacing w:line="390" w:lineRule="atLeast" w:before="140"/>
              <w:ind w:left="117" w:right="1631" w:hanging="68"/>
              <w:rPr>
                <w:sz w:val="24"/>
              </w:rPr>
            </w:pPr>
            <w:r>
              <w:rPr>
                <w:sz w:val="24"/>
              </w:rPr>
              <w:t>III. Recolección de Residuos Vegetales: De 0.1 a 100 kg</w:t>
            </w:r>
          </w:p>
        </w:tc>
        <w:tc>
          <w:tcPr>
            <w:tcW w:w="2145" w:type="dxa"/>
          </w:tcPr>
          <w:p>
            <w:pPr>
              <w:pStyle w:val="TableParagraph"/>
              <w:rPr>
                <w:sz w:val="26"/>
              </w:rPr>
            </w:pPr>
          </w:p>
          <w:p>
            <w:pPr>
              <w:pStyle w:val="TableParagraph"/>
              <w:spacing w:before="6"/>
              <w:rPr>
                <w:sz w:val="30"/>
              </w:rPr>
            </w:pPr>
          </w:p>
          <w:p>
            <w:pPr>
              <w:pStyle w:val="TableParagraph"/>
              <w:ind w:right="49"/>
              <w:jc w:val="right"/>
              <w:rPr>
                <w:sz w:val="24"/>
              </w:rPr>
            </w:pPr>
            <w:r>
              <w:rPr>
                <w:sz w:val="24"/>
              </w:rPr>
              <w:t>75.00</w:t>
            </w:r>
          </w:p>
        </w:tc>
      </w:tr>
      <w:tr>
        <w:trPr>
          <w:trHeight w:val="332" w:hRule="atLeast"/>
        </w:trPr>
        <w:tc>
          <w:tcPr>
            <w:tcW w:w="6210" w:type="dxa"/>
          </w:tcPr>
          <w:p>
            <w:pPr>
              <w:pStyle w:val="TableParagraph"/>
              <w:spacing w:line="256" w:lineRule="exact" w:before="56"/>
              <w:ind w:left="117"/>
              <w:rPr>
                <w:sz w:val="24"/>
              </w:rPr>
            </w:pPr>
            <w:r>
              <w:rPr>
                <w:sz w:val="24"/>
              </w:rPr>
              <w:t>De 101 a 300 kg</w:t>
            </w:r>
          </w:p>
        </w:tc>
        <w:tc>
          <w:tcPr>
            <w:tcW w:w="2145" w:type="dxa"/>
          </w:tcPr>
          <w:p>
            <w:pPr>
              <w:pStyle w:val="TableParagraph"/>
              <w:spacing w:line="256" w:lineRule="exact" w:before="56"/>
              <w:ind w:right="49"/>
              <w:jc w:val="right"/>
              <w:rPr>
                <w:sz w:val="24"/>
              </w:rPr>
            </w:pPr>
            <w:r>
              <w:rPr>
                <w:sz w:val="24"/>
              </w:rPr>
              <w:t>382.14</w:t>
            </w:r>
          </w:p>
        </w:tc>
      </w:tr>
    </w:tbl>
    <w:p>
      <w:pPr>
        <w:spacing w:after="0" w:line="256" w:lineRule="exact"/>
        <w:jc w:val="right"/>
        <w:rPr>
          <w:sz w:val="24"/>
        </w:rPr>
        <w:sectPr>
          <w:pgSz w:w="12250" w:h="15850"/>
          <w:pgMar w:header="730" w:footer="0" w:top="1000" w:bottom="280" w:left="860" w:right="820"/>
        </w:sectPr>
      </w:pPr>
    </w:p>
    <w:p>
      <w:pPr>
        <w:pStyle w:val="BodyText"/>
        <w:tabs>
          <w:tab w:pos="9013" w:val="right" w:leader="none"/>
        </w:tabs>
        <w:spacing w:before="183"/>
        <w:ind w:left="827"/>
      </w:pPr>
      <w:r>
        <w:rPr/>
        <w:t>De 301 a</w:t>
      </w:r>
      <w:r>
        <w:rPr>
          <w:spacing w:val="-2"/>
        </w:rPr>
        <w:t> </w:t>
      </w:r>
      <w:r>
        <w:rPr/>
        <w:t>500</w:t>
      </w:r>
      <w:r>
        <w:rPr>
          <w:spacing w:val="-2"/>
        </w:rPr>
        <w:t> </w:t>
      </w:r>
      <w:r>
        <w:rPr/>
        <w:t>kg</w:t>
        <w:tab/>
        <w:t>535.71</w:t>
      </w:r>
    </w:p>
    <w:p>
      <w:pPr>
        <w:pStyle w:val="BodyText"/>
        <w:tabs>
          <w:tab w:pos="9013" w:val="right" w:leader="none"/>
        </w:tabs>
        <w:spacing w:before="120"/>
        <w:ind w:left="827"/>
      </w:pPr>
      <w:r>
        <w:rPr/>
        <w:t>De 501 a</w:t>
      </w:r>
      <w:r>
        <w:rPr>
          <w:spacing w:val="-2"/>
        </w:rPr>
        <w:t> </w:t>
      </w:r>
      <w:r>
        <w:rPr/>
        <w:t>1000 kg.</w:t>
        <w:tab/>
        <w:t>765.18</w:t>
      </w:r>
    </w:p>
    <w:p>
      <w:pPr>
        <w:pStyle w:val="BodyText"/>
        <w:tabs>
          <w:tab w:pos="9014" w:val="right" w:leader="none"/>
        </w:tabs>
        <w:spacing w:before="120"/>
        <w:ind w:left="400"/>
      </w:pPr>
      <w:r>
        <w:rPr/>
        <w:t>Por cada 100 kg.</w:t>
      </w:r>
      <w:r>
        <w:rPr>
          <w:spacing w:val="-1"/>
        </w:rPr>
        <w:t> </w:t>
      </w:r>
      <w:r>
        <w:rPr/>
        <w:t>de excedente</w:t>
        <w:tab/>
        <w:t>75.89</w:t>
      </w:r>
    </w:p>
    <w:p>
      <w:pPr>
        <w:pStyle w:val="BodyText"/>
      </w:pPr>
    </w:p>
    <w:p>
      <w:pPr>
        <w:pStyle w:val="Heading1"/>
        <w:ind w:left="4296" w:right="4328" w:firstLine="1"/>
        <w:jc w:val="center"/>
      </w:pPr>
      <w:r>
        <w:rPr/>
        <w:t>Capítulo Sexto Rastro Municipal</w:t>
      </w:r>
    </w:p>
    <w:p>
      <w:pPr>
        <w:pStyle w:val="BodyText"/>
        <w:rPr>
          <w:b/>
        </w:rPr>
      </w:pPr>
    </w:p>
    <w:p>
      <w:pPr>
        <w:pStyle w:val="BodyText"/>
        <w:ind w:left="400" w:right="431"/>
        <w:jc w:val="both"/>
      </w:pPr>
      <w:r>
        <w:rPr/>
        <w:drawing>
          <wp:anchor distT="0" distB="0" distL="0" distR="0" allowOverlap="1" layoutInCell="1" locked="0" behindDoc="1" simplePos="0" relativeHeight="227491840">
            <wp:simplePos x="0" y="0"/>
            <wp:positionH relativeFrom="page">
              <wp:posOffset>1239220</wp:posOffset>
            </wp:positionH>
            <wp:positionV relativeFrom="paragraph">
              <wp:posOffset>-85142</wp:posOffset>
            </wp:positionV>
            <wp:extent cx="5022641" cy="5144769"/>
            <wp:effectExtent l="0" t="0" r="0" b="0"/>
            <wp:wrapNone/>
            <wp:docPr id="49" name="image19.png"/>
            <wp:cNvGraphicFramePr>
              <a:graphicFrameLocks noChangeAspect="1"/>
            </wp:cNvGraphicFramePr>
            <a:graphic>
              <a:graphicData uri="http://schemas.openxmlformats.org/drawingml/2006/picture">
                <pic:pic>
                  <pic:nvPicPr>
                    <pic:cNvPr id="50" name="image19.png"/>
                    <pic:cNvPicPr/>
                  </pic:nvPicPr>
                  <pic:blipFill>
                    <a:blip r:embed="rId29" cstate="print"/>
                    <a:stretch>
                      <a:fillRect/>
                    </a:stretch>
                  </pic:blipFill>
                  <pic:spPr>
                    <a:xfrm>
                      <a:off x="0" y="0"/>
                      <a:ext cx="5022641" cy="5144769"/>
                    </a:xfrm>
                    <a:prstGeom prst="rect">
                      <a:avLst/>
                    </a:prstGeom>
                  </pic:spPr>
                </pic:pic>
              </a:graphicData>
            </a:graphic>
          </wp:anchor>
        </w:drawing>
      </w:r>
      <w:r>
        <w:rPr>
          <w:b/>
        </w:rPr>
        <w:t>Artículo 18.- </w:t>
      </w:r>
      <w:r>
        <w:rPr/>
        <w:t>Las personas físicas o morales que realicen matanza de animales para consumo humano en el Rastro Municipal deberán pagar los derechos en forma anticipada, conforme a las siguientes tarifas:</w:t>
      </w:r>
    </w:p>
    <w:p>
      <w:pPr>
        <w:pStyle w:val="BodyText"/>
      </w:pPr>
    </w:p>
    <w:p>
      <w:pPr>
        <w:pStyle w:val="ListParagraph"/>
        <w:numPr>
          <w:ilvl w:val="0"/>
          <w:numId w:val="19"/>
        </w:numPr>
        <w:tabs>
          <w:tab w:pos="1253" w:val="left" w:leader="none"/>
        </w:tabs>
        <w:spacing w:line="240" w:lineRule="auto" w:before="1" w:after="0"/>
        <w:ind w:left="1252" w:right="440" w:hanging="569"/>
        <w:jc w:val="both"/>
        <w:rPr>
          <w:sz w:val="24"/>
        </w:rPr>
      </w:pPr>
      <w:r>
        <w:rPr>
          <w:sz w:val="24"/>
        </w:rPr>
        <w:t>Por los servicios prestados en el Rastro Municipal, se entenderán los que se relacionan con la autorización de la matanza dentro de sus instalaciones y el sellado de inspección sanitaria, por</w:t>
      </w:r>
      <w:r>
        <w:rPr>
          <w:spacing w:val="-7"/>
          <w:sz w:val="24"/>
        </w:rPr>
        <w:t> </w:t>
      </w:r>
      <w:r>
        <w:rPr>
          <w:sz w:val="24"/>
        </w:rPr>
        <w:t>cabeza:</w:t>
      </w:r>
    </w:p>
    <w:p>
      <w:pPr>
        <w:pStyle w:val="BodyText"/>
      </w:pPr>
    </w:p>
    <w:p>
      <w:pPr>
        <w:pStyle w:val="BodyText"/>
        <w:tabs>
          <w:tab w:pos="8506" w:val="left" w:leader="none"/>
        </w:tabs>
        <w:ind w:left="1250"/>
      </w:pPr>
      <w:r>
        <w:rPr/>
        <w:t>Tipo</w:t>
      </w:r>
      <w:r>
        <w:rPr>
          <w:spacing w:val="-2"/>
        </w:rPr>
        <w:t> </w:t>
      </w:r>
      <w:r>
        <w:rPr/>
        <w:t>de</w:t>
      </w:r>
      <w:r>
        <w:rPr>
          <w:spacing w:val="-3"/>
        </w:rPr>
        <w:t> </w:t>
      </w:r>
      <w:r>
        <w:rPr/>
        <w:t>Ganado</w:t>
        <w:tab/>
        <w:t>Pesos</w:t>
      </w:r>
    </w:p>
    <w:p>
      <w:pPr>
        <w:pStyle w:val="ListParagraph"/>
        <w:numPr>
          <w:ilvl w:val="1"/>
          <w:numId w:val="19"/>
        </w:numPr>
        <w:tabs>
          <w:tab w:pos="1718" w:val="left" w:leader="none"/>
          <w:tab w:pos="9272" w:val="right" w:leader="none"/>
        </w:tabs>
        <w:spacing w:line="240" w:lineRule="auto" w:before="53" w:after="0"/>
        <w:ind w:left="1717" w:right="0" w:hanging="269"/>
        <w:jc w:val="left"/>
        <w:rPr>
          <w:sz w:val="24"/>
        </w:rPr>
      </w:pPr>
      <w:r>
        <w:rPr>
          <w:sz w:val="24"/>
        </w:rPr>
        <w:t>Bovino</w:t>
        <w:tab/>
        <w:t>207.14</w:t>
      </w:r>
    </w:p>
    <w:p>
      <w:pPr>
        <w:pStyle w:val="ListParagraph"/>
        <w:numPr>
          <w:ilvl w:val="1"/>
          <w:numId w:val="19"/>
        </w:numPr>
        <w:tabs>
          <w:tab w:pos="1718" w:val="left" w:leader="none"/>
          <w:tab w:pos="9272" w:val="right" w:leader="none"/>
        </w:tabs>
        <w:spacing w:line="240" w:lineRule="auto" w:before="115" w:after="0"/>
        <w:ind w:left="1717" w:right="0" w:hanging="269"/>
        <w:jc w:val="left"/>
        <w:rPr>
          <w:sz w:val="24"/>
        </w:rPr>
      </w:pPr>
      <w:r>
        <w:rPr>
          <w:sz w:val="24"/>
        </w:rPr>
        <w:t>Ternera</w:t>
        <w:tab/>
        <w:t>105.36</w:t>
      </w:r>
    </w:p>
    <w:p>
      <w:pPr>
        <w:pStyle w:val="ListParagraph"/>
        <w:numPr>
          <w:ilvl w:val="1"/>
          <w:numId w:val="19"/>
        </w:numPr>
        <w:tabs>
          <w:tab w:pos="1704" w:val="left" w:leader="none"/>
          <w:tab w:pos="9272" w:val="right" w:leader="none"/>
        </w:tabs>
        <w:spacing w:line="240" w:lineRule="auto" w:before="115" w:after="0"/>
        <w:ind w:left="1703" w:right="0" w:hanging="255"/>
        <w:jc w:val="left"/>
        <w:rPr>
          <w:sz w:val="24"/>
        </w:rPr>
      </w:pPr>
      <w:r>
        <w:rPr>
          <w:sz w:val="24"/>
        </w:rPr>
        <w:t>Porcino</w:t>
        <w:tab/>
        <w:t>120.54</w:t>
      </w:r>
    </w:p>
    <w:p>
      <w:pPr>
        <w:pStyle w:val="ListParagraph"/>
        <w:numPr>
          <w:ilvl w:val="1"/>
          <w:numId w:val="19"/>
        </w:numPr>
        <w:tabs>
          <w:tab w:pos="1718" w:val="left" w:leader="none"/>
          <w:tab w:pos="8672" w:val="left" w:leader="none"/>
        </w:tabs>
        <w:spacing w:line="240" w:lineRule="auto" w:before="116" w:after="0"/>
        <w:ind w:left="1717" w:right="0" w:hanging="269"/>
        <w:jc w:val="left"/>
        <w:rPr>
          <w:sz w:val="24"/>
        </w:rPr>
      </w:pPr>
      <w:r>
        <w:rPr>
          <w:sz w:val="24"/>
        </w:rPr>
        <w:t>Ovino</w:t>
        <w:tab/>
        <w:t>75.00</w:t>
      </w:r>
    </w:p>
    <w:p>
      <w:pPr>
        <w:pStyle w:val="ListParagraph"/>
        <w:numPr>
          <w:ilvl w:val="1"/>
          <w:numId w:val="19"/>
        </w:numPr>
        <w:tabs>
          <w:tab w:pos="1718" w:val="left" w:leader="none"/>
          <w:tab w:pos="8672" w:val="left" w:leader="none"/>
        </w:tabs>
        <w:spacing w:line="240" w:lineRule="auto" w:before="115" w:after="0"/>
        <w:ind w:left="1717" w:right="0" w:hanging="269"/>
        <w:jc w:val="left"/>
        <w:rPr>
          <w:sz w:val="24"/>
        </w:rPr>
      </w:pPr>
      <w:r>
        <w:rPr>
          <w:sz w:val="24"/>
        </w:rPr>
        <w:t>Caprino</w:t>
        <w:tab/>
        <w:t>75.00</w:t>
      </w:r>
    </w:p>
    <w:p>
      <w:pPr>
        <w:pStyle w:val="ListParagraph"/>
        <w:numPr>
          <w:ilvl w:val="1"/>
          <w:numId w:val="19"/>
        </w:numPr>
        <w:tabs>
          <w:tab w:pos="1651" w:val="left" w:leader="none"/>
          <w:tab w:pos="8672" w:val="left" w:leader="none"/>
        </w:tabs>
        <w:spacing w:line="240" w:lineRule="auto" w:before="115" w:after="0"/>
        <w:ind w:left="1650" w:right="0" w:hanging="202"/>
        <w:jc w:val="left"/>
        <w:rPr>
          <w:sz w:val="24"/>
        </w:rPr>
      </w:pPr>
      <w:r>
        <w:rPr>
          <w:sz w:val="24"/>
        </w:rPr>
        <w:t>Lechones</w:t>
        <w:tab/>
        <w:t>25.00</w:t>
      </w:r>
    </w:p>
    <w:p>
      <w:pPr>
        <w:pStyle w:val="ListParagraph"/>
        <w:numPr>
          <w:ilvl w:val="0"/>
          <w:numId w:val="19"/>
        </w:numPr>
        <w:tabs>
          <w:tab w:pos="1252" w:val="left" w:leader="none"/>
          <w:tab w:pos="1253" w:val="left" w:leader="none"/>
        </w:tabs>
        <w:spacing w:line="240" w:lineRule="auto" w:before="329" w:after="0"/>
        <w:ind w:left="1252" w:right="0" w:hanging="570"/>
        <w:jc w:val="left"/>
        <w:rPr>
          <w:sz w:val="24"/>
        </w:rPr>
      </w:pPr>
      <w:r>
        <w:rPr>
          <w:sz w:val="24"/>
        </w:rPr>
        <w:t>Por acarreo de carne en camiones del municipio, se</w:t>
      </w:r>
      <w:r>
        <w:rPr>
          <w:spacing w:val="-7"/>
          <w:sz w:val="24"/>
        </w:rPr>
        <w:t> </w:t>
      </w:r>
      <w:r>
        <w:rPr>
          <w:sz w:val="24"/>
        </w:rPr>
        <w:t>pagará:</w:t>
      </w:r>
    </w:p>
    <w:p>
      <w:pPr>
        <w:pStyle w:val="BodyText"/>
        <w:tabs>
          <w:tab w:pos="8381" w:val="left" w:leader="none"/>
        </w:tabs>
        <w:spacing w:before="276"/>
        <w:ind w:left="3542"/>
      </w:pPr>
      <w:r>
        <w:rPr/>
        <w:t>Concepto</w:t>
        <w:tab/>
        <w:t>Pesos</w:t>
      </w:r>
    </w:p>
    <w:p>
      <w:pPr>
        <w:pStyle w:val="ListParagraph"/>
        <w:numPr>
          <w:ilvl w:val="1"/>
          <w:numId w:val="19"/>
        </w:numPr>
        <w:tabs>
          <w:tab w:pos="2325" w:val="left" w:leader="none"/>
          <w:tab w:pos="2326" w:val="left" w:leader="none"/>
          <w:tab w:pos="8422" w:val="left" w:leader="none"/>
        </w:tabs>
        <w:spacing w:line="240" w:lineRule="auto" w:before="0" w:after="0"/>
        <w:ind w:left="2325" w:right="0" w:hanging="493"/>
        <w:jc w:val="left"/>
        <w:rPr>
          <w:sz w:val="24"/>
        </w:rPr>
      </w:pPr>
      <w:r>
        <w:rPr>
          <w:sz w:val="24"/>
        </w:rPr>
        <w:t>Por</w:t>
      </w:r>
      <w:r>
        <w:rPr>
          <w:spacing w:val="-1"/>
          <w:sz w:val="24"/>
        </w:rPr>
        <w:t> </w:t>
      </w:r>
      <w:r>
        <w:rPr>
          <w:sz w:val="24"/>
        </w:rPr>
        <w:t>cada</w:t>
      </w:r>
      <w:r>
        <w:rPr>
          <w:spacing w:val="-1"/>
          <w:sz w:val="24"/>
        </w:rPr>
        <w:t> </w:t>
      </w:r>
      <w:r>
        <w:rPr>
          <w:sz w:val="24"/>
        </w:rPr>
        <w:t>res</w:t>
        <w:tab/>
        <w:t>75.00</w:t>
      </w:r>
    </w:p>
    <w:p>
      <w:pPr>
        <w:pStyle w:val="ListParagraph"/>
        <w:numPr>
          <w:ilvl w:val="1"/>
          <w:numId w:val="19"/>
        </w:numPr>
        <w:tabs>
          <w:tab w:pos="2325" w:val="left" w:leader="none"/>
          <w:tab w:pos="2326" w:val="left" w:leader="none"/>
          <w:tab w:pos="9023" w:val="right" w:leader="none"/>
        </w:tabs>
        <w:spacing w:line="240" w:lineRule="auto" w:before="137" w:after="0"/>
        <w:ind w:left="2325" w:right="0" w:hanging="493"/>
        <w:jc w:val="left"/>
        <w:rPr>
          <w:sz w:val="24"/>
        </w:rPr>
      </w:pPr>
      <w:r>
        <w:rPr>
          <w:sz w:val="24"/>
        </w:rPr>
        <w:t>Por media res</w:t>
      </w:r>
      <w:r>
        <w:rPr>
          <w:spacing w:val="-4"/>
          <w:sz w:val="24"/>
        </w:rPr>
        <w:t> </w:t>
      </w:r>
      <w:r>
        <w:rPr>
          <w:sz w:val="24"/>
        </w:rPr>
        <w:t>o</w:t>
      </w:r>
      <w:r>
        <w:rPr>
          <w:spacing w:val="-1"/>
          <w:sz w:val="24"/>
        </w:rPr>
        <w:t> </w:t>
      </w:r>
      <w:r>
        <w:rPr>
          <w:sz w:val="24"/>
        </w:rPr>
        <w:t>fracción</w:t>
        <w:tab/>
        <w:t>51.79</w:t>
      </w:r>
    </w:p>
    <w:p>
      <w:pPr>
        <w:pStyle w:val="ListParagraph"/>
        <w:numPr>
          <w:ilvl w:val="1"/>
          <w:numId w:val="19"/>
        </w:numPr>
        <w:tabs>
          <w:tab w:pos="2325" w:val="left" w:leader="none"/>
          <w:tab w:pos="2326" w:val="left" w:leader="none"/>
          <w:tab w:pos="9023" w:val="right" w:leader="none"/>
        </w:tabs>
        <w:spacing w:line="240" w:lineRule="auto" w:before="139" w:after="0"/>
        <w:ind w:left="2325" w:right="0" w:hanging="493"/>
        <w:jc w:val="left"/>
        <w:rPr>
          <w:sz w:val="24"/>
        </w:rPr>
      </w:pPr>
      <w:r>
        <w:rPr>
          <w:sz w:val="24"/>
        </w:rPr>
        <w:t>Por</w:t>
      </w:r>
      <w:r>
        <w:rPr>
          <w:spacing w:val="-1"/>
          <w:sz w:val="24"/>
        </w:rPr>
        <w:t> </w:t>
      </w:r>
      <w:r>
        <w:rPr>
          <w:sz w:val="24"/>
        </w:rPr>
        <w:t>cada cerdo</w:t>
        <w:tab/>
        <w:t>58.04</w:t>
      </w:r>
    </w:p>
    <w:p>
      <w:pPr>
        <w:pStyle w:val="ListParagraph"/>
        <w:numPr>
          <w:ilvl w:val="1"/>
          <w:numId w:val="19"/>
        </w:numPr>
        <w:tabs>
          <w:tab w:pos="2325" w:val="left" w:leader="none"/>
          <w:tab w:pos="2326" w:val="left" w:leader="none"/>
          <w:tab w:pos="9023" w:val="right" w:leader="none"/>
        </w:tabs>
        <w:spacing w:line="240" w:lineRule="auto" w:before="137" w:after="0"/>
        <w:ind w:left="2325" w:right="0" w:hanging="493"/>
        <w:jc w:val="left"/>
        <w:rPr>
          <w:sz w:val="24"/>
        </w:rPr>
      </w:pPr>
      <w:r>
        <w:rPr>
          <w:sz w:val="24"/>
        </w:rPr>
        <w:t>Por cada fracción</w:t>
      </w:r>
      <w:r>
        <w:rPr>
          <w:spacing w:val="-1"/>
          <w:sz w:val="24"/>
        </w:rPr>
        <w:t> </w:t>
      </w:r>
      <w:r>
        <w:rPr>
          <w:sz w:val="24"/>
        </w:rPr>
        <w:t>de cerdo</w:t>
        <w:tab/>
        <w:t>27.68</w:t>
      </w:r>
    </w:p>
    <w:p>
      <w:pPr>
        <w:pStyle w:val="ListParagraph"/>
        <w:numPr>
          <w:ilvl w:val="1"/>
          <w:numId w:val="19"/>
        </w:numPr>
        <w:tabs>
          <w:tab w:pos="2325" w:val="left" w:leader="none"/>
          <w:tab w:pos="2326" w:val="left" w:leader="none"/>
          <w:tab w:pos="9023" w:val="right" w:leader="none"/>
        </w:tabs>
        <w:spacing w:line="240" w:lineRule="auto" w:before="140" w:after="0"/>
        <w:ind w:left="2325" w:right="0" w:hanging="493"/>
        <w:jc w:val="left"/>
        <w:rPr>
          <w:sz w:val="24"/>
        </w:rPr>
      </w:pPr>
      <w:r>
        <w:rPr>
          <w:sz w:val="24"/>
        </w:rPr>
        <w:t>Por cada cabra</w:t>
      </w:r>
      <w:r>
        <w:rPr>
          <w:spacing w:val="-1"/>
          <w:sz w:val="24"/>
        </w:rPr>
        <w:t> </w:t>
      </w:r>
      <w:r>
        <w:rPr>
          <w:sz w:val="24"/>
        </w:rPr>
        <w:t>o</w:t>
      </w:r>
      <w:r>
        <w:rPr>
          <w:spacing w:val="-1"/>
          <w:sz w:val="24"/>
        </w:rPr>
        <w:t> </w:t>
      </w:r>
      <w:r>
        <w:rPr>
          <w:sz w:val="24"/>
        </w:rPr>
        <w:t>borrego</w:t>
        <w:tab/>
        <w:t>27.68</w:t>
      </w:r>
    </w:p>
    <w:p>
      <w:pPr>
        <w:pStyle w:val="ListParagraph"/>
        <w:numPr>
          <w:ilvl w:val="1"/>
          <w:numId w:val="19"/>
        </w:numPr>
        <w:tabs>
          <w:tab w:pos="2325" w:val="left" w:leader="none"/>
          <w:tab w:pos="2326" w:val="left" w:leader="none"/>
          <w:tab w:pos="9023" w:val="right" w:leader="none"/>
        </w:tabs>
        <w:spacing w:line="240" w:lineRule="auto" w:before="137" w:after="0"/>
        <w:ind w:left="2325" w:right="0" w:hanging="493"/>
        <w:jc w:val="left"/>
        <w:rPr>
          <w:sz w:val="24"/>
        </w:rPr>
      </w:pPr>
      <w:r>
        <w:rPr>
          <w:sz w:val="24"/>
        </w:rPr>
        <w:t>Por varilla de res</w:t>
      </w:r>
      <w:r>
        <w:rPr>
          <w:spacing w:val="-3"/>
          <w:sz w:val="24"/>
        </w:rPr>
        <w:t> </w:t>
      </w:r>
      <w:r>
        <w:rPr>
          <w:sz w:val="24"/>
        </w:rPr>
        <w:t>o</w:t>
      </w:r>
      <w:r>
        <w:rPr>
          <w:spacing w:val="-1"/>
          <w:sz w:val="24"/>
        </w:rPr>
        <w:t> </w:t>
      </w:r>
      <w:r>
        <w:rPr>
          <w:sz w:val="24"/>
        </w:rPr>
        <w:t>fracción</w:t>
        <w:tab/>
        <w:t>29.02</w:t>
      </w:r>
    </w:p>
    <w:p>
      <w:pPr>
        <w:pStyle w:val="ListParagraph"/>
        <w:numPr>
          <w:ilvl w:val="1"/>
          <w:numId w:val="19"/>
        </w:numPr>
        <w:tabs>
          <w:tab w:pos="2325" w:val="left" w:leader="none"/>
          <w:tab w:pos="2326" w:val="left" w:leader="none"/>
          <w:tab w:pos="9023" w:val="right" w:leader="none"/>
        </w:tabs>
        <w:spacing w:line="240" w:lineRule="auto" w:before="139" w:after="0"/>
        <w:ind w:left="2325" w:right="0" w:hanging="493"/>
        <w:jc w:val="left"/>
        <w:rPr>
          <w:sz w:val="24"/>
        </w:rPr>
      </w:pPr>
      <w:r>
        <w:rPr>
          <w:sz w:val="24"/>
        </w:rPr>
        <w:t>Por cada piel</w:t>
      </w:r>
      <w:r>
        <w:rPr>
          <w:spacing w:val="-3"/>
          <w:sz w:val="24"/>
        </w:rPr>
        <w:t> </w:t>
      </w:r>
      <w:r>
        <w:rPr>
          <w:sz w:val="24"/>
        </w:rPr>
        <w:t>de res</w:t>
        <w:tab/>
        <w:t>15.18</w:t>
      </w:r>
    </w:p>
    <w:p>
      <w:pPr>
        <w:pStyle w:val="ListParagraph"/>
        <w:numPr>
          <w:ilvl w:val="1"/>
          <w:numId w:val="19"/>
        </w:numPr>
        <w:tabs>
          <w:tab w:pos="2325" w:val="left" w:leader="none"/>
          <w:tab w:pos="2326" w:val="left" w:leader="none"/>
          <w:tab w:pos="9023" w:val="right" w:leader="none"/>
        </w:tabs>
        <w:spacing w:line="240" w:lineRule="auto" w:before="137" w:after="0"/>
        <w:ind w:left="2325" w:right="0" w:hanging="493"/>
        <w:jc w:val="left"/>
        <w:rPr>
          <w:sz w:val="24"/>
        </w:rPr>
      </w:pPr>
      <w:r>
        <w:rPr>
          <w:sz w:val="24"/>
        </w:rPr>
        <w:t>Por cada piel</w:t>
      </w:r>
      <w:r>
        <w:rPr>
          <w:spacing w:val="-3"/>
          <w:sz w:val="24"/>
        </w:rPr>
        <w:t> </w:t>
      </w:r>
      <w:r>
        <w:rPr>
          <w:sz w:val="24"/>
        </w:rPr>
        <w:t>de cerdo</w:t>
        <w:tab/>
        <w:t>7.14</w:t>
      </w:r>
    </w:p>
    <w:p>
      <w:pPr>
        <w:pStyle w:val="ListParagraph"/>
        <w:numPr>
          <w:ilvl w:val="1"/>
          <w:numId w:val="19"/>
        </w:numPr>
        <w:tabs>
          <w:tab w:pos="2325" w:val="left" w:leader="none"/>
          <w:tab w:pos="2326" w:val="left" w:leader="none"/>
          <w:tab w:pos="9023" w:val="right" w:leader="none"/>
        </w:tabs>
        <w:spacing w:line="240" w:lineRule="auto" w:before="139" w:after="0"/>
        <w:ind w:left="2325" w:right="0" w:hanging="493"/>
        <w:jc w:val="left"/>
        <w:rPr>
          <w:sz w:val="24"/>
        </w:rPr>
      </w:pPr>
      <w:r>
        <w:rPr>
          <w:sz w:val="24"/>
        </w:rPr>
        <w:t>Por cada piel de</w:t>
      </w:r>
      <w:r>
        <w:rPr>
          <w:spacing w:val="-5"/>
          <w:sz w:val="24"/>
        </w:rPr>
        <w:t> </w:t>
      </w:r>
      <w:r>
        <w:rPr>
          <w:sz w:val="24"/>
        </w:rPr>
        <w:t>ganado</w:t>
      </w:r>
      <w:r>
        <w:rPr>
          <w:spacing w:val="-1"/>
          <w:sz w:val="24"/>
        </w:rPr>
        <w:t> </w:t>
      </w:r>
      <w:r>
        <w:rPr>
          <w:sz w:val="24"/>
        </w:rPr>
        <w:t>ovicaprino</w:t>
        <w:tab/>
        <w:t>3.57</w:t>
      </w:r>
    </w:p>
    <w:p>
      <w:pPr>
        <w:pStyle w:val="ListParagraph"/>
        <w:numPr>
          <w:ilvl w:val="1"/>
          <w:numId w:val="19"/>
        </w:numPr>
        <w:tabs>
          <w:tab w:pos="2325" w:val="left" w:leader="none"/>
          <w:tab w:pos="2326" w:val="left" w:leader="none"/>
          <w:tab w:pos="9023" w:val="right" w:leader="none"/>
        </w:tabs>
        <w:spacing w:line="240" w:lineRule="auto" w:before="137" w:after="0"/>
        <w:ind w:left="2325" w:right="0" w:hanging="493"/>
        <w:jc w:val="left"/>
        <w:rPr>
          <w:sz w:val="24"/>
        </w:rPr>
      </w:pPr>
      <w:r>
        <w:rPr>
          <w:sz w:val="24"/>
        </w:rPr>
        <w:t>Por cada cabeza</w:t>
      </w:r>
      <w:r>
        <w:rPr>
          <w:spacing w:val="-3"/>
          <w:sz w:val="24"/>
        </w:rPr>
        <w:t> </w:t>
      </w:r>
      <w:r>
        <w:rPr>
          <w:sz w:val="24"/>
        </w:rPr>
        <w:t>de</w:t>
      </w:r>
      <w:r>
        <w:rPr>
          <w:spacing w:val="-2"/>
          <w:sz w:val="24"/>
        </w:rPr>
        <w:t> </w:t>
      </w:r>
      <w:r>
        <w:rPr>
          <w:sz w:val="24"/>
        </w:rPr>
        <w:t>ganado</w:t>
        <w:tab/>
        <w:t>15.18</w:t>
      </w:r>
    </w:p>
    <w:p>
      <w:pPr>
        <w:pStyle w:val="ListParagraph"/>
        <w:numPr>
          <w:ilvl w:val="1"/>
          <w:numId w:val="19"/>
        </w:numPr>
        <w:tabs>
          <w:tab w:pos="2325" w:val="left" w:leader="none"/>
          <w:tab w:pos="2326" w:val="left" w:leader="none"/>
          <w:tab w:pos="9050" w:val="right" w:leader="none"/>
        </w:tabs>
        <w:spacing w:line="240" w:lineRule="auto" w:before="139" w:after="0"/>
        <w:ind w:left="2325" w:right="0" w:hanging="493"/>
        <w:jc w:val="left"/>
        <w:rPr>
          <w:sz w:val="24"/>
        </w:rPr>
      </w:pPr>
      <w:r>
        <w:rPr>
          <w:sz w:val="24"/>
        </w:rPr>
        <w:t>Por cada kilogramo</w:t>
      </w:r>
      <w:r>
        <w:rPr>
          <w:spacing w:val="-3"/>
          <w:sz w:val="24"/>
        </w:rPr>
        <w:t> </w:t>
      </w:r>
      <w:r>
        <w:rPr>
          <w:sz w:val="24"/>
        </w:rPr>
        <w:t>de</w:t>
      </w:r>
      <w:r>
        <w:rPr>
          <w:spacing w:val="-2"/>
          <w:sz w:val="24"/>
        </w:rPr>
        <w:t> </w:t>
      </w:r>
      <w:r>
        <w:rPr>
          <w:sz w:val="24"/>
        </w:rPr>
        <w:t>cebo</w:t>
        <w:tab/>
        <w:t>3.57</w:t>
      </w:r>
    </w:p>
    <w:p>
      <w:pPr>
        <w:pStyle w:val="ListParagraph"/>
        <w:numPr>
          <w:ilvl w:val="0"/>
          <w:numId w:val="19"/>
        </w:numPr>
        <w:tabs>
          <w:tab w:pos="1252" w:val="left" w:leader="none"/>
          <w:tab w:pos="1253" w:val="left" w:leader="none"/>
        </w:tabs>
        <w:spacing w:line="240" w:lineRule="auto" w:before="276" w:after="0"/>
        <w:ind w:left="1252" w:right="440" w:hanging="569"/>
        <w:jc w:val="left"/>
        <w:rPr>
          <w:sz w:val="24"/>
        </w:rPr>
      </w:pPr>
      <w:r>
        <w:rPr>
          <w:sz w:val="24"/>
        </w:rPr>
        <w:t>Las empresas o particulares que tengan otorgado convenio, por parte del Ayuntamiento, para el acarreo de carne a particulares, deberá Pagar por</w:t>
      </w:r>
      <w:r>
        <w:rPr>
          <w:spacing w:val="-16"/>
          <w:sz w:val="24"/>
        </w:rPr>
        <w:t> </w:t>
      </w:r>
      <w:r>
        <w:rPr>
          <w:sz w:val="24"/>
        </w:rPr>
        <w:t>canal</w:t>
      </w:r>
    </w:p>
    <w:p>
      <w:pPr>
        <w:pStyle w:val="BodyText"/>
        <w:spacing w:before="1"/>
        <w:ind w:left="8322"/>
      </w:pPr>
      <w:r>
        <w:rPr/>
        <w:t>$10.71</w:t>
      </w:r>
    </w:p>
    <w:p>
      <w:pPr>
        <w:spacing w:after="0"/>
        <w:sectPr>
          <w:pgSz w:w="12250" w:h="15850"/>
          <w:pgMar w:header="730" w:footer="0" w:top="1000" w:bottom="280" w:left="860" w:right="820"/>
        </w:sectPr>
      </w:pPr>
    </w:p>
    <w:p>
      <w:pPr>
        <w:pStyle w:val="ListParagraph"/>
        <w:numPr>
          <w:ilvl w:val="0"/>
          <w:numId w:val="19"/>
        </w:numPr>
        <w:tabs>
          <w:tab w:pos="1252" w:val="left" w:leader="none"/>
          <w:tab w:pos="1253" w:val="left" w:leader="none"/>
        </w:tabs>
        <w:spacing w:line="240" w:lineRule="auto" w:before="197" w:after="0"/>
        <w:ind w:left="1252" w:right="0" w:hanging="570"/>
        <w:jc w:val="left"/>
        <w:rPr>
          <w:sz w:val="24"/>
        </w:rPr>
      </w:pPr>
      <w:r>
        <w:rPr>
          <w:sz w:val="24"/>
        </w:rPr>
        <w:t>Por servicios que se presten en el interior del Rastro Municipal, se</w:t>
      </w:r>
      <w:r>
        <w:rPr>
          <w:spacing w:val="-17"/>
          <w:sz w:val="24"/>
        </w:rPr>
        <w:t> </w:t>
      </w:r>
      <w:r>
        <w:rPr>
          <w:sz w:val="24"/>
        </w:rPr>
        <w:t>pagará:</w:t>
      </w:r>
    </w:p>
    <w:p>
      <w:pPr>
        <w:pStyle w:val="BodyText"/>
        <w:spacing w:before="1"/>
      </w:pPr>
    </w:p>
    <w:p>
      <w:pPr>
        <w:pStyle w:val="ListParagraph"/>
        <w:numPr>
          <w:ilvl w:val="0"/>
          <w:numId w:val="20"/>
        </w:numPr>
        <w:tabs>
          <w:tab w:pos="1252" w:val="left" w:leader="none"/>
          <w:tab w:pos="1253" w:val="left" w:leader="none"/>
        </w:tabs>
        <w:spacing w:line="240" w:lineRule="auto" w:before="0" w:after="0"/>
        <w:ind w:left="1252" w:right="0" w:hanging="570"/>
        <w:jc w:val="left"/>
        <w:rPr>
          <w:sz w:val="24"/>
        </w:rPr>
      </w:pPr>
      <w:r>
        <w:rPr/>
        <w:drawing>
          <wp:anchor distT="0" distB="0" distL="0" distR="0" allowOverlap="1" layoutInCell="1" locked="0" behindDoc="1" simplePos="0" relativeHeight="227492864">
            <wp:simplePos x="0" y="0"/>
            <wp:positionH relativeFrom="page">
              <wp:posOffset>1252555</wp:posOffset>
            </wp:positionH>
            <wp:positionV relativeFrom="paragraph">
              <wp:posOffset>934413</wp:posOffset>
            </wp:positionV>
            <wp:extent cx="5022641" cy="5144769"/>
            <wp:effectExtent l="0" t="0" r="0" b="0"/>
            <wp:wrapNone/>
            <wp:docPr id="51" name="image20.png"/>
            <wp:cNvGraphicFramePr>
              <a:graphicFrameLocks noChangeAspect="1"/>
            </wp:cNvGraphicFramePr>
            <a:graphic>
              <a:graphicData uri="http://schemas.openxmlformats.org/drawingml/2006/picture">
                <pic:pic>
                  <pic:nvPicPr>
                    <pic:cNvPr id="52" name="image20.png"/>
                    <pic:cNvPicPr/>
                  </pic:nvPicPr>
                  <pic:blipFill>
                    <a:blip r:embed="rId30" cstate="print"/>
                    <a:stretch>
                      <a:fillRect/>
                    </a:stretch>
                  </pic:blipFill>
                  <pic:spPr>
                    <a:xfrm>
                      <a:off x="0" y="0"/>
                      <a:ext cx="5022641" cy="5144769"/>
                    </a:xfrm>
                    <a:prstGeom prst="rect">
                      <a:avLst/>
                    </a:prstGeom>
                  </pic:spPr>
                </pic:pic>
              </a:graphicData>
            </a:graphic>
          </wp:anchor>
        </w:drawing>
      </w:r>
      <w:r>
        <w:rPr>
          <w:sz w:val="24"/>
        </w:rPr>
        <w:t>Por uso de corrales para resguardo de ganado (por cabeza y</w:t>
      </w:r>
      <w:r>
        <w:rPr>
          <w:spacing w:val="-13"/>
          <w:sz w:val="24"/>
        </w:rPr>
        <w:t> </w:t>
      </w:r>
      <w:r>
        <w:rPr>
          <w:sz w:val="24"/>
        </w:rPr>
        <w:t>día):</w:t>
      </w:r>
    </w:p>
    <w:p>
      <w:pPr>
        <w:pStyle w:val="BodyText"/>
        <w:spacing w:before="7" w:after="1"/>
      </w:pPr>
    </w:p>
    <w:tbl>
      <w:tblPr>
        <w:tblW w:w="0" w:type="auto"/>
        <w:jc w:val="left"/>
        <w:tblInd w:w="1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27"/>
        <w:gridCol w:w="1764"/>
      </w:tblGrid>
      <w:tr>
        <w:trPr>
          <w:trHeight w:val="332" w:hRule="atLeast"/>
        </w:trPr>
        <w:tc>
          <w:tcPr>
            <w:tcW w:w="5527" w:type="dxa"/>
          </w:tcPr>
          <w:p>
            <w:pPr>
              <w:pStyle w:val="TableParagraph"/>
              <w:spacing w:line="268" w:lineRule="exact"/>
              <w:ind w:left="1536"/>
              <w:rPr>
                <w:sz w:val="24"/>
              </w:rPr>
            </w:pPr>
            <w:r>
              <w:rPr>
                <w:sz w:val="24"/>
              </w:rPr>
              <w:t>Concepto</w:t>
            </w:r>
          </w:p>
        </w:tc>
        <w:tc>
          <w:tcPr>
            <w:tcW w:w="1764" w:type="dxa"/>
          </w:tcPr>
          <w:p>
            <w:pPr>
              <w:pStyle w:val="TableParagraph"/>
              <w:spacing w:line="268" w:lineRule="exact"/>
              <w:ind w:right="47"/>
              <w:jc w:val="right"/>
              <w:rPr>
                <w:sz w:val="24"/>
              </w:rPr>
            </w:pPr>
            <w:r>
              <w:rPr>
                <w:w w:val="95"/>
                <w:sz w:val="24"/>
              </w:rPr>
              <w:t>Pesos</w:t>
            </w:r>
          </w:p>
        </w:tc>
      </w:tr>
      <w:tr>
        <w:trPr>
          <w:trHeight w:val="396" w:hRule="atLeast"/>
        </w:trPr>
        <w:tc>
          <w:tcPr>
            <w:tcW w:w="5527" w:type="dxa"/>
          </w:tcPr>
          <w:p>
            <w:pPr>
              <w:pStyle w:val="TableParagraph"/>
              <w:tabs>
                <w:tab w:pos="609" w:val="left" w:leader="none"/>
              </w:tabs>
              <w:spacing w:before="56"/>
              <w:ind w:left="50"/>
              <w:rPr>
                <w:sz w:val="24"/>
              </w:rPr>
            </w:pPr>
            <w:r>
              <w:rPr>
                <w:sz w:val="24"/>
              </w:rPr>
              <w:t>1.</w:t>
              <w:tab/>
              <w:t>Bovino</w:t>
            </w:r>
          </w:p>
        </w:tc>
        <w:tc>
          <w:tcPr>
            <w:tcW w:w="1764" w:type="dxa"/>
          </w:tcPr>
          <w:p>
            <w:pPr>
              <w:pStyle w:val="TableParagraph"/>
              <w:spacing w:before="56"/>
              <w:ind w:right="48"/>
              <w:jc w:val="right"/>
              <w:rPr>
                <w:sz w:val="24"/>
              </w:rPr>
            </w:pPr>
            <w:r>
              <w:rPr>
                <w:sz w:val="24"/>
              </w:rPr>
              <w:t>14.29</w:t>
            </w:r>
          </w:p>
        </w:tc>
      </w:tr>
      <w:tr>
        <w:trPr>
          <w:trHeight w:val="395" w:hRule="atLeast"/>
        </w:trPr>
        <w:tc>
          <w:tcPr>
            <w:tcW w:w="5527" w:type="dxa"/>
          </w:tcPr>
          <w:p>
            <w:pPr>
              <w:pStyle w:val="TableParagraph"/>
              <w:tabs>
                <w:tab w:pos="609" w:val="left" w:leader="none"/>
              </w:tabs>
              <w:spacing w:before="56"/>
              <w:ind w:left="50"/>
              <w:rPr>
                <w:sz w:val="24"/>
              </w:rPr>
            </w:pPr>
            <w:r>
              <w:rPr>
                <w:sz w:val="24"/>
              </w:rPr>
              <w:t>2.</w:t>
              <w:tab/>
              <w:t>Porcino</w:t>
            </w:r>
          </w:p>
        </w:tc>
        <w:tc>
          <w:tcPr>
            <w:tcW w:w="1764" w:type="dxa"/>
          </w:tcPr>
          <w:p>
            <w:pPr>
              <w:pStyle w:val="TableParagraph"/>
              <w:spacing w:before="56"/>
              <w:ind w:right="48"/>
              <w:jc w:val="right"/>
              <w:rPr>
                <w:sz w:val="24"/>
              </w:rPr>
            </w:pPr>
            <w:r>
              <w:rPr>
                <w:sz w:val="24"/>
              </w:rPr>
              <w:t>10.71</w:t>
            </w:r>
          </w:p>
        </w:tc>
      </w:tr>
      <w:tr>
        <w:trPr>
          <w:trHeight w:val="395" w:hRule="atLeast"/>
        </w:trPr>
        <w:tc>
          <w:tcPr>
            <w:tcW w:w="5527" w:type="dxa"/>
          </w:tcPr>
          <w:p>
            <w:pPr>
              <w:pStyle w:val="TableParagraph"/>
              <w:tabs>
                <w:tab w:pos="609" w:val="left" w:leader="none"/>
              </w:tabs>
              <w:spacing w:before="56"/>
              <w:ind w:left="50"/>
              <w:rPr>
                <w:sz w:val="24"/>
              </w:rPr>
            </w:pPr>
            <w:r>
              <w:rPr>
                <w:sz w:val="24"/>
              </w:rPr>
              <w:t>3.</w:t>
              <w:tab/>
              <w:t>Ovicaprino</w:t>
            </w:r>
          </w:p>
        </w:tc>
        <w:tc>
          <w:tcPr>
            <w:tcW w:w="1764" w:type="dxa"/>
          </w:tcPr>
          <w:p>
            <w:pPr>
              <w:pStyle w:val="TableParagraph"/>
              <w:spacing w:before="56"/>
              <w:ind w:right="48"/>
              <w:jc w:val="right"/>
              <w:rPr>
                <w:sz w:val="24"/>
              </w:rPr>
            </w:pPr>
            <w:r>
              <w:rPr>
                <w:sz w:val="24"/>
              </w:rPr>
              <w:t>7.14</w:t>
            </w:r>
          </w:p>
        </w:tc>
      </w:tr>
      <w:tr>
        <w:trPr>
          <w:trHeight w:val="395" w:hRule="atLeast"/>
        </w:trPr>
        <w:tc>
          <w:tcPr>
            <w:tcW w:w="5527" w:type="dxa"/>
          </w:tcPr>
          <w:p>
            <w:pPr>
              <w:pStyle w:val="TableParagraph"/>
              <w:tabs>
                <w:tab w:pos="609" w:val="left" w:leader="none"/>
              </w:tabs>
              <w:spacing w:before="56"/>
              <w:ind w:left="50"/>
              <w:rPr>
                <w:sz w:val="24"/>
              </w:rPr>
            </w:pPr>
            <w:r>
              <w:rPr>
                <w:sz w:val="24"/>
              </w:rPr>
              <w:t>4.</w:t>
              <w:tab/>
              <w:t>Fritura de ganado porcino, por</w:t>
            </w:r>
            <w:r>
              <w:rPr>
                <w:spacing w:val="-2"/>
                <w:sz w:val="24"/>
              </w:rPr>
              <w:t> </w:t>
            </w:r>
            <w:r>
              <w:rPr>
                <w:sz w:val="24"/>
              </w:rPr>
              <w:t>canal</w:t>
            </w:r>
          </w:p>
        </w:tc>
        <w:tc>
          <w:tcPr>
            <w:tcW w:w="1764" w:type="dxa"/>
          </w:tcPr>
          <w:p>
            <w:pPr>
              <w:pStyle w:val="TableParagraph"/>
              <w:spacing w:before="56"/>
              <w:ind w:right="48"/>
              <w:jc w:val="right"/>
              <w:rPr>
                <w:sz w:val="24"/>
              </w:rPr>
            </w:pPr>
            <w:r>
              <w:rPr>
                <w:sz w:val="24"/>
              </w:rPr>
              <w:t>7.14</w:t>
            </w:r>
          </w:p>
        </w:tc>
      </w:tr>
      <w:tr>
        <w:trPr>
          <w:trHeight w:val="332" w:hRule="atLeast"/>
        </w:trPr>
        <w:tc>
          <w:tcPr>
            <w:tcW w:w="5527" w:type="dxa"/>
          </w:tcPr>
          <w:p>
            <w:pPr>
              <w:pStyle w:val="TableParagraph"/>
              <w:tabs>
                <w:tab w:pos="609" w:val="left" w:leader="none"/>
              </w:tabs>
              <w:spacing w:line="256" w:lineRule="exact" w:before="56"/>
              <w:ind w:left="50"/>
              <w:rPr>
                <w:sz w:val="24"/>
              </w:rPr>
            </w:pPr>
            <w:r>
              <w:rPr>
                <w:sz w:val="24"/>
              </w:rPr>
              <w:t>5.</w:t>
              <w:tab/>
              <w:t>Por el uso de la báscula del</w:t>
            </w:r>
            <w:r>
              <w:rPr>
                <w:spacing w:val="-5"/>
                <w:sz w:val="24"/>
              </w:rPr>
              <w:t> </w:t>
            </w:r>
            <w:r>
              <w:rPr>
                <w:sz w:val="24"/>
              </w:rPr>
              <w:t>rastro</w:t>
            </w:r>
          </w:p>
        </w:tc>
        <w:tc>
          <w:tcPr>
            <w:tcW w:w="1764" w:type="dxa"/>
          </w:tcPr>
          <w:p>
            <w:pPr>
              <w:pStyle w:val="TableParagraph"/>
              <w:spacing w:line="256" w:lineRule="exact" w:before="56"/>
              <w:ind w:right="48"/>
              <w:jc w:val="right"/>
              <w:rPr>
                <w:sz w:val="24"/>
              </w:rPr>
            </w:pPr>
            <w:r>
              <w:rPr>
                <w:sz w:val="24"/>
              </w:rPr>
              <w:t>23.21</w:t>
            </w:r>
          </w:p>
        </w:tc>
      </w:tr>
    </w:tbl>
    <w:p>
      <w:pPr>
        <w:pStyle w:val="BodyText"/>
      </w:pPr>
    </w:p>
    <w:p>
      <w:pPr>
        <w:pStyle w:val="ListParagraph"/>
        <w:numPr>
          <w:ilvl w:val="0"/>
          <w:numId w:val="20"/>
        </w:numPr>
        <w:tabs>
          <w:tab w:pos="1102" w:val="left" w:leader="none"/>
        </w:tabs>
        <w:spacing w:line="240" w:lineRule="auto" w:before="0" w:after="0"/>
        <w:ind w:left="1120" w:right="440" w:hanging="360"/>
        <w:jc w:val="left"/>
        <w:rPr>
          <w:sz w:val="24"/>
        </w:rPr>
      </w:pPr>
      <w:r>
        <w:rPr>
          <w:sz w:val="24"/>
        </w:rPr>
        <w:t>Por el uso de corrales para la estancia de los animales previo al sacrificio de manera mensual:</w:t>
      </w:r>
    </w:p>
    <w:p>
      <w:pPr>
        <w:pStyle w:val="BodyText"/>
      </w:pPr>
    </w:p>
    <w:p>
      <w:pPr>
        <w:pStyle w:val="ListParagraph"/>
        <w:numPr>
          <w:ilvl w:val="1"/>
          <w:numId w:val="20"/>
        </w:numPr>
        <w:tabs>
          <w:tab w:pos="1822" w:val="left" w:leader="none"/>
          <w:tab w:pos="5534" w:val="left" w:leader="none"/>
        </w:tabs>
        <w:spacing w:line="240" w:lineRule="auto" w:before="0" w:after="0"/>
        <w:ind w:left="1821" w:right="0" w:hanging="344"/>
        <w:jc w:val="left"/>
        <w:rPr>
          <w:sz w:val="24"/>
        </w:rPr>
      </w:pPr>
      <w:r>
        <w:rPr>
          <w:sz w:val="24"/>
        </w:rPr>
        <w:t>Corrales de</w:t>
      </w:r>
      <w:r>
        <w:rPr>
          <w:spacing w:val="-6"/>
          <w:sz w:val="24"/>
        </w:rPr>
        <w:t> </w:t>
      </w:r>
      <w:r>
        <w:rPr>
          <w:sz w:val="24"/>
        </w:rPr>
        <w:t>ganado</w:t>
      </w:r>
      <w:r>
        <w:rPr>
          <w:spacing w:val="-2"/>
          <w:sz w:val="24"/>
        </w:rPr>
        <w:t> </w:t>
      </w:r>
      <w:r>
        <w:rPr>
          <w:sz w:val="24"/>
        </w:rPr>
        <w:t>bovino</w:t>
        <w:tab/>
        <w:t>756.25</w:t>
      </w:r>
    </w:p>
    <w:p>
      <w:pPr>
        <w:pStyle w:val="ListParagraph"/>
        <w:numPr>
          <w:ilvl w:val="1"/>
          <w:numId w:val="20"/>
        </w:numPr>
        <w:tabs>
          <w:tab w:pos="1822" w:val="left" w:leader="none"/>
          <w:tab w:pos="5534" w:val="left" w:leader="none"/>
        </w:tabs>
        <w:spacing w:line="240" w:lineRule="auto" w:before="120" w:after="0"/>
        <w:ind w:left="1821" w:right="0" w:hanging="342"/>
        <w:jc w:val="left"/>
        <w:rPr>
          <w:sz w:val="24"/>
        </w:rPr>
      </w:pPr>
      <w:r>
        <w:rPr>
          <w:sz w:val="24"/>
        </w:rPr>
        <w:t>Corrales de</w:t>
      </w:r>
      <w:r>
        <w:rPr>
          <w:spacing w:val="-7"/>
          <w:sz w:val="24"/>
        </w:rPr>
        <w:t> </w:t>
      </w:r>
      <w:r>
        <w:rPr>
          <w:sz w:val="24"/>
        </w:rPr>
        <w:t>ganado</w:t>
      </w:r>
      <w:r>
        <w:rPr>
          <w:spacing w:val="-2"/>
          <w:sz w:val="24"/>
        </w:rPr>
        <w:t> </w:t>
      </w:r>
      <w:r>
        <w:rPr>
          <w:sz w:val="24"/>
        </w:rPr>
        <w:t>porcino</w:t>
        <w:tab/>
        <w:t>605.36</w:t>
      </w:r>
    </w:p>
    <w:p>
      <w:pPr>
        <w:pStyle w:val="BodyText"/>
      </w:pPr>
    </w:p>
    <w:p>
      <w:pPr>
        <w:pStyle w:val="ListParagraph"/>
        <w:numPr>
          <w:ilvl w:val="0"/>
          <w:numId w:val="20"/>
        </w:numPr>
        <w:tabs>
          <w:tab w:pos="1102" w:val="left" w:leader="none"/>
          <w:tab w:pos="8518" w:val="left" w:leader="none"/>
        </w:tabs>
        <w:spacing w:line="240" w:lineRule="auto" w:before="0" w:after="0"/>
        <w:ind w:left="1101" w:right="0" w:hanging="342"/>
        <w:jc w:val="left"/>
        <w:rPr>
          <w:sz w:val="24"/>
        </w:rPr>
      </w:pPr>
      <w:r>
        <w:rPr>
          <w:sz w:val="24"/>
        </w:rPr>
        <w:t>Por el uso de las instalaciones para lavado de menudos</w:t>
      </w:r>
      <w:r>
        <w:rPr>
          <w:spacing w:val="-18"/>
          <w:sz w:val="24"/>
        </w:rPr>
        <w:t> </w:t>
      </w:r>
      <w:r>
        <w:rPr>
          <w:sz w:val="24"/>
        </w:rPr>
        <w:t>por</w:t>
      </w:r>
      <w:r>
        <w:rPr>
          <w:spacing w:val="-1"/>
          <w:sz w:val="24"/>
        </w:rPr>
        <w:t> </w:t>
      </w:r>
      <w:r>
        <w:rPr>
          <w:sz w:val="24"/>
        </w:rPr>
        <w:t>unidad</w:t>
        <w:tab/>
        <w:t>8.04</w:t>
      </w:r>
    </w:p>
    <w:p>
      <w:pPr>
        <w:pStyle w:val="BodyText"/>
      </w:pPr>
    </w:p>
    <w:p>
      <w:pPr>
        <w:pStyle w:val="ListParagraph"/>
        <w:numPr>
          <w:ilvl w:val="0"/>
          <w:numId w:val="19"/>
        </w:numPr>
        <w:tabs>
          <w:tab w:pos="1102" w:val="left" w:leader="none"/>
        </w:tabs>
        <w:spacing w:line="240" w:lineRule="auto" w:before="1" w:after="0"/>
        <w:ind w:left="1101" w:right="0" w:hanging="342"/>
        <w:jc w:val="left"/>
        <w:rPr>
          <w:sz w:val="24"/>
        </w:rPr>
      </w:pPr>
      <w:r>
        <w:rPr>
          <w:sz w:val="24"/>
        </w:rPr>
        <w:t>Por la venta de productos obtenidos en el rastro, se</w:t>
      </w:r>
      <w:r>
        <w:rPr>
          <w:spacing w:val="-11"/>
          <w:sz w:val="24"/>
        </w:rPr>
        <w:t> </w:t>
      </w:r>
      <w:r>
        <w:rPr>
          <w:sz w:val="24"/>
        </w:rPr>
        <w:t>pagará:</w:t>
      </w:r>
    </w:p>
    <w:p>
      <w:pPr>
        <w:pStyle w:val="BodyText"/>
        <w:spacing w:before="11"/>
        <w:rPr>
          <w:sz w:val="23"/>
        </w:rPr>
      </w:pPr>
    </w:p>
    <w:p>
      <w:pPr>
        <w:pStyle w:val="ListParagraph"/>
        <w:numPr>
          <w:ilvl w:val="0"/>
          <w:numId w:val="21"/>
        </w:numPr>
        <w:tabs>
          <w:tab w:pos="2056" w:val="left" w:leader="none"/>
          <w:tab w:pos="2057" w:val="left" w:leader="none"/>
          <w:tab w:pos="8701" w:val="left" w:leader="none"/>
        </w:tabs>
        <w:spacing w:line="240" w:lineRule="auto" w:before="0" w:after="0"/>
        <w:ind w:left="2056" w:right="0" w:hanging="702"/>
        <w:jc w:val="left"/>
        <w:rPr>
          <w:sz w:val="24"/>
        </w:rPr>
      </w:pPr>
      <w:r>
        <w:rPr>
          <w:sz w:val="24"/>
        </w:rPr>
        <w:t>Esquilmos,</w:t>
      </w:r>
      <w:r>
        <w:rPr>
          <w:spacing w:val="-2"/>
          <w:sz w:val="24"/>
        </w:rPr>
        <w:t> </w:t>
      </w:r>
      <w:r>
        <w:rPr>
          <w:sz w:val="24"/>
        </w:rPr>
        <w:t>por</w:t>
      </w:r>
      <w:r>
        <w:rPr>
          <w:spacing w:val="-1"/>
          <w:sz w:val="24"/>
        </w:rPr>
        <w:t> </w:t>
      </w:r>
      <w:r>
        <w:rPr>
          <w:sz w:val="24"/>
        </w:rPr>
        <w:t>kg</w:t>
        <w:tab/>
        <w:t>8.04</w:t>
      </w:r>
    </w:p>
    <w:p>
      <w:pPr>
        <w:pStyle w:val="ListParagraph"/>
        <w:numPr>
          <w:ilvl w:val="0"/>
          <w:numId w:val="21"/>
        </w:numPr>
        <w:tabs>
          <w:tab w:pos="2056" w:val="left" w:leader="none"/>
          <w:tab w:pos="2057" w:val="left" w:leader="none"/>
          <w:tab w:pos="8569" w:val="left" w:leader="none"/>
        </w:tabs>
        <w:spacing w:line="240" w:lineRule="auto" w:before="121" w:after="0"/>
        <w:ind w:left="2056" w:right="0" w:hanging="702"/>
        <w:jc w:val="left"/>
        <w:rPr>
          <w:sz w:val="24"/>
        </w:rPr>
      </w:pPr>
      <w:r>
        <w:rPr>
          <w:sz w:val="24"/>
        </w:rPr>
        <w:t>Estiércol,</w:t>
      </w:r>
      <w:r>
        <w:rPr>
          <w:spacing w:val="-2"/>
          <w:sz w:val="24"/>
        </w:rPr>
        <w:t> </w:t>
      </w:r>
      <w:r>
        <w:rPr>
          <w:sz w:val="24"/>
        </w:rPr>
        <w:t>por</w:t>
      </w:r>
      <w:r>
        <w:rPr>
          <w:spacing w:val="-2"/>
          <w:sz w:val="24"/>
        </w:rPr>
        <w:t> </w:t>
      </w:r>
      <w:r>
        <w:rPr>
          <w:sz w:val="24"/>
        </w:rPr>
        <w:t>tonelada</w:t>
        <w:tab/>
        <w:t>82.14</w:t>
      </w:r>
    </w:p>
    <w:p>
      <w:pPr>
        <w:spacing w:after="0" w:line="240" w:lineRule="auto"/>
        <w:jc w:val="left"/>
        <w:rPr>
          <w:sz w:val="24"/>
        </w:rPr>
        <w:sectPr>
          <w:pgSz w:w="12250" w:h="15850"/>
          <w:pgMar w:header="730" w:footer="0" w:top="1000" w:bottom="280" w:left="860" w:right="820"/>
        </w:sectPr>
      </w:pPr>
    </w:p>
    <w:p>
      <w:pPr>
        <w:pStyle w:val="ListParagraph"/>
        <w:numPr>
          <w:ilvl w:val="0"/>
          <w:numId w:val="21"/>
        </w:numPr>
        <w:tabs>
          <w:tab w:pos="2097" w:val="left" w:leader="none"/>
          <w:tab w:pos="2098" w:val="left" w:leader="none"/>
        </w:tabs>
        <w:spacing w:line="240" w:lineRule="auto" w:before="120" w:after="0"/>
        <w:ind w:left="2075" w:right="43" w:hanging="720"/>
        <w:jc w:val="left"/>
        <w:rPr>
          <w:sz w:val="24"/>
        </w:rPr>
      </w:pPr>
      <w:r>
        <w:rPr>
          <w:sz w:val="24"/>
        </w:rPr>
        <w:t>Por la venta de pieles de ganado bovino, por cada</w:t>
      </w:r>
      <w:r>
        <w:rPr>
          <w:spacing w:val="-3"/>
          <w:sz w:val="24"/>
        </w:rPr>
        <w:t> </w:t>
      </w:r>
      <w:r>
        <w:rPr>
          <w:sz w:val="24"/>
        </w:rPr>
        <w:t>una.</w:t>
      </w:r>
    </w:p>
    <w:p>
      <w:pPr>
        <w:pStyle w:val="ListParagraph"/>
        <w:numPr>
          <w:ilvl w:val="0"/>
          <w:numId w:val="21"/>
        </w:numPr>
        <w:tabs>
          <w:tab w:pos="2097" w:val="left" w:leader="none"/>
          <w:tab w:pos="2098" w:val="left" w:leader="none"/>
        </w:tabs>
        <w:spacing w:line="240" w:lineRule="auto" w:before="120" w:after="0"/>
        <w:ind w:left="2075" w:right="38" w:hanging="720"/>
        <w:jc w:val="left"/>
        <w:rPr>
          <w:sz w:val="24"/>
        </w:rPr>
      </w:pPr>
      <w:r>
        <w:rPr>
          <w:sz w:val="24"/>
        </w:rPr>
        <w:t>Por la venta de sangre de ganado porcino o bovino, por cada 18</w:t>
      </w:r>
      <w:r>
        <w:rPr>
          <w:spacing w:val="-1"/>
          <w:sz w:val="24"/>
        </w:rPr>
        <w:t> </w:t>
      </w:r>
      <w:r>
        <w:rPr>
          <w:sz w:val="24"/>
        </w:rPr>
        <w:t>litros</w:t>
      </w:r>
    </w:p>
    <w:p>
      <w:pPr>
        <w:pStyle w:val="BodyText"/>
        <w:spacing w:before="120"/>
        <w:ind w:left="1487"/>
      </w:pPr>
      <w:r>
        <w:rPr/>
        <w:br w:type="column"/>
      </w:r>
      <w:r>
        <w:rPr/>
        <w:t>7.14</w:t>
      </w:r>
    </w:p>
    <w:p>
      <w:pPr>
        <w:pStyle w:val="BodyText"/>
        <w:spacing w:before="4"/>
        <w:rPr>
          <w:sz w:val="34"/>
        </w:rPr>
      </w:pPr>
    </w:p>
    <w:p>
      <w:pPr>
        <w:pStyle w:val="BodyText"/>
        <w:spacing w:before="1"/>
        <w:ind w:left="1355"/>
      </w:pPr>
      <w:r>
        <w:rPr/>
        <w:t>44.64</w:t>
      </w:r>
    </w:p>
    <w:p>
      <w:pPr>
        <w:spacing w:after="0"/>
        <w:sectPr>
          <w:type w:val="continuous"/>
          <w:pgSz w:w="12250" w:h="15850"/>
          <w:pgMar w:top="840" w:bottom="280" w:left="860" w:right="820"/>
          <w:cols w:num="2" w:equalWidth="0">
            <w:col w:w="6906" w:space="308"/>
            <w:col w:w="3356"/>
          </w:cols>
        </w:sectPr>
      </w:pPr>
    </w:p>
    <w:p>
      <w:pPr>
        <w:pStyle w:val="BodyText"/>
        <w:spacing w:before="6"/>
        <w:rPr>
          <w:sz w:val="15"/>
        </w:rPr>
      </w:pPr>
    </w:p>
    <w:p>
      <w:pPr>
        <w:pStyle w:val="ListParagraph"/>
        <w:numPr>
          <w:ilvl w:val="0"/>
          <w:numId w:val="21"/>
        </w:numPr>
        <w:tabs>
          <w:tab w:pos="2056" w:val="left" w:leader="none"/>
          <w:tab w:pos="2057" w:val="left" w:leader="none"/>
          <w:tab w:pos="9170" w:val="right" w:leader="none"/>
        </w:tabs>
        <w:spacing w:line="240" w:lineRule="auto" w:before="92" w:after="0"/>
        <w:ind w:left="2056" w:right="0" w:hanging="702"/>
        <w:jc w:val="left"/>
        <w:rPr>
          <w:sz w:val="24"/>
        </w:rPr>
      </w:pPr>
      <w:r>
        <w:rPr>
          <w:sz w:val="24"/>
        </w:rPr>
        <w:t>Cebo,</w:t>
      </w:r>
      <w:r>
        <w:rPr>
          <w:spacing w:val="-3"/>
          <w:sz w:val="24"/>
        </w:rPr>
        <w:t> </w:t>
      </w:r>
      <w:r>
        <w:rPr>
          <w:sz w:val="24"/>
        </w:rPr>
        <w:t>por cabeza</w:t>
        <w:tab/>
        <w:t>1.79</w:t>
      </w:r>
    </w:p>
    <w:p>
      <w:pPr>
        <w:pStyle w:val="BodyText"/>
        <w:spacing w:before="7"/>
      </w:pPr>
    </w:p>
    <w:p>
      <w:pPr>
        <w:pStyle w:val="ListParagraph"/>
        <w:numPr>
          <w:ilvl w:val="0"/>
          <w:numId w:val="19"/>
        </w:numPr>
        <w:tabs>
          <w:tab w:pos="1572" w:val="left" w:leader="none"/>
          <w:tab w:pos="8528" w:val="left" w:leader="none"/>
        </w:tabs>
        <w:spacing w:line="240" w:lineRule="auto" w:before="1" w:after="0"/>
        <w:ind w:left="1571" w:right="1030" w:hanging="579"/>
        <w:jc w:val="both"/>
        <w:rPr>
          <w:sz w:val="24"/>
        </w:rPr>
      </w:pPr>
      <w:r>
        <w:rPr>
          <w:sz w:val="24"/>
        </w:rPr>
        <w:t>Por renta de locales anexos al Rastro Municipal, se pagará mensualmente:</w:t>
        <w:tab/>
        <w:t>1,</w:t>
      </w:r>
      <w:r>
        <w:rPr>
          <w:spacing w:val="5"/>
          <w:sz w:val="24"/>
        </w:rPr>
        <w:t> </w:t>
      </w:r>
      <w:r>
        <w:rPr>
          <w:spacing w:val="-4"/>
          <w:sz w:val="24"/>
        </w:rPr>
        <w:t>218.75</w:t>
      </w:r>
    </w:p>
    <w:p>
      <w:pPr>
        <w:pStyle w:val="ListParagraph"/>
        <w:numPr>
          <w:ilvl w:val="0"/>
          <w:numId w:val="19"/>
        </w:numPr>
        <w:tabs>
          <w:tab w:pos="1534" w:val="left" w:leader="none"/>
        </w:tabs>
        <w:spacing w:line="240" w:lineRule="auto" w:before="120" w:after="0"/>
        <w:ind w:left="1533" w:right="439" w:hanging="567"/>
        <w:jc w:val="both"/>
        <w:rPr>
          <w:sz w:val="24"/>
        </w:rPr>
      </w:pPr>
      <w:r>
        <w:rPr>
          <w:sz w:val="24"/>
        </w:rPr>
        <w:t>La refrigeración de carnes en el Rastro Municipal, se cobrará mediante los convenios que para tal efecto se suscriban entre los usuarios y los funcionarios facultados, de acuerdo a la cantidad de producto y tiempo de</w:t>
      </w:r>
      <w:r>
        <w:rPr>
          <w:spacing w:val="-14"/>
          <w:sz w:val="24"/>
        </w:rPr>
        <w:t> </w:t>
      </w:r>
      <w:r>
        <w:rPr>
          <w:sz w:val="24"/>
        </w:rPr>
        <w:t>utilización.</w:t>
      </w:r>
    </w:p>
    <w:p>
      <w:pPr>
        <w:pStyle w:val="BodyText"/>
      </w:pPr>
    </w:p>
    <w:p>
      <w:pPr>
        <w:pStyle w:val="Heading1"/>
        <w:ind w:left="1247" w:right="1279"/>
        <w:jc w:val="center"/>
      </w:pPr>
      <w:r>
        <w:rPr/>
        <w:t>Capítulo Séptimo</w:t>
      </w:r>
    </w:p>
    <w:p>
      <w:pPr>
        <w:spacing w:before="0"/>
        <w:ind w:left="1247" w:right="1283" w:firstLine="0"/>
        <w:jc w:val="center"/>
        <w:rPr>
          <w:b/>
          <w:sz w:val="24"/>
        </w:rPr>
      </w:pPr>
      <w:r>
        <w:rPr>
          <w:b/>
          <w:sz w:val="24"/>
        </w:rPr>
        <w:t>Servicios Especiales de Seguridad Pública</w:t>
      </w:r>
    </w:p>
    <w:p>
      <w:pPr>
        <w:pStyle w:val="BodyText"/>
        <w:rPr>
          <w:b/>
        </w:rPr>
      </w:pPr>
    </w:p>
    <w:p>
      <w:pPr>
        <w:pStyle w:val="BodyText"/>
        <w:ind w:left="880" w:right="430"/>
        <w:jc w:val="both"/>
      </w:pPr>
      <w:r>
        <w:rPr>
          <w:b/>
        </w:rPr>
        <w:t>Artículo 19.- </w:t>
      </w:r>
      <w:r>
        <w:rPr/>
        <w:t>Los servicios especiales que presten los elementos de Seguridad Pública, se cobrarán conforme a lo establecido en los Convenios, de acuerdo a la siguiente tarifa.</w:t>
      </w:r>
    </w:p>
    <w:p>
      <w:pPr>
        <w:pStyle w:val="BodyText"/>
      </w:pPr>
    </w:p>
    <w:p>
      <w:pPr>
        <w:pStyle w:val="ListParagraph"/>
        <w:numPr>
          <w:ilvl w:val="0"/>
          <w:numId w:val="22"/>
        </w:numPr>
        <w:tabs>
          <w:tab w:pos="1589" w:val="left" w:leader="none"/>
        </w:tabs>
        <w:spacing w:line="240" w:lineRule="auto" w:before="0" w:after="0"/>
        <w:ind w:left="1588" w:right="0" w:hanging="347"/>
        <w:jc w:val="left"/>
        <w:rPr>
          <w:sz w:val="24"/>
        </w:rPr>
      </w:pPr>
      <w:r>
        <w:rPr>
          <w:sz w:val="24"/>
        </w:rPr>
        <w:t>Tipo de</w:t>
      </w:r>
      <w:r>
        <w:rPr>
          <w:spacing w:val="-3"/>
          <w:sz w:val="24"/>
        </w:rPr>
        <w:t> </w:t>
      </w:r>
      <w:r>
        <w:rPr>
          <w:sz w:val="24"/>
        </w:rPr>
        <w:t>servicio:</w:t>
      </w:r>
    </w:p>
    <w:p>
      <w:pPr>
        <w:spacing w:after="0" w:line="240" w:lineRule="auto"/>
        <w:jc w:val="left"/>
        <w:rPr>
          <w:sz w:val="24"/>
        </w:rPr>
        <w:sectPr>
          <w:type w:val="continuous"/>
          <w:pgSz w:w="12250" w:h="15850"/>
          <w:pgMar w:top="840" w:bottom="280" w:left="860" w:right="820"/>
        </w:sectPr>
      </w:pPr>
    </w:p>
    <w:p>
      <w:pPr>
        <w:pStyle w:val="ListParagraph"/>
        <w:numPr>
          <w:ilvl w:val="1"/>
          <w:numId w:val="22"/>
        </w:numPr>
        <w:tabs>
          <w:tab w:pos="2299" w:val="left" w:leader="none"/>
          <w:tab w:pos="8343" w:val="left" w:leader="none"/>
        </w:tabs>
        <w:spacing w:line="240" w:lineRule="auto" w:before="183" w:after="0"/>
        <w:ind w:left="2298" w:right="0" w:hanging="337"/>
        <w:jc w:val="left"/>
        <w:rPr>
          <w:sz w:val="24"/>
        </w:rPr>
      </w:pPr>
      <w:r>
        <w:rPr>
          <w:sz w:val="24"/>
        </w:rPr>
        <w:t>Por hora y</w:t>
      </w:r>
      <w:r>
        <w:rPr>
          <w:spacing w:val="-7"/>
          <w:sz w:val="24"/>
        </w:rPr>
        <w:t> </w:t>
      </w:r>
      <w:r>
        <w:rPr>
          <w:sz w:val="24"/>
        </w:rPr>
        <w:t>por</w:t>
      </w:r>
      <w:r>
        <w:rPr>
          <w:spacing w:val="-1"/>
          <w:sz w:val="24"/>
        </w:rPr>
        <w:t> </w:t>
      </w:r>
      <w:r>
        <w:rPr>
          <w:sz w:val="24"/>
        </w:rPr>
        <w:t>elemento</w:t>
        <w:tab/>
        <w:t>$38.39</w:t>
      </w:r>
    </w:p>
    <w:p>
      <w:pPr>
        <w:pStyle w:val="BodyText"/>
      </w:pPr>
    </w:p>
    <w:p>
      <w:pPr>
        <w:pStyle w:val="Heading1"/>
        <w:ind w:left="1247" w:right="1281"/>
        <w:jc w:val="center"/>
      </w:pPr>
      <w:r>
        <w:rPr/>
        <w:t>Capítulo Octavo</w:t>
      </w:r>
    </w:p>
    <w:p>
      <w:pPr>
        <w:spacing w:before="0"/>
        <w:ind w:left="446" w:right="488" w:firstLine="0"/>
        <w:jc w:val="center"/>
        <w:rPr>
          <w:b/>
          <w:sz w:val="24"/>
        </w:rPr>
      </w:pPr>
      <w:r>
        <w:rPr>
          <w:b/>
          <w:sz w:val="24"/>
        </w:rPr>
        <w:t>Licencias, Permisos, Autorizaciones, Renovaciones y Anuencias en General para Uso del Suelo, Urbanización, Edificación y Otras Construcciones</w:t>
      </w:r>
    </w:p>
    <w:p>
      <w:pPr>
        <w:pStyle w:val="BodyText"/>
        <w:rPr>
          <w:b/>
        </w:rPr>
      </w:pPr>
    </w:p>
    <w:p>
      <w:pPr>
        <w:pStyle w:val="BodyText"/>
        <w:ind w:left="400" w:right="442"/>
        <w:jc w:val="both"/>
      </w:pPr>
      <w:r>
        <w:rPr/>
        <w:drawing>
          <wp:anchor distT="0" distB="0" distL="0" distR="0" allowOverlap="1" layoutInCell="1" locked="0" behindDoc="1" simplePos="0" relativeHeight="227493888">
            <wp:simplePos x="0" y="0"/>
            <wp:positionH relativeFrom="page">
              <wp:posOffset>1239220</wp:posOffset>
            </wp:positionH>
            <wp:positionV relativeFrom="paragraph">
              <wp:posOffset>242517</wp:posOffset>
            </wp:positionV>
            <wp:extent cx="5022641" cy="5144769"/>
            <wp:effectExtent l="0" t="0" r="0" b="0"/>
            <wp:wrapNone/>
            <wp:docPr id="53" name="image21.png"/>
            <wp:cNvGraphicFramePr>
              <a:graphicFrameLocks noChangeAspect="1"/>
            </wp:cNvGraphicFramePr>
            <a:graphic>
              <a:graphicData uri="http://schemas.openxmlformats.org/drawingml/2006/picture">
                <pic:pic>
                  <pic:nvPicPr>
                    <pic:cNvPr id="54" name="image21.png"/>
                    <pic:cNvPicPr/>
                  </pic:nvPicPr>
                  <pic:blipFill>
                    <a:blip r:embed="rId31" cstate="print"/>
                    <a:stretch>
                      <a:fillRect/>
                    </a:stretch>
                  </pic:blipFill>
                  <pic:spPr>
                    <a:xfrm>
                      <a:off x="0" y="0"/>
                      <a:ext cx="5022641" cy="5144769"/>
                    </a:xfrm>
                    <a:prstGeom prst="rect">
                      <a:avLst/>
                    </a:prstGeom>
                  </pic:spPr>
                </pic:pic>
              </a:graphicData>
            </a:graphic>
          </wp:anchor>
        </w:drawing>
      </w:r>
      <w:r>
        <w:rPr>
          <w:b/>
        </w:rPr>
        <w:t>Artículo 20.- </w:t>
      </w:r>
      <w:r>
        <w:rPr/>
        <w:t>Las personas físicas o morales que pretendan llevar a cabo cualquier tipo de acción urbanística o de edificación sobre un predio urbano o rústico o cambiar el uso o destino del suelo, fusionar, subdividir o ejecutar cualquier tipo de acción sobre un inmueble edificado, deberá obtener previamente la licencia, permiso o autorización respectiva y pagarán los derechos conforme a lo que se establece en las siguientes tarifas:</w:t>
      </w:r>
    </w:p>
    <w:p>
      <w:pPr>
        <w:pStyle w:val="BodyText"/>
      </w:pPr>
    </w:p>
    <w:p>
      <w:pPr>
        <w:pStyle w:val="Heading1"/>
        <w:numPr>
          <w:ilvl w:val="0"/>
          <w:numId w:val="23"/>
        </w:numPr>
        <w:tabs>
          <w:tab w:pos="603" w:val="left" w:leader="none"/>
        </w:tabs>
        <w:spacing w:line="240" w:lineRule="auto" w:before="1" w:after="0"/>
        <w:ind w:left="602" w:right="0" w:hanging="203"/>
        <w:jc w:val="both"/>
      </w:pPr>
      <w:r>
        <w:rPr/>
        <w:t>Relativo a Urbanización</w:t>
      </w:r>
    </w:p>
    <w:p>
      <w:pPr>
        <w:pStyle w:val="BodyText"/>
        <w:rPr>
          <w:b/>
        </w:rPr>
      </w:pPr>
    </w:p>
    <w:p>
      <w:pPr>
        <w:pStyle w:val="ListParagraph"/>
        <w:numPr>
          <w:ilvl w:val="1"/>
          <w:numId w:val="23"/>
        </w:numPr>
        <w:tabs>
          <w:tab w:pos="1217" w:val="left" w:leader="none"/>
        </w:tabs>
        <w:spacing w:line="240" w:lineRule="auto" w:before="0" w:after="0"/>
        <w:ind w:left="1216" w:right="0" w:hanging="495"/>
        <w:jc w:val="both"/>
        <w:rPr>
          <w:b/>
          <w:sz w:val="24"/>
        </w:rPr>
      </w:pPr>
      <w:r>
        <w:rPr>
          <w:b/>
          <w:sz w:val="24"/>
        </w:rPr>
        <w:t>Relativo a</w:t>
      </w:r>
      <w:r>
        <w:rPr>
          <w:b/>
          <w:spacing w:val="-4"/>
          <w:sz w:val="24"/>
        </w:rPr>
        <w:t> </w:t>
      </w:r>
      <w:r>
        <w:rPr>
          <w:b/>
          <w:sz w:val="24"/>
        </w:rPr>
        <w:t>Urbanización:</w:t>
      </w:r>
    </w:p>
    <w:p>
      <w:pPr>
        <w:pStyle w:val="ListParagraph"/>
        <w:numPr>
          <w:ilvl w:val="2"/>
          <w:numId w:val="23"/>
        </w:numPr>
        <w:tabs>
          <w:tab w:pos="1217" w:val="left" w:leader="none"/>
        </w:tabs>
        <w:spacing w:line="240" w:lineRule="auto" w:before="120" w:after="0"/>
        <w:ind w:left="1216" w:right="0" w:hanging="361"/>
        <w:jc w:val="both"/>
        <w:rPr>
          <w:sz w:val="24"/>
        </w:rPr>
      </w:pPr>
      <w:r>
        <w:rPr>
          <w:sz w:val="24"/>
        </w:rPr>
        <w:t>Por emisión de constancia de compatibilidad</w:t>
      </w:r>
      <w:r>
        <w:rPr>
          <w:spacing w:val="-8"/>
          <w:sz w:val="24"/>
        </w:rPr>
        <w:t> </w:t>
      </w:r>
      <w:r>
        <w:rPr>
          <w:sz w:val="24"/>
        </w:rPr>
        <w:t>urbanística</w:t>
      </w:r>
    </w:p>
    <w:p>
      <w:pPr>
        <w:pStyle w:val="BodyText"/>
        <w:tabs>
          <w:tab w:pos="9013" w:val="left" w:leader="none"/>
        </w:tabs>
        <w:spacing w:before="125"/>
        <w:ind w:left="789"/>
        <w:jc w:val="both"/>
      </w:pPr>
      <w:r>
        <w:rPr/>
        <w:t>Unidad</w:t>
        <w:tab/>
        <w:t>Importe</w:t>
      </w:r>
      <w:r>
        <w:rPr>
          <w:spacing w:val="-4"/>
        </w:rPr>
        <w:t> </w:t>
      </w:r>
      <w:r>
        <w:rPr/>
        <w:t>$</w:t>
      </w:r>
    </w:p>
    <w:p>
      <w:pPr>
        <w:pStyle w:val="BodyText"/>
        <w:tabs>
          <w:tab w:pos="9224" w:val="left" w:leader="none"/>
        </w:tabs>
        <w:spacing w:before="120"/>
        <w:ind w:left="496"/>
        <w:jc w:val="both"/>
      </w:pPr>
      <w:r>
        <w:rPr/>
        <w:t>1) Hasta por 1000 m2</w:t>
      </w:r>
      <w:r>
        <w:rPr>
          <w:spacing w:val="-9"/>
        </w:rPr>
        <w:t> </w:t>
      </w:r>
      <w:r>
        <w:rPr/>
        <w:t>de</w:t>
      </w:r>
      <w:r>
        <w:rPr>
          <w:spacing w:val="-1"/>
        </w:rPr>
        <w:t> </w:t>
      </w:r>
      <w:r>
        <w:rPr/>
        <w:t>superficie</w:t>
        <w:tab/>
        <w:t>$ 92.36</w:t>
      </w:r>
    </w:p>
    <w:p>
      <w:pPr>
        <w:pStyle w:val="ListParagraph"/>
        <w:numPr>
          <w:ilvl w:val="2"/>
          <w:numId w:val="23"/>
        </w:numPr>
        <w:tabs>
          <w:tab w:pos="1217" w:val="left" w:leader="none"/>
        </w:tabs>
        <w:spacing w:line="240" w:lineRule="auto" w:before="122" w:after="0"/>
        <w:ind w:left="1216" w:right="0" w:hanging="361"/>
        <w:jc w:val="both"/>
        <w:rPr>
          <w:sz w:val="24"/>
        </w:rPr>
      </w:pPr>
      <w:r>
        <w:rPr>
          <w:sz w:val="24"/>
        </w:rPr>
        <w:t>Por Refrendo de constancia de Compatibilidad</w:t>
      </w:r>
      <w:r>
        <w:rPr>
          <w:spacing w:val="-6"/>
          <w:sz w:val="24"/>
        </w:rPr>
        <w:t> </w:t>
      </w:r>
      <w:r>
        <w:rPr>
          <w:sz w:val="24"/>
        </w:rPr>
        <w:t>Urbanística</w:t>
      </w:r>
    </w:p>
    <w:p>
      <w:pPr>
        <w:pStyle w:val="BodyText"/>
        <w:tabs>
          <w:tab w:pos="9013" w:val="left" w:leader="none"/>
        </w:tabs>
        <w:spacing w:before="121"/>
        <w:ind w:left="933"/>
        <w:jc w:val="both"/>
      </w:pPr>
      <w:r>
        <w:rPr/>
        <w:t>Unidad</w:t>
        <w:tab/>
        <w:t>Importe</w:t>
      </w:r>
      <w:r>
        <w:rPr>
          <w:spacing w:val="-4"/>
        </w:rPr>
        <w:t> </w:t>
      </w:r>
      <w:r>
        <w:rPr/>
        <w:t>$</w:t>
      </w:r>
    </w:p>
    <w:p>
      <w:pPr>
        <w:pStyle w:val="ListParagraph"/>
        <w:numPr>
          <w:ilvl w:val="3"/>
          <w:numId w:val="23"/>
        </w:numPr>
        <w:tabs>
          <w:tab w:pos="1217" w:val="left" w:leader="none"/>
          <w:tab w:pos="9291" w:val="left" w:leader="none"/>
        </w:tabs>
        <w:spacing w:line="240" w:lineRule="auto" w:before="120" w:after="0"/>
        <w:ind w:left="1216" w:right="0" w:hanging="361"/>
        <w:jc w:val="both"/>
        <w:rPr>
          <w:sz w:val="24"/>
        </w:rPr>
      </w:pPr>
      <w:r>
        <w:rPr>
          <w:sz w:val="24"/>
        </w:rPr>
        <w:t>Por</w:t>
      </w:r>
      <w:r>
        <w:rPr>
          <w:spacing w:val="-2"/>
          <w:sz w:val="24"/>
        </w:rPr>
        <w:t> </w:t>
      </w:r>
      <w:r>
        <w:rPr>
          <w:sz w:val="24"/>
        </w:rPr>
        <w:t>documento</w:t>
      </w:r>
      <w:r>
        <w:rPr>
          <w:spacing w:val="-2"/>
          <w:sz w:val="24"/>
        </w:rPr>
        <w:t> </w:t>
      </w:r>
      <w:r>
        <w:rPr>
          <w:sz w:val="24"/>
        </w:rPr>
        <w:t>emitido</w:t>
        <w:tab/>
        <w:t>$30.36</w:t>
      </w:r>
    </w:p>
    <w:p>
      <w:pPr>
        <w:pStyle w:val="ListParagraph"/>
        <w:numPr>
          <w:ilvl w:val="2"/>
          <w:numId w:val="23"/>
        </w:numPr>
        <w:tabs>
          <w:tab w:pos="1217" w:val="left" w:leader="none"/>
        </w:tabs>
        <w:spacing w:line="240" w:lineRule="auto" w:before="124" w:after="0"/>
        <w:ind w:left="1216" w:right="543" w:hanging="360"/>
        <w:jc w:val="both"/>
        <w:rPr>
          <w:sz w:val="24"/>
        </w:rPr>
      </w:pPr>
      <w:r>
        <w:rPr>
          <w:sz w:val="24"/>
        </w:rPr>
        <w:t>Por Autorización del proyecto de fraccionamiento y acción urbana, indistintamente del uso o destino de suelo que resulte en la compatibilidad urbanística correspondiente:</w:t>
      </w:r>
    </w:p>
    <w:p>
      <w:pPr>
        <w:pStyle w:val="BodyText"/>
        <w:tabs>
          <w:tab w:pos="9013" w:val="left" w:leader="none"/>
        </w:tabs>
        <w:spacing w:before="121"/>
        <w:ind w:left="933"/>
        <w:jc w:val="both"/>
      </w:pPr>
      <w:r>
        <w:rPr/>
        <w:t>Unidad</w:t>
        <w:tab/>
        <w:t>Importe</w:t>
      </w:r>
      <w:r>
        <w:rPr>
          <w:spacing w:val="-4"/>
        </w:rPr>
        <w:t> </w:t>
      </w:r>
      <w:r>
        <w:rPr/>
        <w:t>$</w:t>
      </w:r>
    </w:p>
    <w:p>
      <w:pPr>
        <w:pStyle w:val="ListParagraph"/>
        <w:numPr>
          <w:ilvl w:val="3"/>
          <w:numId w:val="23"/>
        </w:numPr>
        <w:tabs>
          <w:tab w:pos="1217" w:val="left" w:leader="none"/>
          <w:tab w:pos="10026" w:val="right" w:leader="none"/>
        </w:tabs>
        <w:spacing w:line="240" w:lineRule="auto" w:before="120" w:after="0"/>
        <w:ind w:left="1216" w:right="0" w:hanging="267"/>
        <w:jc w:val="both"/>
        <w:rPr>
          <w:sz w:val="24"/>
        </w:rPr>
      </w:pPr>
      <w:r>
        <w:rPr>
          <w:sz w:val="24"/>
        </w:rPr>
        <w:t>Por Autorización por</w:t>
      </w:r>
      <w:r>
        <w:rPr>
          <w:spacing w:val="-2"/>
          <w:sz w:val="24"/>
        </w:rPr>
        <w:t> </w:t>
      </w:r>
      <w:r>
        <w:rPr>
          <w:sz w:val="24"/>
        </w:rPr>
        <w:t>cada</w:t>
      </w:r>
      <w:r>
        <w:rPr>
          <w:spacing w:val="-2"/>
          <w:sz w:val="24"/>
        </w:rPr>
        <w:t> </w:t>
      </w:r>
      <w:r>
        <w:rPr>
          <w:sz w:val="24"/>
        </w:rPr>
        <w:t>m2</w:t>
        <w:tab/>
        <w:t>0.24</w:t>
      </w:r>
    </w:p>
    <w:p>
      <w:pPr>
        <w:pStyle w:val="ListParagraph"/>
        <w:numPr>
          <w:ilvl w:val="2"/>
          <w:numId w:val="23"/>
        </w:numPr>
        <w:tabs>
          <w:tab w:pos="1217" w:val="left" w:leader="none"/>
          <w:tab w:pos="8893" w:val="left" w:leader="none"/>
        </w:tabs>
        <w:spacing w:line="240" w:lineRule="auto" w:before="125" w:after="0"/>
        <w:ind w:left="1216" w:right="0" w:hanging="361"/>
        <w:jc w:val="both"/>
        <w:rPr>
          <w:sz w:val="24"/>
        </w:rPr>
      </w:pPr>
      <w:r>
        <w:rPr>
          <w:sz w:val="24"/>
        </w:rPr>
        <w:t>Por homologación o nueva zonificación de uso</w:t>
      </w:r>
      <w:r>
        <w:rPr>
          <w:spacing w:val="-9"/>
          <w:sz w:val="24"/>
        </w:rPr>
        <w:t> </w:t>
      </w:r>
      <w:r>
        <w:rPr>
          <w:sz w:val="24"/>
        </w:rPr>
        <w:t>de</w:t>
      </w:r>
      <w:r>
        <w:rPr>
          <w:spacing w:val="-3"/>
          <w:sz w:val="24"/>
        </w:rPr>
        <w:t> </w:t>
      </w:r>
      <w:r>
        <w:rPr>
          <w:sz w:val="24"/>
        </w:rPr>
        <w:t>suelo</w:t>
        <w:tab/>
        <w:t>45 por</w:t>
      </w:r>
      <w:r>
        <w:rPr>
          <w:spacing w:val="-5"/>
          <w:sz w:val="24"/>
        </w:rPr>
        <w:t> </w:t>
      </w:r>
      <w:r>
        <w:rPr>
          <w:sz w:val="24"/>
        </w:rPr>
        <w:t>m2</w:t>
      </w:r>
    </w:p>
    <w:p>
      <w:pPr>
        <w:pStyle w:val="ListParagraph"/>
        <w:numPr>
          <w:ilvl w:val="2"/>
          <w:numId w:val="23"/>
        </w:numPr>
        <w:tabs>
          <w:tab w:pos="1217" w:val="left" w:leader="none"/>
        </w:tabs>
        <w:spacing w:line="240" w:lineRule="auto" w:before="120" w:after="0"/>
        <w:ind w:left="1216" w:right="539" w:hanging="360"/>
        <w:jc w:val="both"/>
        <w:rPr>
          <w:sz w:val="24"/>
        </w:rPr>
      </w:pPr>
      <w:r>
        <w:rPr>
          <w:sz w:val="24"/>
        </w:rPr>
        <w:t>Por emitir la autorización para urbanización correspondiente a autorización para apertura y construcción de calles (pavimento hidráulico, asfalto, empedrado), machuelos y banquetas, así como la introducción de infraestructura básica, (agua, drenaje, energía eléctrica, telefonía y servicio de</w:t>
      </w:r>
      <w:r>
        <w:rPr>
          <w:spacing w:val="-9"/>
          <w:sz w:val="24"/>
        </w:rPr>
        <w:t> </w:t>
      </w:r>
      <w:r>
        <w:rPr>
          <w:sz w:val="24"/>
        </w:rPr>
        <w:t>telecomunicaciones).</w:t>
      </w:r>
    </w:p>
    <w:p>
      <w:pPr>
        <w:pStyle w:val="BodyText"/>
        <w:tabs>
          <w:tab w:pos="8715" w:val="left" w:leader="none"/>
        </w:tabs>
        <w:spacing w:before="120"/>
        <w:ind w:right="533"/>
        <w:jc w:val="right"/>
      </w:pPr>
      <w:r>
        <w:rPr/>
        <w:t>Fraccionamiento</w:t>
        <w:tab/>
      </w:r>
      <w:r>
        <w:rPr>
          <w:spacing w:val="-1"/>
        </w:rPr>
        <w:t>Importe</w:t>
      </w:r>
    </w:p>
    <w:p>
      <w:pPr>
        <w:pStyle w:val="BodyText"/>
        <w:spacing w:before="120"/>
        <w:ind w:right="534"/>
        <w:jc w:val="right"/>
      </w:pPr>
      <w:r>
        <w:rPr/>
        <w:t>Por cada</w:t>
      </w:r>
      <w:r>
        <w:rPr>
          <w:spacing w:val="-4"/>
        </w:rPr>
        <w:t> </w:t>
      </w:r>
      <w:r>
        <w:rPr/>
        <w:t>m²</w:t>
      </w:r>
    </w:p>
    <w:p>
      <w:pPr>
        <w:pStyle w:val="ListParagraph"/>
        <w:numPr>
          <w:ilvl w:val="0"/>
          <w:numId w:val="24"/>
        </w:numPr>
        <w:tabs>
          <w:tab w:pos="1217" w:val="left" w:leader="none"/>
        </w:tabs>
        <w:spacing w:line="240" w:lineRule="auto" w:before="120" w:after="0"/>
        <w:ind w:left="1216" w:right="0" w:hanging="361"/>
        <w:jc w:val="left"/>
        <w:rPr>
          <w:sz w:val="24"/>
        </w:rPr>
      </w:pPr>
      <w:r>
        <w:rPr>
          <w:sz w:val="24"/>
        </w:rPr>
        <w:t>Habitacional:</w:t>
      </w:r>
    </w:p>
    <w:p>
      <w:pPr>
        <w:pStyle w:val="ListParagraph"/>
        <w:numPr>
          <w:ilvl w:val="1"/>
          <w:numId w:val="24"/>
        </w:numPr>
        <w:tabs>
          <w:tab w:pos="1577" w:val="left" w:leader="none"/>
          <w:tab w:pos="9425" w:val="left" w:leader="none"/>
        </w:tabs>
        <w:spacing w:line="240" w:lineRule="auto" w:before="120" w:after="0"/>
        <w:ind w:left="1576" w:right="0" w:hanging="361"/>
        <w:jc w:val="left"/>
        <w:rPr>
          <w:sz w:val="24"/>
        </w:rPr>
      </w:pPr>
      <w:r>
        <w:rPr>
          <w:sz w:val="24"/>
        </w:rPr>
        <w:t>Interés</w:t>
      </w:r>
      <w:r>
        <w:rPr>
          <w:spacing w:val="-1"/>
          <w:sz w:val="24"/>
        </w:rPr>
        <w:t> </w:t>
      </w:r>
      <w:r>
        <w:rPr>
          <w:sz w:val="24"/>
        </w:rPr>
        <w:t>social</w:t>
        <w:tab/>
        <w:t>$3.57</w:t>
      </w:r>
    </w:p>
    <w:p>
      <w:pPr>
        <w:spacing w:after="0" w:line="240" w:lineRule="auto"/>
        <w:jc w:val="left"/>
        <w:rPr>
          <w:sz w:val="24"/>
        </w:rPr>
        <w:sectPr>
          <w:pgSz w:w="12250" w:h="15850"/>
          <w:pgMar w:header="730" w:footer="0" w:top="1000" w:bottom="280" w:left="860" w:right="820"/>
        </w:sectPr>
      </w:pPr>
    </w:p>
    <w:p>
      <w:pPr>
        <w:pStyle w:val="ListParagraph"/>
        <w:numPr>
          <w:ilvl w:val="1"/>
          <w:numId w:val="24"/>
        </w:numPr>
        <w:tabs>
          <w:tab w:pos="1577" w:val="left" w:leader="none"/>
          <w:tab w:pos="2671" w:val="left" w:leader="none"/>
          <w:tab w:pos="3592" w:val="left" w:leader="none"/>
          <w:tab w:pos="5031" w:val="left" w:leader="none"/>
        </w:tabs>
        <w:spacing w:line="240" w:lineRule="auto" w:before="123" w:after="0"/>
        <w:ind w:left="1576" w:right="38" w:hanging="360"/>
        <w:jc w:val="left"/>
        <w:rPr>
          <w:sz w:val="24"/>
        </w:rPr>
      </w:pPr>
      <w:r>
        <w:rPr>
          <w:sz w:val="24"/>
        </w:rPr>
        <w:t>Popular,</w:t>
        <w:tab/>
        <w:t>Medio,</w:t>
        <w:tab/>
        <w:t>Residencial</w:t>
        <w:tab/>
      </w:r>
      <w:r>
        <w:rPr>
          <w:spacing w:val="-18"/>
          <w:sz w:val="24"/>
        </w:rPr>
        <w:t>y </w:t>
      </w:r>
      <w:r>
        <w:rPr>
          <w:sz w:val="24"/>
        </w:rPr>
        <w:t>Campestre</w:t>
      </w:r>
    </w:p>
    <w:p>
      <w:pPr>
        <w:pStyle w:val="ListParagraph"/>
        <w:numPr>
          <w:ilvl w:val="0"/>
          <w:numId w:val="24"/>
        </w:numPr>
        <w:tabs>
          <w:tab w:pos="1217" w:val="left" w:leader="none"/>
          <w:tab w:pos="2573" w:val="left" w:leader="none"/>
          <w:tab w:pos="3768" w:val="left" w:leader="none"/>
          <w:tab w:pos="5018" w:val="left" w:leader="none"/>
        </w:tabs>
        <w:spacing w:line="240" w:lineRule="auto" w:before="120" w:after="0"/>
        <w:ind w:left="1216" w:right="38" w:hanging="360"/>
        <w:jc w:val="left"/>
        <w:rPr>
          <w:sz w:val="24"/>
        </w:rPr>
      </w:pPr>
      <w:r>
        <w:rPr>
          <w:sz w:val="24"/>
        </w:rPr>
        <w:t>Comercial,</w:t>
        <w:tab/>
        <w:t>Turístico,</w:t>
        <w:tab/>
        <w:t>Servicios,</w:t>
        <w:tab/>
      </w:r>
      <w:r>
        <w:rPr>
          <w:spacing w:val="-18"/>
          <w:sz w:val="24"/>
        </w:rPr>
        <w:t>e </w:t>
      </w:r>
      <w:r>
        <w:rPr>
          <w:sz w:val="24"/>
        </w:rPr>
        <w:t>Industrial</w:t>
      </w:r>
    </w:p>
    <w:p>
      <w:pPr>
        <w:pStyle w:val="BodyText"/>
        <w:spacing w:before="123"/>
        <w:ind w:right="534"/>
        <w:jc w:val="right"/>
      </w:pPr>
      <w:r>
        <w:rPr/>
        <w:br w:type="column"/>
      </w:r>
      <w:r>
        <w:rPr>
          <w:spacing w:val="-1"/>
        </w:rPr>
        <w:t>$6.25</w:t>
      </w:r>
    </w:p>
    <w:p>
      <w:pPr>
        <w:pStyle w:val="BodyText"/>
        <w:spacing w:before="5"/>
        <w:rPr>
          <w:sz w:val="34"/>
        </w:rPr>
      </w:pPr>
    </w:p>
    <w:p>
      <w:pPr>
        <w:pStyle w:val="BodyText"/>
        <w:ind w:right="533"/>
        <w:jc w:val="right"/>
      </w:pPr>
      <w:r>
        <w:rPr>
          <w:spacing w:val="-1"/>
        </w:rPr>
        <w:t>$10.71</w:t>
      </w:r>
    </w:p>
    <w:p>
      <w:pPr>
        <w:spacing w:after="0"/>
        <w:jc w:val="right"/>
        <w:sectPr>
          <w:type w:val="continuous"/>
          <w:pgSz w:w="12250" w:h="15850"/>
          <w:pgMar w:top="840" w:bottom="280" w:left="860" w:right="820"/>
          <w:cols w:num="2" w:equalWidth="0">
            <w:col w:w="5192" w:space="3243"/>
            <w:col w:w="2135"/>
          </w:cols>
        </w:sectPr>
      </w:pPr>
    </w:p>
    <w:p>
      <w:pPr>
        <w:pStyle w:val="BodyText"/>
        <w:spacing w:before="1"/>
        <w:rPr>
          <w:sz w:val="9"/>
        </w:rPr>
      </w:pPr>
    </w:p>
    <w:p>
      <w:pPr>
        <w:pStyle w:val="ListParagraph"/>
        <w:numPr>
          <w:ilvl w:val="2"/>
          <w:numId w:val="23"/>
        </w:numPr>
        <w:tabs>
          <w:tab w:pos="1674" w:val="left" w:leader="none"/>
          <w:tab w:pos="1675" w:val="left" w:leader="none"/>
        </w:tabs>
        <w:spacing w:line="240" w:lineRule="auto" w:before="93" w:after="0"/>
        <w:ind w:left="1674" w:right="1000" w:hanging="360"/>
        <w:jc w:val="left"/>
        <w:rPr>
          <w:sz w:val="24"/>
        </w:rPr>
      </w:pPr>
      <w:r>
        <w:rPr>
          <w:sz w:val="24"/>
        </w:rPr>
        <w:t>Por la autorización de la subdivisión de predios conforme al proyecto de diseño urbano autorizado y al uso o destino de suelo correspondiente</w:t>
      </w:r>
      <w:r>
        <w:rPr>
          <w:spacing w:val="-24"/>
          <w:sz w:val="24"/>
        </w:rPr>
        <w:t> </w:t>
      </w:r>
      <w:r>
        <w:rPr>
          <w:sz w:val="24"/>
        </w:rPr>
        <w:t>a:</w:t>
      </w:r>
    </w:p>
    <w:p>
      <w:pPr>
        <w:pStyle w:val="BodyText"/>
        <w:tabs>
          <w:tab w:pos="7879" w:val="left" w:leader="none"/>
          <w:tab w:pos="9224" w:val="left" w:leader="none"/>
        </w:tabs>
        <w:spacing w:before="120"/>
        <w:ind w:left="1238"/>
      </w:pPr>
      <w:r>
        <w:rPr/>
        <w:t>Uso</w:t>
      </w:r>
      <w:r>
        <w:rPr>
          <w:spacing w:val="-1"/>
        </w:rPr>
        <w:t> </w:t>
      </w:r>
      <w:r>
        <w:rPr/>
        <w:t>del</w:t>
      </w:r>
      <w:r>
        <w:rPr>
          <w:spacing w:val="-1"/>
        </w:rPr>
        <w:t> </w:t>
      </w:r>
      <w:r>
        <w:rPr/>
        <w:t>suelo</w:t>
        <w:tab/>
        <w:t>Importe</w:t>
        <w:tab/>
        <w:t>por</w:t>
      </w:r>
    </w:p>
    <w:p>
      <w:pPr>
        <w:pStyle w:val="BodyText"/>
        <w:tabs>
          <w:tab w:pos="8725" w:val="left" w:leader="none"/>
          <w:tab w:pos="9435" w:val="left" w:leader="none"/>
        </w:tabs>
        <w:ind w:left="7879" w:right="992"/>
      </w:pPr>
      <w:r>
        <w:rPr/>
        <w:drawing>
          <wp:anchor distT="0" distB="0" distL="0" distR="0" allowOverlap="1" layoutInCell="1" locked="0" behindDoc="1" simplePos="0" relativeHeight="227494912">
            <wp:simplePos x="0" y="0"/>
            <wp:positionH relativeFrom="page">
              <wp:posOffset>1252555</wp:posOffset>
            </wp:positionH>
            <wp:positionV relativeFrom="paragraph">
              <wp:posOffset>682953</wp:posOffset>
            </wp:positionV>
            <wp:extent cx="5022641" cy="5144769"/>
            <wp:effectExtent l="0" t="0" r="0" b="0"/>
            <wp:wrapNone/>
            <wp:docPr id="55" name="image22.png"/>
            <wp:cNvGraphicFramePr>
              <a:graphicFrameLocks noChangeAspect="1"/>
            </wp:cNvGraphicFramePr>
            <a:graphic>
              <a:graphicData uri="http://schemas.openxmlformats.org/drawingml/2006/picture">
                <pic:pic>
                  <pic:nvPicPr>
                    <pic:cNvPr id="56" name="image22.png"/>
                    <pic:cNvPicPr/>
                  </pic:nvPicPr>
                  <pic:blipFill>
                    <a:blip r:embed="rId32" cstate="print"/>
                    <a:stretch>
                      <a:fillRect/>
                    </a:stretch>
                  </pic:blipFill>
                  <pic:spPr>
                    <a:xfrm>
                      <a:off x="0" y="0"/>
                      <a:ext cx="5022641" cy="5144769"/>
                    </a:xfrm>
                    <a:prstGeom prst="rect">
                      <a:avLst/>
                    </a:prstGeom>
                  </pic:spPr>
                </pic:pic>
              </a:graphicData>
            </a:graphic>
          </wp:anchor>
        </w:drawing>
      </w:r>
      <w:r>
        <w:rPr/>
        <w:t>cada</w:t>
        <w:tab/>
        <w:t>lote</w:t>
        <w:tab/>
      </w:r>
      <w:r>
        <w:rPr>
          <w:spacing w:val="-19"/>
        </w:rPr>
        <w:t>o </w:t>
      </w:r>
      <w:r>
        <w:rPr/>
        <w:t>fracción</w:t>
      </w:r>
    </w:p>
    <w:p>
      <w:pPr>
        <w:pStyle w:val="BodyText"/>
        <w:spacing w:before="1" w:after="1"/>
        <w:rPr>
          <w:sz w:val="11"/>
        </w:rPr>
      </w:pPr>
    </w:p>
    <w:tbl>
      <w:tblPr>
        <w:tblW w:w="0" w:type="auto"/>
        <w:jc w:val="left"/>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82"/>
        <w:gridCol w:w="1434"/>
        <w:gridCol w:w="241"/>
      </w:tblGrid>
      <w:tr>
        <w:trPr>
          <w:trHeight w:val="884" w:hRule="atLeast"/>
        </w:trPr>
        <w:tc>
          <w:tcPr>
            <w:tcW w:w="7782" w:type="dxa"/>
          </w:tcPr>
          <w:p>
            <w:pPr>
              <w:pStyle w:val="TableParagraph"/>
              <w:ind w:left="1324" w:right="829" w:hanging="360"/>
              <w:jc w:val="both"/>
              <w:rPr>
                <w:sz w:val="24"/>
              </w:rPr>
            </w:pPr>
            <w:r>
              <w:rPr>
                <w:sz w:val="24"/>
              </w:rPr>
              <w:t>1) Fraccionamientos especiales (Campestre, Industrial, Comercial y de Servicios, Granjas de explotación agropecuaria y Cementerios).</w:t>
            </w:r>
          </w:p>
        </w:tc>
        <w:tc>
          <w:tcPr>
            <w:tcW w:w="1434" w:type="dxa"/>
          </w:tcPr>
          <w:p>
            <w:pPr>
              <w:pStyle w:val="TableParagraph"/>
              <w:spacing w:line="268" w:lineRule="exact"/>
              <w:ind w:left="40" w:right="50"/>
              <w:jc w:val="center"/>
              <w:rPr>
                <w:sz w:val="24"/>
              </w:rPr>
            </w:pPr>
            <w:r>
              <w:rPr>
                <w:sz w:val="24"/>
              </w:rPr>
              <w:t>$34.82</w:t>
            </w:r>
          </w:p>
        </w:tc>
        <w:tc>
          <w:tcPr>
            <w:tcW w:w="241" w:type="dxa"/>
          </w:tcPr>
          <w:p>
            <w:pPr>
              <w:pStyle w:val="TableParagraph"/>
              <w:rPr>
                <w:rFonts w:ascii="Times New Roman"/>
                <w:sz w:val="24"/>
              </w:rPr>
            </w:pPr>
          </w:p>
        </w:tc>
      </w:tr>
      <w:tr>
        <w:trPr>
          <w:trHeight w:val="672" w:hRule="atLeast"/>
        </w:trPr>
        <w:tc>
          <w:tcPr>
            <w:tcW w:w="7782" w:type="dxa"/>
          </w:tcPr>
          <w:p>
            <w:pPr>
              <w:pStyle w:val="TableParagraph"/>
              <w:spacing w:before="56"/>
              <w:ind w:left="1324" w:right="895" w:hanging="360"/>
              <w:rPr>
                <w:sz w:val="24"/>
              </w:rPr>
            </w:pPr>
            <w:r>
              <w:rPr>
                <w:sz w:val="24"/>
              </w:rPr>
              <w:t>2) Fraccionamiento Habitacional Interés Social y social progresivo</w:t>
            </w:r>
          </w:p>
        </w:tc>
        <w:tc>
          <w:tcPr>
            <w:tcW w:w="1434" w:type="dxa"/>
          </w:tcPr>
          <w:p>
            <w:pPr>
              <w:pStyle w:val="TableParagraph"/>
              <w:spacing w:before="56"/>
              <w:ind w:left="40" w:right="50"/>
              <w:jc w:val="center"/>
              <w:rPr>
                <w:sz w:val="24"/>
              </w:rPr>
            </w:pPr>
            <w:r>
              <w:rPr>
                <w:sz w:val="24"/>
              </w:rPr>
              <w:t>$51.79</w:t>
            </w:r>
          </w:p>
        </w:tc>
        <w:tc>
          <w:tcPr>
            <w:tcW w:w="241" w:type="dxa"/>
          </w:tcPr>
          <w:p>
            <w:pPr>
              <w:pStyle w:val="TableParagraph"/>
              <w:rPr>
                <w:rFonts w:ascii="Times New Roman"/>
                <w:sz w:val="24"/>
              </w:rPr>
            </w:pPr>
          </w:p>
        </w:tc>
      </w:tr>
      <w:tr>
        <w:trPr>
          <w:trHeight w:val="672" w:hRule="atLeast"/>
        </w:trPr>
        <w:tc>
          <w:tcPr>
            <w:tcW w:w="7782" w:type="dxa"/>
          </w:tcPr>
          <w:p>
            <w:pPr>
              <w:pStyle w:val="TableParagraph"/>
              <w:spacing w:before="56"/>
              <w:ind w:left="1324" w:right="895" w:hanging="360"/>
              <w:rPr>
                <w:sz w:val="24"/>
              </w:rPr>
            </w:pPr>
            <w:r>
              <w:rPr>
                <w:sz w:val="24"/>
              </w:rPr>
              <w:t>3) Fraccionamiento Habitacional popular, medio, Mixto y Residencial.</w:t>
            </w:r>
          </w:p>
        </w:tc>
        <w:tc>
          <w:tcPr>
            <w:tcW w:w="1434" w:type="dxa"/>
          </w:tcPr>
          <w:p>
            <w:pPr>
              <w:pStyle w:val="TableParagraph"/>
              <w:spacing w:before="56"/>
              <w:ind w:left="40" w:right="50"/>
              <w:jc w:val="center"/>
              <w:rPr>
                <w:sz w:val="24"/>
              </w:rPr>
            </w:pPr>
            <w:r>
              <w:rPr>
                <w:sz w:val="24"/>
              </w:rPr>
              <w:t>$75.89</w:t>
            </w:r>
          </w:p>
        </w:tc>
        <w:tc>
          <w:tcPr>
            <w:tcW w:w="241" w:type="dxa"/>
          </w:tcPr>
          <w:p>
            <w:pPr>
              <w:pStyle w:val="TableParagraph"/>
              <w:rPr>
                <w:rFonts w:ascii="Times New Roman"/>
                <w:sz w:val="24"/>
              </w:rPr>
            </w:pPr>
          </w:p>
        </w:tc>
      </w:tr>
      <w:tr>
        <w:trPr>
          <w:trHeight w:val="608" w:hRule="atLeast"/>
        </w:trPr>
        <w:tc>
          <w:tcPr>
            <w:tcW w:w="7782" w:type="dxa"/>
          </w:tcPr>
          <w:p>
            <w:pPr>
              <w:pStyle w:val="TableParagraph"/>
              <w:spacing w:line="270" w:lineRule="atLeast" w:before="56"/>
              <w:ind w:left="50"/>
              <w:rPr>
                <w:sz w:val="24"/>
              </w:rPr>
            </w:pPr>
            <w:r>
              <w:rPr>
                <w:sz w:val="24"/>
              </w:rPr>
              <w:t>El pago de los derechos anteriores también aplica a las acciones destinos del suelo.</w:t>
            </w:r>
          </w:p>
        </w:tc>
        <w:tc>
          <w:tcPr>
            <w:tcW w:w="1434" w:type="dxa"/>
          </w:tcPr>
          <w:p>
            <w:pPr>
              <w:pStyle w:val="TableParagraph"/>
              <w:spacing w:before="56"/>
              <w:ind w:left="50" w:right="50"/>
              <w:jc w:val="center"/>
              <w:rPr>
                <w:sz w:val="24"/>
              </w:rPr>
            </w:pPr>
            <w:r>
              <w:rPr>
                <w:sz w:val="24"/>
              </w:rPr>
              <w:t>urbanísticas</w:t>
            </w:r>
          </w:p>
        </w:tc>
        <w:tc>
          <w:tcPr>
            <w:tcW w:w="241" w:type="dxa"/>
          </w:tcPr>
          <w:p>
            <w:pPr>
              <w:pStyle w:val="TableParagraph"/>
              <w:spacing w:before="56"/>
              <w:ind w:left="71"/>
              <w:rPr>
                <w:sz w:val="24"/>
              </w:rPr>
            </w:pPr>
            <w:r>
              <w:rPr>
                <w:sz w:val="24"/>
              </w:rPr>
              <w:t>y</w:t>
            </w:r>
          </w:p>
        </w:tc>
      </w:tr>
    </w:tbl>
    <w:p>
      <w:pPr>
        <w:pStyle w:val="ListParagraph"/>
        <w:numPr>
          <w:ilvl w:val="2"/>
          <w:numId w:val="23"/>
        </w:numPr>
        <w:tabs>
          <w:tab w:pos="1673" w:val="left" w:leader="none"/>
        </w:tabs>
        <w:spacing w:line="240" w:lineRule="auto" w:before="120" w:after="0"/>
        <w:ind w:left="1672" w:right="997" w:hanging="360"/>
        <w:jc w:val="left"/>
        <w:rPr>
          <w:sz w:val="24"/>
        </w:rPr>
      </w:pPr>
      <w:r>
        <w:rPr>
          <w:sz w:val="24"/>
        </w:rPr>
        <w:t>Por emitir autorización para movimiento de tierras para la transformación de terrenos y</w:t>
      </w:r>
      <w:r>
        <w:rPr>
          <w:spacing w:val="-3"/>
          <w:sz w:val="24"/>
        </w:rPr>
        <w:t> </w:t>
      </w:r>
      <w:r>
        <w:rPr>
          <w:sz w:val="24"/>
        </w:rPr>
        <w:t>lotes</w:t>
      </w:r>
    </w:p>
    <w:p>
      <w:pPr>
        <w:pStyle w:val="BodyText"/>
        <w:spacing w:before="1"/>
        <w:rPr>
          <w:sz w:val="11"/>
        </w:rPr>
      </w:pPr>
    </w:p>
    <w:tbl>
      <w:tblPr>
        <w:tblW w:w="0" w:type="auto"/>
        <w:jc w:val="left"/>
        <w:tblInd w:w="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3"/>
        <w:gridCol w:w="755"/>
        <w:gridCol w:w="2074"/>
        <w:gridCol w:w="2176"/>
      </w:tblGrid>
      <w:tr>
        <w:trPr>
          <w:trHeight w:val="332" w:hRule="atLeast"/>
        </w:trPr>
        <w:tc>
          <w:tcPr>
            <w:tcW w:w="3713" w:type="dxa"/>
          </w:tcPr>
          <w:p>
            <w:pPr>
              <w:pStyle w:val="TableParagraph"/>
              <w:spacing w:line="268" w:lineRule="exact"/>
              <w:ind w:left="50"/>
              <w:rPr>
                <w:sz w:val="24"/>
              </w:rPr>
            </w:pPr>
            <w:r>
              <w:rPr>
                <w:sz w:val="24"/>
              </w:rPr>
              <w:t>Superficie</w:t>
            </w:r>
          </w:p>
        </w:tc>
        <w:tc>
          <w:tcPr>
            <w:tcW w:w="755" w:type="dxa"/>
          </w:tcPr>
          <w:p>
            <w:pPr>
              <w:pStyle w:val="TableParagraph"/>
              <w:rPr>
                <w:rFonts w:ascii="Times New Roman"/>
                <w:sz w:val="24"/>
              </w:rPr>
            </w:pPr>
          </w:p>
        </w:tc>
        <w:tc>
          <w:tcPr>
            <w:tcW w:w="2074" w:type="dxa"/>
          </w:tcPr>
          <w:p>
            <w:pPr>
              <w:pStyle w:val="TableParagraph"/>
              <w:rPr>
                <w:rFonts w:ascii="Times New Roman"/>
                <w:sz w:val="24"/>
              </w:rPr>
            </w:pPr>
          </w:p>
        </w:tc>
        <w:tc>
          <w:tcPr>
            <w:tcW w:w="2176" w:type="dxa"/>
          </w:tcPr>
          <w:p>
            <w:pPr>
              <w:pStyle w:val="TableParagraph"/>
              <w:spacing w:line="268" w:lineRule="exact"/>
              <w:ind w:right="47"/>
              <w:jc w:val="right"/>
              <w:rPr>
                <w:sz w:val="24"/>
              </w:rPr>
            </w:pPr>
            <w:r>
              <w:rPr>
                <w:sz w:val="24"/>
              </w:rPr>
              <w:t>Importe $</w:t>
            </w:r>
          </w:p>
        </w:tc>
      </w:tr>
      <w:tr>
        <w:trPr>
          <w:trHeight w:val="395" w:hRule="atLeast"/>
        </w:trPr>
        <w:tc>
          <w:tcPr>
            <w:tcW w:w="3713" w:type="dxa"/>
          </w:tcPr>
          <w:p>
            <w:pPr>
              <w:pStyle w:val="TableParagraph"/>
              <w:spacing w:before="56"/>
              <w:ind w:left="409"/>
              <w:rPr>
                <w:sz w:val="24"/>
              </w:rPr>
            </w:pPr>
            <w:r>
              <w:rPr>
                <w:sz w:val="24"/>
              </w:rPr>
              <w:t>1) Por cada 1.0 m3</w:t>
            </w:r>
          </w:p>
        </w:tc>
        <w:tc>
          <w:tcPr>
            <w:tcW w:w="755" w:type="dxa"/>
          </w:tcPr>
          <w:p>
            <w:pPr>
              <w:pStyle w:val="TableParagraph"/>
              <w:rPr>
                <w:rFonts w:ascii="Times New Roman"/>
                <w:sz w:val="24"/>
              </w:rPr>
            </w:pPr>
          </w:p>
        </w:tc>
        <w:tc>
          <w:tcPr>
            <w:tcW w:w="2074" w:type="dxa"/>
          </w:tcPr>
          <w:p>
            <w:pPr>
              <w:pStyle w:val="TableParagraph"/>
              <w:rPr>
                <w:rFonts w:ascii="Times New Roman"/>
                <w:sz w:val="24"/>
              </w:rPr>
            </w:pPr>
          </w:p>
        </w:tc>
        <w:tc>
          <w:tcPr>
            <w:tcW w:w="2176" w:type="dxa"/>
          </w:tcPr>
          <w:p>
            <w:pPr>
              <w:pStyle w:val="TableParagraph"/>
              <w:spacing w:before="56"/>
              <w:ind w:right="47"/>
              <w:jc w:val="right"/>
              <w:rPr>
                <w:sz w:val="24"/>
              </w:rPr>
            </w:pPr>
            <w:r>
              <w:rPr>
                <w:sz w:val="24"/>
              </w:rPr>
              <w:t>16.07</w:t>
            </w:r>
          </w:p>
        </w:tc>
      </w:tr>
      <w:tr>
        <w:trPr>
          <w:trHeight w:val="332" w:hRule="atLeast"/>
        </w:trPr>
        <w:tc>
          <w:tcPr>
            <w:tcW w:w="3713" w:type="dxa"/>
          </w:tcPr>
          <w:p>
            <w:pPr>
              <w:pStyle w:val="TableParagraph"/>
              <w:tabs>
                <w:tab w:pos="1419" w:val="left" w:leader="none"/>
                <w:tab w:pos="2280" w:val="left" w:leader="none"/>
              </w:tabs>
              <w:spacing w:line="256" w:lineRule="exact" w:before="56"/>
              <w:ind w:left="409"/>
              <w:rPr>
                <w:sz w:val="24"/>
              </w:rPr>
            </w:pPr>
            <w:r>
              <w:rPr>
                <w:sz w:val="24"/>
              </w:rPr>
              <w:t>h) </w:t>
            </w:r>
            <w:r>
              <w:rPr>
                <w:spacing w:val="11"/>
                <w:sz w:val="24"/>
              </w:rPr>
              <w:t> </w:t>
            </w:r>
            <w:r>
              <w:rPr>
                <w:sz w:val="24"/>
              </w:rPr>
              <w:t>Por</w:t>
              <w:tab/>
              <w:t>emitir</w:t>
              <w:tab/>
              <w:t>autorización</w:t>
            </w:r>
          </w:p>
        </w:tc>
        <w:tc>
          <w:tcPr>
            <w:tcW w:w="755" w:type="dxa"/>
          </w:tcPr>
          <w:p>
            <w:pPr>
              <w:pStyle w:val="TableParagraph"/>
              <w:spacing w:line="256" w:lineRule="exact" w:before="56"/>
              <w:ind w:left="138"/>
              <w:rPr>
                <w:sz w:val="24"/>
              </w:rPr>
            </w:pPr>
            <w:r>
              <w:rPr>
                <w:sz w:val="24"/>
              </w:rPr>
              <w:t>para</w:t>
            </w:r>
          </w:p>
        </w:tc>
        <w:tc>
          <w:tcPr>
            <w:tcW w:w="2074" w:type="dxa"/>
          </w:tcPr>
          <w:p>
            <w:pPr>
              <w:pStyle w:val="TableParagraph"/>
              <w:spacing w:line="256" w:lineRule="exact" w:before="56"/>
              <w:ind w:left="138"/>
              <w:rPr>
                <w:sz w:val="24"/>
              </w:rPr>
            </w:pPr>
            <w:r>
              <w:rPr>
                <w:sz w:val="24"/>
              </w:rPr>
              <w:t>compactaciones,</w:t>
            </w:r>
          </w:p>
        </w:tc>
        <w:tc>
          <w:tcPr>
            <w:tcW w:w="2176" w:type="dxa"/>
          </w:tcPr>
          <w:p>
            <w:pPr>
              <w:pStyle w:val="TableParagraph"/>
              <w:tabs>
                <w:tab w:pos="1500" w:val="left" w:leader="none"/>
              </w:tabs>
              <w:spacing w:line="256" w:lineRule="exact" w:before="56"/>
              <w:ind w:right="55"/>
              <w:jc w:val="right"/>
              <w:rPr>
                <w:sz w:val="24"/>
              </w:rPr>
            </w:pPr>
            <w:r>
              <w:rPr>
                <w:sz w:val="24"/>
              </w:rPr>
              <w:t>pavimentos</w:t>
              <w:tab/>
            </w:r>
            <w:r>
              <w:rPr>
                <w:spacing w:val="-1"/>
                <w:w w:val="95"/>
                <w:sz w:val="24"/>
              </w:rPr>
              <w:t>para</w:t>
            </w:r>
          </w:p>
        </w:tc>
      </w:tr>
    </w:tbl>
    <w:p>
      <w:pPr>
        <w:pStyle w:val="BodyText"/>
        <w:ind w:left="1672"/>
      </w:pPr>
      <w:r>
        <w:rPr/>
        <w:t>estacionamientos, patios de maniobras y accesos:</w:t>
      </w:r>
    </w:p>
    <w:p>
      <w:pPr>
        <w:pStyle w:val="BodyText"/>
        <w:tabs>
          <w:tab w:pos="8557" w:val="left" w:leader="none"/>
        </w:tabs>
        <w:spacing w:before="120"/>
        <w:ind w:left="952"/>
      </w:pPr>
      <w:r>
        <w:rPr/>
        <w:t>Superficie</w:t>
        <w:tab/>
        <w:t>Importe</w:t>
      </w:r>
      <w:r>
        <w:rPr>
          <w:spacing w:val="-4"/>
        </w:rPr>
        <w:t> </w:t>
      </w:r>
      <w:r>
        <w:rPr/>
        <w:t>$</w:t>
      </w:r>
    </w:p>
    <w:p>
      <w:pPr>
        <w:pStyle w:val="BodyText"/>
        <w:tabs>
          <w:tab w:pos="9570" w:val="right" w:leader="none"/>
        </w:tabs>
        <w:spacing w:before="120"/>
        <w:ind w:left="1672"/>
      </w:pPr>
      <w:r>
        <w:rPr/>
        <w:t>1)  Por cada</w:t>
      </w:r>
      <w:r>
        <w:rPr>
          <w:spacing w:val="11"/>
        </w:rPr>
        <w:t> </w:t>
      </w:r>
      <w:r>
        <w:rPr/>
        <w:t>1.0</w:t>
      </w:r>
      <w:r>
        <w:rPr>
          <w:spacing w:val="-1"/>
        </w:rPr>
        <w:t> </w:t>
      </w:r>
      <w:r>
        <w:rPr/>
        <w:t>m2</w:t>
        <w:tab/>
        <w:t>6.25</w:t>
      </w:r>
    </w:p>
    <w:p>
      <w:pPr>
        <w:pStyle w:val="BodyText"/>
        <w:spacing w:before="276"/>
        <w:ind w:left="1533" w:right="853" w:hanging="360"/>
        <w:jc w:val="both"/>
      </w:pPr>
      <w:r>
        <w:rPr/>
        <w:t>i) Por emitir licencia para la construcción en la vía pública con motivo de la instalación de infraestructura superficial, subterránea o aérea, una vez autorizado el proyecto:</w:t>
      </w:r>
    </w:p>
    <w:p>
      <w:pPr>
        <w:pStyle w:val="BodyText"/>
        <w:tabs>
          <w:tab w:pos="8696" w:val="left" w:leader="none"/>
        </w:tabs>
        <w:spacing w:before="123"/>
        <w:ind w:left="813"/>
      </w:pPr>
      <w:r>
        <w:rPr/>
        <w:t>Unidad</w:t>
        <w:tab/>
        <w:t>Importe</w:t>
      </w:r>
      <w:r>
        <w:rPr>
          <w:spacing w:val="-4"/>
        </w:rPr>
        <w:t> </w:t>
      </w:r>
      <w:r>
        <w:rPr/>
        <w:t>$</w:t>
      </w:r>
    </w:p>
    <w:p>
      <w:pPr>
        <w:pStyle w:val="ListParagraph"/>
        <w:numPr>
          <w:ilvl w:val="0"/>
          <w:numId w:val="25"/>
        </w:numPr>
        <w:tabs>
          <w:tab w:pos="1149" w:val="left" w:leader="none"/>
          <w:tab w:pos="9710" w:val="right" w:leader="none"/>
        </w:tabs>
        <w:spacing w:line="240" w:lineRule="auto" w:before="120" w:after="0"/>
        <w:ind w:left="1148" w:right="0" w:hanging="336"/>
        <w:jc w:val="left"/>
        <w:rPr>
          <w:sz w:val="24"/>
        </w:rPr>
      </w:pPr>
      <w:r>
        <w:rPr>
          <w:sz w:val="24"/>
        </w:rPr>
        <w:t>Por cada</w:t>
      </w:r>
      <w:r>
        <w:rPr>
          <w:spacing w:val="-2"/>
          <w:sz w:val="24"/>
        </w:rPr>
        <w:t> </w:t>
      </w:r>
      <w:r>
        <w:rPr>
          <w:sz w:val="24"/>
        </w:rPr>
        <w:t>metro</w:t>
      </w:r>
      <w:r>
        <w:rPr>
          <w:spacing w:val="-2"/>
          <w:sz w:val="24"/>
        </w:rPr>
        <w:t> </w:t>
      </w:r>
      <w:r>
        <w:rPr>
          <w:sz w:val="24"/>
        </w:rPr>
        <w:t>cuadrado</w:t>
        <w:tab/>
        <w:t>16.07</w:t>
      </w:r>
    </w:p>
    <w:p>
      <w:pPr>
        <w:pStyle w:val="ListParagraph"/>
        <w:numPr>
          <w:ilvl w:val="0"/>
          <w:numId w:val="25"/>
        </w:numPr>
        <w:tabs>
          <w:tab w:pos="1157" w:val="left" w:leader="none"/>
          <w:tab w:pos="9710" w:val="right" w:leader="none"/>
        </w:tabs>
        <w:spacing w:line="240" w:lineRule="auto" w:before="120" w:after="0"/>
        <w:ind w:left="1156" w:right="0" w:hanging="284"/>
        <w:jc w:val="left"/>
        <w:rPr>
          <w:sz w:val="24"/>
        </w:rPr>
      </w:pPr>
      <w:r>
        <w:rPr>
          <w:sz w:val="24"/>
        </w:rPr>
        <w:t>Por cada metro lineal</w:t>
      </w:r>
      <w:r>
        <w:rPr>
          <w:spacing w:val="-8"/>
          <w:sz w:val="24"/>
        </w:rPr>
        <w:t> </w:t>
      </w:r>
      <w:r>
        <w:rPr>
          <w:sz w:val="24"/>
        </w:rPr>
        <w:t>de ducto</w:t>
        <w:tab/>
        <w:t>16.07</w:t>
      </w:r>
    </w:p>
    <w:p>
      <w:pPr>
        <w:spacing w:after="0" w:line="240" w:lineRule="auto"/>
        <w:jc w:val="left"/>
        <w:rPr>
          <w:sz w:val="24"/>
        </w:rPr>
        <w:sectPr>
          <w:pgSz w:w="12250" w:h="15850"/>
          <w:pgMar w:header="730" w:footer="0" w:top="1000" w:bottom="280" w:left="860" w:right="820"/>
        </w:sectPr>
      </w:pPr>
    </w:p>
    <w:p>
      <w:pPr>
        <w:pStyle w:val="ListParagraph"/>
        <w:numPr>
          <w:ilvl w:val="0"/>
          <w:numId w:val="25"/>
        </w:numPr>
        <w:tabs>
          <w:tab w:pos="1157" w:val="left" w:leader="none"/>
        </w:tabs>
        <w:spacing w:line="240" w:lineRule="auto" w:before="120" w:after="0"/>
        <w:ind w:left="1156" w:right="38" w:hanging="284"/>
        <w:jc w:val="left"/>
        <w:rPr>
          <w:sz w:val="24"/>
        </w:rPr>
      </w:pPr>
      <w:r>
        <w:rPr>
          <w:sz w:val="24"/>
        </w:rPr>
        <w:t>Por cada metro lineal y metro de conducción</w:t>
      </w:r>
    </w:p>
    <w:p>
      <w:pPr>
        <w:pStyle w:val="BodyText"/>
        <w:spacing w:before="120"/>
        <w:ind w:left="857" w:right="836"/>
        <w:jc w:val="center"/>
      </w:pPr>
      <w:r>
        <w:rPr/>
        <w:br w:type="column"/>
      </w:r>
      <w:r>
        <w:rPr/>
        <w:t>16.07</w:t>
      </w:r>
    </w:p>
    <w:p>
      <w:pPr>
        <w:spacing w:after="0"/>
        <w:jc w:val="center"/>
        <w:sectPr>
          <w:type w:val="continuous"/>
          <w:pgSz w:w="12250" w:h="15850"/>
          <w:pgMar w:top="840" w:bottom="280" w:left="860" w:right="820"/>
          <w:cols w:num="2" w:equalWidth="0">
            <w:col w:w="5397" w:space="2839"/>
            <w:col w:w="2334"/>
          </w:cols>
        </w:sectPr>
      </w:pPr>
    </w:p>
    <w:p>
      <w:pPr>
        <w:pStyle w:val="ListParagraph"/>
        <w:numPr>
          <w:ilvl w:val="0"/>
          <w:numId w:val="26"/>
        </w:numPr>
        <w:tabs>
          <w:tab w:pos="1534" w:val="left" w:leader="none"/>
        </w:tabs>
        <w:spacing w:line="240" w:lineRule="auto" w:before="128" w:after="0"/>
        <w:ind w:left="1533" w:right="845" w:hanging="360"/>
        <w:jc w:val="both"/>
        <w:rPr>
          <w:sz w:val="24"/>
        </w:rPr>
      </w:pPr>
      <w:r>
        <w:rPr>
          <w:sz w:val="24"/>
        </w:rPr>
        <w:t>Por emitir autorización para la construcción temporal de obras de protección (tapiales, andamios y otros) y/o depósito de materiales y/o escombro de construcción en la vía pública, se pagarán por los derechos correspondientes conforme a la siguiente</w:t>
      </w:r>
      <w:r>
        <w:rPr>
          <w:spacing w:val="-3"/>
          <w:sz w:val="24"/>
        </w:rPr>
        <w:t> </w:t>
      </w:r>
      <w:r>
        <w:rPr>
          <w:sz w:val="24"/>
        </w:rPr>
        <w:t>tarifa:</w:t>
      </w:r>
    </w:p>
    <w:p>
      <w:pPr>
        <w:pStyle w:val="BodyText"/>
        <w:tabs>
          <w:tab w:pos="8079" w:val="left" w:leader="none"/>
        </w:tabs>
        <w:spacing w:before="120"/>
        <w:ind w:right="852"/>
        <w:jc w:val="right"/>
      </w:pPr>
      <w:r>
        <w:rPr/>
        <w:t>Uso/Destino</w:t>
        <w:tab/>
      </w:r>
      <w:r>
        <w:rPr>
          <w:spacing w:val="-1"/>
        </w:rPr>
        <w:t>Importe</w:t>
      </w:r>
    </w:p>
    <w:p>
      <w:pPr>
        <w:pStyle w:val="BodyText"/>
        <w:ind w:right="852"/>
        <w:jc w:val="right"/>
      </w:pPr>
      <w:r>
        <w:rPr>
          <w:spacing w:val="-1"/>
        </w:rPr>
        <w:t>diario</w:t>
      </w:r>
    </w:p>
    <w:p>
      <w:pPr>
        <w:pStyle w:val="ListParagraph"/>
        <w:numPr>
          <w:ilvl w:val="0"/>
          <w:numId w:val="27"/>
        </w:numPr>
        <w:tabs>
          <w:tab w:pos="1095" w:val="left" w:leader="none"/>
          <w:tab w:pos="9241" w:val="left" w:leader="none"/>
        </w:tabs>
        <w:spacing w:line="240" w:lineRule="auto" w:before="115" w:after="0"/>
        <w:ind w:left="1094" w:right="0" w:hanging="282"/>
        <w:jc w:val="left"/>
        <w:rPr>
          <w:sz w:val="24"/>
        </w:rPr>
      </w:pPr>
      <w:r>
        <w:rPr>
          <w:sz w:val="24"/>
        </w:rPr>
        <w:t>Por cada 1.00 m</w:t>
      </w:r>
      <w:r>
        <w:rPr>
          <w:position w:val="8"/>
          <w:sz w:val="16"/>
        </w:rPr>
        <w:t>2</w:t>
      </w:r>
      <w:r>
        <w:rPr>
          <w:spacing w:val="-7"/>
          <w:position w:val="8"/>
          <w:sz w:val="16"/>
        </w:rPr>
        <w:t> </w:t>
      </w:r>
      <w:r>
        <w:rPr>
          <w:sz w:val="24"/>
        </w:rPr>
        <w:t>(metro cuadrado)</w:t>
        <w:tab/>
        <w:t>6.25</w:t>
      </w:r>
    </w:p>
    <w:p>
      <w:pPr>
        <w:pStyle w:val="ListParagraph"/>
        <w:numPr>
          <w:ilvl w:val="0"/>
          <w:numId w:val="27"/>
        </w:numPr>
        <w:tabs>
          <w:tab w:pos="1095" w:val="left" w:leader="none"/>
          <w:tab w:pos="9241" w:val="left" w:leader="none"/>
        </w:tabs>
        <w:spacing w:line="240" w:lineRule="auto" w:before="120" w:after="0"/>
        <w:ind w:left="1094" w:right="0" w:hanging="282"/>
        <w:jc w:val="left"/>
        <w:rPr>
          <w:sz w:val="24"/>
        </w:rPr>
      </w:pPr>
      <w:r>
        <w:rPr>
          <w:sz w:val="24"/>
        </w:rPr>
        <w:t>Por cada 1.00 m</w:t>
      </w:r>
      <w:r>
        <w:rPr>
          <w:spacing w:val="-6"/>
          <w:sz w:val="24"/>
        </w:rPr>
        <w:t> </w:t>
      </w:r>
      <w:r>
        <w:rPr>
          <w:sz w:val="24"/>
        </w:rPr>
        <w:t>(metro lineal)</w:t>
        <w:tab/>
        <w:t>2.68</w:t>
      </w:r>
    </w:p>
    <w:p>
      <w:pPr>
        <w:spacing w:after="0" w:line="240" w:lineRule="auto"/>
        <w:jc w:val="left"/>
        <w:rPr>
          <w:sz w:val="24"/>
        </w:rPr>
        <w:sectPr>
          <w:type w:val="continuous"/>
          <w:pgSz w:w="12250" w:h="15850"/>
          <w:pgMar w:top="840" w:bottom="280" w:left="860" w:right="820"/>
        </w:sectPr>
      </w:pPr>
    </w:p>
    <w:p>
      <w:pPr>
        <w:pStyle w:val="ListParagraph"/>
        <w:numPr>
          <w:ilvl w:val="0"/>
          <w:numId w:val="27"/>
        </w:numPr>
        <w:tabs>
          <w:tab w:pos="1137" w:val="left" w:leader="none"/>
        </w:tabs>
        <w:spacing w:line="235" w:lineRule="auto" w:before="187" w:after="0"/>
        <w:ind w:left="813" w:right="41" w:firstLine="0"/>
        <w:jc w:val="both"/>
        <w:rPr>
          <w:sz w:val="24"/>
        </w:rPr>
      </w:pPr>
      <w:r>
        <w:rPr>
          <w:sz w:val="24"/>
        </w:rPr>
        <w:t>Por Elemento o Publicidad mayor a 2 m</w:t>
      </w:r>
      <w:r>
        <w:rPr>
          <w:position w:val="8"/>
          <w:sz w:val="16"/>
        </w:rPr>
        <w:t>2 </w:t>
      </w:r>
      <w:r>
        <w:rPr>
          <w:sz w:val="24"/>
        </w:rPr>
        <w:t>y menor a 4m</w:t>
      </w:r>
      <w:r>
        <w:rPr>
          <w:position w:val="8"/>
          <w:sz w:val="16"/>
        </w:rPr>
        <w:t>2 </w:t>
      </w:r>
      <w:r>
        <w:rPr>
          <w:sz w:val="24"/>
        </w:rPr>
        <w:t>(metro</w:t>
      </w:r>
      <w:r>
        <w:rPr>
          <w:spacing w:val="-8"/>
          <w:sz w:val="24"/>
        </w:rPr>
        <w:t> </w:t>
      </w:r>
      <w:r>
        <w:rPr>
          <w:sz w:val="24"/>
        </w:rPr>
        <w:t>cuadrado).</w:t>
      </w:r>
    </w:p>
    <w:p>
      <w:pPr>
        <w:pStyle w:val="ListParagraph"/>
        <w:numPr>
          <w:ilvl w:val="0"/>
          <w:numId w:val="27"/>
        </w:numPr>
        <w:tabs>
          <w:tab w:pos="1894" w:val="left" w:leader="none"/>
        </w:tabs>
        <w:spacing w:line="240" w:lineRule="auto" w:before="122" w:after="0"/>
        <w:ind w:left="1893" w:right="38" w:hanging="360"/>
        <w:jc w:val="both"/>
        <w:rPr>
          <w:sz w:val="24"/>
        </w:rPr>
      </w:pPr>
      <w:r>
        <w:rPr>
          <w:sz w:val="24"/>
        </w:rPr>
        <w:t>Por emitir autorización por construcción e instalación de estructuras de soporte para anuncios y</w:t>
      </w:r>
      <w:r>
        <w:rPr>
          <w:spacing w:val="-2"/>
          <w:sz w:val="24"/>
        </w:rPr>
        <w:t> </w:t>
      </w:r>
      <w:r>
        <w:rPr>
          <w:sz w:val="24"/>
        </w:rPr>
        <w:t>espectaculares</w:t>
      </w:r>
    </w:p>
    <w:p>
      <w:pPr>
        <w:pStyle w:val="BodyText"/>
        <w:spacing w:before="183"/>
        <w:ind w:left="798" w:right="834"/>
        <w:jc w:val="center"/>
      </w:pPr>
      <w:r>
        <w:rPr/>
        <w:br w:type="column"/>
      </w:r>
      <w:r>
        <w:rPr/>
        <w:t>76.79</w:t>
      </w:r>
    </w:p>
    <w:p>
      <w:pPr>
        <w:spacing w:after="0"/>
        <w:jc w:val="center"/>
        <w:sectPr>
          <w:pgSz w:w="12250" w:h="15850"/>
          <w:pgMar w:header="730" w:footer="0" w:top="1000" w:bottom="280" w:left="860" w:right="820"/>
          <w:cols w:num="2" w:equalWidth="0">
            <w:col w:w="5400" w:space="2896"/>
            <w:col w:w="2274"/>
          </w:cols>
        </w:sectPr>
      </w:pPr>
    </w:p>
    <w:p>
      <w:pPr>
        <w:pStyle w:val="BodyText"/>
        <w:tabs>
          <w:tab w:pos="8441" w:val="left" w:leader="none"/>
        </w:tabs>
        <w:spacing w:before="120"/>
        <w:ind w:left="813"/>
      </w:pPr>
      <w:r>
        <w:rPr/>
        <w:drawing>
          <wp:anchor distT="0" distB="0" distL="0" distR="0" allowOverlap="1" layoutInCell="1" locked="0" behindDoc="1" simplePos="0" relativeHeight="227495936">
            <wp:simplePos x="0" y="0"/>
            <wp:positionH relativeFrom="page">
              <wp:posOffset>1239220</wp:posOffset>
            </wp:positionH>
            <wp:positionV relativeFrom="paragraph">
              <wp:posOffset>166317</wp:posOffset>
            </wp:positionV>
            <wp:extent cx="5022641" cy="5144769"/>
            <wp:effectExtent l="0" t="0" r="0" b="0"/>
            <wp:wrapNone/>
            <wp:docPr id="57" name="image23.png"/>
            <wp:cNvGraphicFramePr>
              <a:graphicFrameLocks noChangeAspect="1"/>
            </wp:cNvGraphicFramePr>
            <a:graphic>
              <a:graphicData uri="http://schemas.openxmlformats.org/drawingml/2006/picture">
                <pic:pic>
                  <pic:nvPicPr>
                    <pic:cNvPr id="58" name="image23.png"/>
                    <pic:cNvPicPr/>
                  </pic:nvPicPr>
                  <pic:blipFill>
                    <a:blip r:embed="rId33" cstate="print"/>
                    <a:stretch>
                      <a:fillRect/>
                    </a:stretch>
                  </pic:blipFill>
                  <pic:spPr>
                    <a:xfrm>
                      <a:off x="0" y="0"/>
                      <a:ext cx="5022641" cy="5144769"/>
                    </a:xfrm>
                    <a:prstGeom prst="rect">
                      <a:avLst/>
                    </a:prstGeom>
                  </pic:spPr>
                </pic:pic>
              </a:graphicData>
            </a:graphic>
          </wp:anchor>
        </w:drawing>
      </w:r>
      <w:r>
        <w:rPr/>
        <w:t>Concepto</w:t>
        <w:tab/>
        <w:t>Tarifa</w:t>
      </w:r>
      <w:r>
        <w:rPr>
          <w:spacing w:val="-2"/>
        </w:rPr>
        <w:t> </w:t>
      </w:r>
      <w:r>
        <w:rPr/>
        <w:t>diaria</w:t>
      </w:r>
    </w:p>
    <w:p>
      <w:pPr>
        <w:pStyle w:val="BodyText"/>
        <w:tabs>
          <w:tab w:pos="9241" w:val="left" w:leader="none"/>
        </w:tabs>
        <w:spacing w:before="120"/>
        <w:ind w:left="813"/>
      </w:pPr>
      <w:r>
        <w:rPr/>
        <w:t>Por</w:t>
      </w:r>
      <w:r>
        <w:rPr>
          <w:spacing w:val="-1"/>
        </w:rPr>
        <w:t> </w:t>
      </w:r>
      <w:r>
        <w:rPr/>
        <w:t>cada</w:t>
      </w:r>
      <w:r>
        <w:rPr>
          <w:spacing w:val="-2"/>
        </w:rPr>
        <w:t> </w:t>
      </w:r>
      <w:r>
        <w:rPr/>
        <w:t>metro</w:t>
        <w:tab/>
        <w:t>3.00</w:t>
      </w:r>
    </w:p>
    <w:p>
      <w:pPr>
        <w:pStyle w:val="BodyText"/>
        <w:tabs>
          <w:tab w:pos="9109" w:val="left" w:leader="none"/>
        </w:tabs>
        <w:spacing w:before="121"/>
        <w:ind w:left="813"/>
      </w:pPr>
      <w:r>
        <w:rPr/>
        <w:t>Por cada</w:t>
      </w:r>
      <w:r>
        <w:rPr>
          <w:spacing w:val="-5"/>
        </w:rPr>
        <w:t> </w:t>
      </w:r>
      <w:r>
        <w:rPr/>
        <w:t>metro</w:t>
      </w:r>
      <w:r>
        <w:rPr>
          <w:spacing w:val="-3"/>
        </w:rPr>
        <w:t> </w:t>
      </w:r>
      <w:r>
        <w:rPr/>
        <w:t>cuadrado</w:t>
        <w:tab/>
        <w:t>75.00</w:t>
      </w:r>
    </w:p>
    <w:p>
      <w:pPr>
        <w:pStyle w:val="ListParagraph"/>
        <w:numPr>
          <w:ilvl w:val="0"/>
          <w:numId w:val="26"/>
        </w:numPr>
        <w:tabs>
          <w:tab w:pos="1534" w:val="left" w:leader="none"/>
        </w:tabs>
        <w:spacing w:line="240" w:lineRule="auto" w:before="120" w:after="0"/>
        <w:ind w:left="1533" w:right="0" w:hanging="361"/>
        <w:jc w:val="left"/>
        <w:rPr>
          <w:sz w:val="24"/>
        </w:rPr>
      </w:pPr>
      <w:r>
        <w:rPr>
          <w:sz w:val="24"/>
        </w:rPr>
        <w:t>Por  concepto  de  la  Inspección  ocular  y  verificación  de</w:t>
      </w:r>
      <w:r>
        <w:rPr>
          <w:spacing w:val="3"/>
          <w:sz w:val="24"/>
        </w:rPr>
        <w:t> </w:t>
      </w:r>
      <w:r>
        <w:rPr>
          <w:sz w:val="24"/>
        </w:rPr>
        <w:t>los</w:t>
      </w:r>
    </w:p>
    <w:p>
      <w:pPr>
        <w:spacing w:after="0" w:line="240" w:lineRule="auto"/>
        <w:jc w:val="left"/>
        <w:rPr>
          <w:sz w:val="24"/>
        </w:rPr>
        <w:sectPr>
          <w:type w:val="continuous"/>
          <w:pgSz w:w="12250" w:h="15850"/>
          <w:pgMar w:top="840" w:bottom="280" w:left="860" w:right="820"/>
        </w:sectPr>
      </w:pPr>
    </w:p>
    <w:p>
      <w:pPr>
        <w:pStyle w:val="BodyText"/>
        <w:ind w:left="1533"/>
        <w:jc w:val="both"/>
      </w:pPr>
      <w:r>
        <w:rPr/>
        <w:t>reportes mensuales de las obras de urbanización a las que se refiere el presente artículo, se cobrará previo a la emisión de licencia por visita del personal acreditado, el importe de</w:t>
      </w:r>
    </w:p>
    <w:p>
      <w:pPr>
        <w:pStyle w:val="BodyText"/>
        <w:spacing w:before="120"/>
        <w:ind w:left="758"/>
      </w:pPr>
      <w:r>
        <w:rPr/>
        <w:br w:type="column"/>
      </w:r>
      <w:r>
        <w:rPr/>
        <w:t>515.18</w:t>
      </w:r>
    </w:p>
    <w:p>
      <w:pPr>
        <w:spacing w:after="0"/>
        <w:sectPr>
          <w:type w:val="continuous"/>
          <w:pgSz w:w="12250" w:h="15850"/>
          <w:pgMar w:top="840" w:bottom="280" w:left="860" w:right="820"/>
          <w:cols w:num="2" w:equalWidth="0">
            <w:col w:w="8177" w:space="40"/>
            <w:col w:w="2353"/>
          </w:cols>
        </w:sectPr>
      </w:pPr>
    </w:p>
    <w:p>
      <w:pPr>
        <w:pStyle w:val="ListParagraph"/>
        <w:numPr>
          <w:ilvl w:val="0"/>
          <w:numId w:val="26"/>
        </w:numPr>
        <w:tabs>
          <w:tab w:pos="1533" w:val="left" w:leader="none"/>
          <w:tab w:pos="1534" w:val="left" w:leader="none"/>
        </w:tabs>
        <w:spacing w:line="240" w:lineRule="auto" w:before="120" w:after="0"/>
        <w:ind w:left="1533" w:right="0" w:hanging="361"/>
        <w:jc w:val="left"/>
        <w:rPr>
          <w:sz w:val="24"/>
        </w:rPr>
      </w:pPr>
      <w:r>
        <w:rPr>
          <w:sz w:val="24"/>
        </w:rPr>
        <w:t>Por la emisión de la resolución definitiva de autorización de</w:t>
      </w:r>
      <w:r>
        <w:rPr>
          <w:spacing w:val="-10"/>
          <w:sz w:val="24"/>
        </w:rPr>
        <w:t> </w:t>
      </w:r>
      <w:r>
        <w:rPr>
          <w:sz w:val="24"/>
        </w:rPr>
        <w:t>fraccionamiento</w:t>
      </w:r>
    </w:p>
    <w:p>
      <w:pPr>
        <w:pStyle w:val="BodyText"/>
        <w:spacing w:before="9"/>
        <w:rPr>
          <w:sz w:val="33"/>
        </w:rPr>
      </w:pPr>
    </w:p>
    <w:p>
      <w:pPr>
        <w:pStyle w:val="ListParagraph"/>
        <w:numPr>
          <w:ilvl w:val="1"/>
          <w:numId w:val="26"/>
        </w:numPr>
        <w:tabs>
          <w:tab w:pos="3694" w:val="left" w:leader="none"/>
          <w:tab w:pos="8643" w:val="left" w:leader="none"/>
        </w:tabs>
        <w:spacing w:line="240" w:lineRule="auto" w:before="1" w:after="0"/>
        <w:ind w:left="3693" w:right="0" w:hanging="361"/>
        <w:jc w:val="left"/>
        <w:rPr>
          <w:sz w:val="24"/>
        </w:rPr>
      </w:pPr>
      <w:r>
        <w:rPr>
          <w:sz w:val="24"/>
        </w:rPr>
        <w:t>Por</w:t>
      </w:r>
      <w:r>
        <w:rPr>
          <w:spacing w:val="-1"/>
          <w:sz w:val="24"/>
        </w:rPr>
        <w:t> </w:t>
      </w:r>
      <w:r>
        <w:rPr>
          <w:sz w:val="24"/>
        </w:rPr>
        <w:t>tramite</w:t>
        <w:tab/>
        <w:t>13,286.61</w:t>
      </w:r>
    </w:p>
    <w:p>
      <w:pPr>
        <w:pStyle w:val="ListParagraph"/>
        <w:numPr>
          <w:ilvl w:val="0"/>
          <w:numId w:val="26"/>
        </w:numPr>
        <w:tabs>
          <w:tab w:pos="1534" w:val="left" w:leader="none"/>
        </w:tabs>
        <w:spacing w:line="240" w:lineRule="auto" w:before="120" w:after="0"/>
        <w:ind w:left="1533" w:right="0" w:hanging="361"/>
        <w:jc w:val="left"/>
        <w:rPr>
          <w:sz w:val="24"/>
        </w:rPr>
      </w:pPr>
      <w:r>
        <w:rPr>
          <w:sz w:val="24"/>
        </w:rPr>
        <w:t>Por emitir la autorización para iniciar la venta de</w:t>
      </w:r>
      <w:r>
        <w:rPr>
          <w:spacing w:val="-7"/>
          <w:sz w:val="24"/>
        </w:rPr>
        <w:t> </w:t>
      </w:r>
      <w:r>
        <w:rPr>
          <w:sz w:val="24"/>
        </w:rPr>
        <w:t>lotes.</w:t>
      </w:r>
    </w:p>
    <w:p>
      <w:pPr>
        <w:pStyle w:val="BodyText"/>
        <w:tabs>
          <w:tab w:pos="8895" w:val="left" w:leader="none"/>
        </w:tabs>
        <w:spacing w:before="120"/>
        <w:ind w:left="813"/>
      </w:pPr>
      <w:r>
        <w:rPr/>
        <w:t>Concepto</w:t>
        <w:tab/>
        <w:t>Importe</w:t>
      </w:r>
    </w:p>
    <w:p>
      <w:pPr>
        <w:pStyle w:val="BodyText"/>
        <w:tabs>
          <w:tab w:pos="9712" w:val="right" w:leader="none"/>
        </w:tabs>
        <w:spacing w:before="120"/>
        <w:ind w:left="1173"/>
      </w:pPr>
      <w:r>
        <w:rPr/>
        <w:t>1.   Inicio de venta de lotes</w:t>
      </w:r>
      <w:r>
        <w:rPr>
          <w:spacing w:val="-47"/>
        </w:rPr>
        <w:t> </w:t>
      </w:r>
      <w:r>
        <w:rPr/>
        <w:t>(por m2)</w:t>
        <w:tab/>
        <w:t>6.25</w:t>
      </w:r>
    </w:p>
    <w:p>
      <w:pPr>
        <w:pStyle w:val="BodyText"/>
      </w:pPr>
    </w:p>
    <w:p>
      <w:pPr>
        <w:pStyle w:val="ListParagraph"/>
        <w:numPr>
          <w:ilvl w:val="0"/>
          <w:numId w:val="26"/>
        </w:numPr>
        <w:tabs>
          <w:tab w:pos="1567" w:val="left" w:leader="none"/>
        </w:tabs>
        <w:spacing w:line="240" w:lineRule="auto" w:before="0" w:after="0"/>
        <w:ind w:left="1566" w:right="0" w:hanging="361"/>
        <w:jc w:val="left"/>
        <w:rPr>
          <w:sz w:val="24"/>
        </w:rPr>
      </w:pPr>
      <w:r>
        <w:rPr>
          <w:sz w:val="24"/>
        </w:rPr>
        <w:t>Por llevar a cabo la entrega-recepción del fraccionamiento</w:t>
      </w:r>
      <w:r>
        <w:rPr>
          <w:spacing w:val="-11"/>
          <w:sz w:val="24"/>
        </w:rPr>
        <w:t> </w:t>
      </w:r>
      <w:r>
        <w:rPr>
          <w:sz w:val="24"/>
        </w:rPr>
        <w:t>correspondiente</w:t>
      </w:r>
    </w:p>
    <w:p>
      <w:pPr>
        <w:pStyle w:val="BodyText"/>
        <w:rPr>
          <w:sz w:val="26"/>
        </w:rPr>
      </w:pPr>
    </w:p>
    <w:p>
      <w:pPr>
        <w:pStyle w:val="BodyText"/>
        <w:rPr>
          <w:sz w:val="27"/>
        </w:rPr>
      </w:pPr>
    </w:p>
    <w:p>
      <w:pPr>
        <w:pStyle w:val="BodyText"/>
        <w:tabs>
          <w:tab w:pos="8015" w:val="left" w:leader="none"/>
        </w:tabs>
        <w:ind w:right="883"/>
        <w:jc w:val="right"/>
      </w:pPr>
      <w:r>
        <w:rPr/>
        <w:t>Concepto</w:t>
        <w:tab/>
      </w:r>
      <w:r>
        <w:rPr>
          <w:spacing w:val="-1"/>
        </w:rPr>
        <w:t>Importe</w:t>
      </w:r>
    </w:p>
    <w:p>
      <w:pPr>
        <w:pStyle w:val="ListParagraph"/>
        <w:numPr>
          <w:ilvl w:val="0"/>
          <w:numId w:val="28"/>
        </w:numPr>
        <w:tabs>
          <w:tab w:pos="412" w:val="left" w:leader="none"/>
          <w:tab w:pos="413" w:val="left" w:leader="none"/>
          <w:tab w:pos="7671" w:val="left" w:leader="none"/>
        </w:tabs>
        <w:spacing w:line="240" w:lineRule="auto" w:before="15" w:after="0"/>
        <w:ind w:left="1485" w:right="881" w:hanging="1486"/>
        <w:jc w:val="right"/>
        <w:rPr>
          <w:sz w:val="24"/>
        </w:rPr>
      </w:pPr>
      <w:r>
        <w:rPr>
          <w:sz w:val="24"/>
        </w:rPr>
        <w:t>Por entrega recepción (por cada</w:t>
      </w:r>
      <w:r>
        <w:rPr>
          <w:spacing w:val="-10"/>
          <w:sz w:val="24"/>
        </w:rPr>
        <w:t> </w:t>
      </w:r>
      <w:r>
        <w:rPr>
          <w:sz w:val="24"/>
        </w:rPr>
        <w:t>10,000</w:t>
      </w:r>
      <w:r>
        <w:rPr>
          <w:spacing w:val="-3"/>
          <w:sz w:val="24"/>
        </w:rPr>
        <w:t> </w:t>
      </w:r>
      <w:r>
        <w:rPr>
          <w:sz w:val="24"/>
        </w:rPr>
        <w:t>m2)</w:t>
        <w:tab/>
      </w:r>
      <w:r>
        <w:rPr>
          <w:spacing w:val="-1"/>
          <w:sz w:val="24"/>
        </w:rPr>
        <w:t>1,061.61</w:t>
      </w:r>
    </w:p>
    <w:p>
      <w:pPr>
        <w:pStyle w:val="BodyText"/>
        <w:spacing w:before="2"/>
        <w:rPr>
          <w:sz w:val="25"/>
        </w:rPr>
      </w:pPr>
    </w:p>
    <w:p>
      <w:pPr>
        <w:pStyle w:val="Heading1"/>
        <w:numPr>
          <w:ilvl w:val="0"/>
          <w:numId w:val="28"/>
        </w:numPr>
        <w:tabs>
          <w:tab w:pos="1120" w:val="left" w:leader="none"/>
          <w:tab w:pos="1121" w:val="left" w:leader="none"/>
        </w:tabs>
        <w:spacing w:line="240" w:lineRule="auto" w:before="1" w:after="0"/>
        <w:ind w:left="1120" w:right="0" w:hanging="560"/>
        <w:jc w:val="left"/>
      </w:pPr>
      <w:r>
        <w:rPr/>
        <w:t>Referente a la edificación, se pagará conforme a los</w:t>
      </w:r>
      <w:r>
        <w:rPr>
          <w:spacing w:val="-4"/>
        </w:rPr>
        <w:t> </w:t>
      </w:r>
      <w:r>
        <w:rPr/>
        <w:t>siguientes</w:t>
      </w:r>
    </w:p>
    <w:p>
      <w:pPr>
        <w:pStyle w:val="BodyText"/>
        <w:rPr>
          <w:b/>
        </w:rPr>
      </w:pPr>
    </w:p>
    <w:p>
      <w:pPr>
        <w:pStyle w:val="ListParagraph"/>
        <w:numPr>
          <w:ilvl w:val="1"/>
          <w:numId w:val="28"/>
        </w:numPr>
        <w:tabs>
          <w:tab w:pos="1121" w:val="left" w:leader="none"/>
        </w:tabs>
        <w:spacing w:line="240" w:lineRule="auto" w:before="0" w:after="0"/>
        <w:ind w:left="1120" w:right="443" w:hanging="360"/>
        <w:jc w:val="left"/>
        <w:rPr>
          <w:sz w:val="24"/>
        </w:rPr>
      </w:pPr>
      <w:r>
        <w:rPr>
          <w:sz w:val="24"/>
        </w:rPr>
        <w:t>Por emitir la licencia de uso de suelo conforme a los parámetros establecidos en el Plan de Desarrollo Urbano:</w:t>
      </w:r>
    </w:p>
    <w:p>
      <w:pPr>
        <w:pStyle w:val="BodyText"/>
        <w:spacing w:before="11"/>
        <w:rPr>
          <w:sz w:val="15"/>
        </w:rPr>
      </w:pPr>
    </w:p>
    <w:p>
      <w:pPr>
        <w:spacing w:after="0"/>
        <w:rPr>
          <w:sz w:val="15"/>
        </w:rPr>
        <w:sectPr>
          <w:type w:val="continuous"/>
          <w:pgSz w:w="12250" w:h="15850"/>
          <w:pgMar w:top="840" w:bottom="280" w:left="860" w:right="820"/>
        </w:sectPr>
      </w:pPr>
    </w:p>
    <w:p>
      <w:pPr>
        <w:pStyle w:val="BodyText"/>
        <w:spacing w:before="92"/>
        <w:ind w:left="3389" w:right="2420" w:hanging="248"/>
      </w:pPr>
      <w:r>
        <w:rPr/>
        <w:t>Uso/destino Por m2</w:t>
      </w:r>
    </w:p>
    <w:p>
      <w:pPr>
        <w:pStyle w:val="ListParagraph"/>
        <w:numPr>
          <w:ilvl w:val="0"/>
          <w:numId w:val="29"/>
        </w:numPr>
        <w:tabs>
          <w:tab w:pos="1144" w:val="left" w:leader="none"/>
        </w:tabs>
        <w:spacing w:line="240" w:lineRule="auto" w:before="1" w:after="0"/>
        <w:ind w:left="738" w:right="38" w:firstLine="0"/>
        <w:jc w:val="left"/>
        <w:rPr>
          <w:sz w:val="24"/>
        </w:rPr>
      </w:pPr>
      <w:r>
        <w:rPr>
          <w:sz w:val="24"/>
        </w:rPr>
        <w:t>Aprovechamiento de minerales o sustancias no reservadas a la federación, por cada 1,000 m2 o</w:t>
      </w:r>
      <w:r>
        <w:rPr>
          <w:spacing w:val="-19"/>
          <w:sz w:val="24"/>
        </w:rPr>
        <w:t> </w:t>
      </w:r>
      <w:r>
        <w:rPr>
          <w:sz w:val="24"/>
        </w:rPr>
        <w:t>fracción</w:t>
      </w:r>
    </w:p>
    <w:p>
      <w:pPr>
        <w:pStyle w:val="BodyText"/>
        <w:spacing w:line="480" w:lineRule="auto" w:before="92"/>
        <w:ind w:left="1017" w:right="764" w:hanging="279"/>
      </w:pPr>
      <w:r>
        <w:rPr/>
        <w:br w:type="column"/>
      </w:r>
      <w:r>
        <w:rPr/>
        <w:t>Importe $ 380.36</w:t>
      </w:r>
    </w:p>
    <w:p>
      <w:pPr>
        <w:spacing w:after="0" w:line="480" w:lineRule="auto"/>
        <w:sectPr>
          <w:type w:val="continuous"/>
          <w:pgSz w:w="12250" w:h="15850"/>
          <w:pgMar w:top="840" w:bottom="280" w:left="860" w:right="820"/>
          <w:cols w:num="2" w:equalWidth="0">
            <w:col w:w="6849" w:space="1185"/>
            <w:col w:w="2536"/>
          </w:cols>
        </w:sectPr>
      </w:pPr>
    </w:p>
    <w:p>
      <w:pPr>
        <w:pStyle w:val="ListParagraph"/>
        <w:numPr>
          <w:ilvl w:val="0"/>
          <w:numId w:val="29"/>
        </w:numPr>
        <w:tabs>
          <w:tab w:pos="1020" w:val="left" w:leader="none"/>
          <w:tab w:pos="9786" w:val="right" w:leader="none"/>
        </w:tabs>
        <w:spacing w:line="240" w:lineRule="auto" w:before="0" w:after="0"/>
        <w:ind w:left="1019" w:right="0" w:hanging="282"/>
        <w:jc w:val="left"/>
        <w:rPr>
          <w:sz w:val="24"/>
        </w:rPr>
      </w:pPr>
      <w:r>
        <w:rPr>
          <w:sz w:val="24"/>
        </w:rPr>
        <w:t>Habitacional, por cada m2</w:t>
      </w:r>
      <w:r>
        <w:rPr>
          <w:spacing w:val="-7"/>
          <w:sz w:val="24"/>
        </w:rPr>
        <w:t> </w:t>
      </w:r>
      <w:r>
        <w:rPr>
          <w:sz w:val="24"/>
        </w:rPr>
        <w:t>de terreno</w:t>
        <w:tab/>
        <w:t>4.46</w:t>
      </w:r>
    </w:p>
    <w:p>
      <w:pPr>
        <w:pStyle w:val="ListParagraph"/>
        <w:numPr>
          <w:ilvl w:val="0"/>
          <w:numId w:val="29"/>
        </w:numPr>
        <w:tabs>
          <w:tab w:pos="1020" w:val="left" w:leader="none"/>
          <w:tab w:pos="9786" w:val="right" w:leader="none"/>
        </w:tabs>
        <w:spacing w:line="240" w:lineRule="auto" w:before="0" w:after="0"/>
        <w:ind w:left="1019" w:right="0" w:hanging="282"/>
        <w:jc w:val="left"/>
        <w:rPr>
          <w:sz w:val="24"/>
        </w:rPr>
      </w:pPr>
      <w:r>
        <w:rPr>
          <w:sz w:val="24"/>
        </w:rPr>
        <w:t>Remodelación:</w:t>
      </w:r>
      <w:r>
        <w:rPr>
          <w:spacing w:val="-1"/>
          <w:sz w:val="24"/>
        </w:rPr>
        <w:t> </w:t>
      </w:r>
      <w:r>
        <w:rPr>
          <w:sz w:val="24"/>
        </w:rPr>
        <w:t>Habitacional</w:t>
        <w:tab/>
        <w:t>2.68</w:t>
      </w:r>
    </w:p>
    <w:p>
      <w:pPr>
        <w:pStyle w:val="ListParagraph"/>
        <w:numPr>
          <w:ilvl w:val="0"/>
          <w:numId w:val="29"/>
        </w:numPr>
        <w:tabs>
          <w:tab w:pos="1020" w:val="left" w:leader="none"/>
          <w:tab w:pos="9786" w:val="right" w:leader="none"/>
        </w:tabs>
        <w:spacing w:line="240" w:lineRule="auto" w:before="0" w:after="0"/>
        <w:ind w:left="1019" w:right="0" w:hanging="282"/>
        <w:jc w:val="left"/>
        <w:rPr>
          <w:sz w:val="24"/>
        </w:rPr>
      </w:pPr>
      <w:r>
        <w:rPr>
          <w:sz w:val="24"/>
        </w:rPr>
        <w:t>Comercial, Industrial, Turístico</w:t>
      </w:r>
      <w:r>
        <w:rPr>
          <w:spacing w:val="-1"/>
          <w:sz w:val="24"/>
        </w:rPr>
        <w:t> </w:t>
      </w:r>
      <w:r>
        <w:rPr>
          <w:sz w:val="24"/>
        </w:rPr>
        <w:t>y servicios</w:t>
        <w:tab/>
        <w:t>11.61</w:t>
      </w:r>
    </w:p>
    <w:p>
      <w:pPr>
        <w:spacing w:after="0" w:line="240" w:lineRule="auto"/>
        <w:jc w:val="left"/>
        <w:rPr>
          <w:sz w:val="24"/>
        </w:rPr>
        <w:sectPr>
          <w:type w:val="continuous"/>
          <w:pgSz w:w="12250" w:h="15850"/>
          <w:pgMar w:top="840" w:bottom="280" w:left="860" w:right="820"/>
        </w:sectPr>
      </w:pPr>
    </w:p>
    <w:p>
      <w:pPr>
        <w:pStyle w:val="ListParagraph"/>
        <w:numPr>
          <w:ilvl w:val="0"/>
          <w:numId w:val="29"/>
        </w:numPr>
        <w:tabs>
          <w:tab w:pos="1224" w:val="left" w:leader="none"/>
        </w:tabs>
        <w:spacing w:line="240" w:lineRule="auto" w:before="0" w:after="0"/>
        <w:ind w:left="738" w:right="38" w:firstLine="0"/>
        <w:jc w:val="both"/>
        <w:rPr>
          <w:sz w:val="24"/>
        </w:rPr>
      </w:pPr>
      <w:r>
        <w:rPr>
          <w:sz w:val="24"/>
        </w:rPr>
        <w:t>Remodelación: Comercial, Industrial, Turístico, servicios, religioso y</w:t>
      </w:r>
      <w:r>
        <w:rPr>
          <w:spacing w:val="-2"/>
          <w:sz w:val="24"/>
        </w:rPr>
        <w:t> </w:t>
      </w:r>
      <w:r>
        <w:rPr>
          <w:sz w:val="24"/>
        </w:rPr>
        <w:t>agrícola</w:t>
      </w:r>
    </w:p>
    <w:p>
      <w:pPr>
        <w:pStyle w:val="ListParagraph"/>
        <w:numPr>
          <w:ilvl w:val="0"/>
          <w:numId w:val="29"/>
        </w:numPr>
        <w:tabs>
          <w:tab w:pos="1140" w:val="left" w:leader="none"/>
        </w:tabs>
        <w:spacing w:line="240" w:lineRule="auto" w:before="0" w:after="0"/>
        <w:ind w:left="738" w:right="40" w:firstLine="0"/>
        <w:jc w:val="both"/>
        <w:rPr>
          <w:sz w:val="24"/>
        </w:rPr>
      </w:pPr>
      <w:r>
        <w:rPr>
          <w:sz w:val="24"/>
        </w:rPr>
        <w:t>Infraestructura y/o equipamiento Institucional por metro lineal o cuadrado según su tipo, salvo convenio con el</w:t>
      </w:r>
      <w:r>
        <w:rPr>
          <w:spacing w:val="-4"/>
          <w:sz w:val="24"/>
        </w:rPr>
        <w:t> </w:t>
      </w:r>
      <w:r>
        <w:rPr>
          <w:sz w:val="24"/>
        </w:rPr>
        <w:t>Ayuntamiento.</w:t>
      </w:r>
    </w:p>
    <w:p>
      <w:pPr>
        <w:pStyle w:val="BodyText"/>
        <w:ind w:left="724" w:right="758"/>
        <w:jc w:val="center"/>
      </w:pPr>
      <w:r>
        <w:rPr/>
        <w:br w:type="column"/>
      </w:r>
      <w:r>
        <w:rPr/>
        <w:t>6.25</w:t>
      </w:r>
    </w:p>
    <w:p>
      <w:pPr>
        <w:pStyle w:val="BodyText"/>
        <w:spacing w:before="552"/>
        <w:ind w:left="724" w:right="758"/>
        <w:jc w:val="center"/>
      </w:pPr>
      <w:r>
        <w:rPr/>
        <w:t>1.79</w:t>
      </w:r>
    </w:p>
    <w:p>
      <w:pPr>
        <w:spacing w:after="0"/>
        <w:jc w:val="center"/>
        <w:sectPr>
          <w:type w:val="continuous"/>
          <w:pgSz w:w="12250" w:h="15850"/>
          <w:pgMar w:top="840" w:bottom="280" w:left="860" w:right="820"/>
          <w:cols w:num="2" w:equalWidth="0">
            <w:col w:w="6851" w:space="1728"/>
            <w:col w:w="1991"/>
          </w:cols>
        </w:sectPr>
      </w:pPr>
    </w:p>
    <w:p>
      <w:pPr>
        <w:pStyle w:val="BodyText"/>
        <w:spacing w:before="197"/>
        <w:ind w:left="1108"/>
      </w:pPr>
      <w:r>
        <w:rPr/>
        <w:t>El pago de derechos de la licencia de uso de suelo se aplicará exclusivamente a la ocupación del suelo y no a la superficie total.</w:t>
      </w:r>
    </w:p>
    <w:p>
      <w:pPr>
        <w:pStyle w:val="BodyText"/>
        <w:spacing w:before="1"/>
      </w:pPr>
    </w:p>
    <w:p>
      <w:pPr>
        <w:pStyle w:val="ListParagraph"/>
        <w:numPr>
          <w:ilvl w:val="1"/>
          <w:numId w:val="28"/>
        </w:numPr>
        <w:tabs>
          <w:tab w:pos="1121" w:val="left" w:leader="none"/>
        </w:tabs>
        <w:spacing w:line="240" w:lineRule="auto" w:before="0" w:after="0"/>
        <w:ind w:left="1120" w:right="434" w:hanging="360"/>
        <w:jc w:val="both"/>
        <w:rPr>
          <w:sz w:val="24"/>
        </w:rPr>
      </w:pPr>
      <w:r>
        <w:rPr/>
        <w:drawing>
          <wp:anchor distT="0" distB="0" distL="0" distR="0" allowOverlap="1" layoutInCell="1" locked="0" behindDoc="1" simplePos="0" relativeHeight="227496960">
            <wp:simplePos x="0" y="0"/>
            <wp:positionH relativeFrom="page">
              <wp:posOffset>1252555</wp:posOffset>
            </wp:positionH>
            <wp:positionV relativeFrom="paragraph">
              <wp:posOffset>759153</wp:posOffset>
            </wp:positionV>
            <wp:extent cx="5022641" cy="5144769"/>
            <wp:effectExtent l="0" t="0" r="0" b="0"/>
            <wp:wrapNone/>
            <wp:docPr id="59" name="image24.png"/>
            <wp:cNvGraphicFramePr>
              <a:graphicFrameLocks noChangeAspect="1"/>
            </wp:cNvGraphicFramePr>
            <a:graphic>
              <a:graphicData uri="http://schemas.openxmlformats.org/drawingml/2006/picture">
                <pic:pic>
                  <pic:nvPicPr>
                    <pic:cNvPr id="60" name="image24.png"/>
                    <pic:cNvPicPr/>
                  </pic:nvPicPr>
                  <pic:blipFill>
                    <a:blip r:embed="rId34" cstate="print"/>
                    <a:stretch>
                      <a:fillRect/>
                    </a:stretch>
                  </pic:blipFill>
                  <pic:spPr>
                    <a:xfrm>
                      <a:off x="0" y="0"/>
                      <a:ext cx="5022641" cy="5144769"/>
                    </a:xfrm>
                    <a:prstGeom prst="rect">
                      <a:avLst/>
                    </a:prstGeom>
                  </pic:spPr>
                </pic:pic>
              </a:graphicData>
            </a:graphic>
          </wp:anchor>
        </w:drawing>
      </w:r>
      <w:r>
        <w:rPr>
          <w:sz w:val="24"/>
        </w:rPr>
        <w:t>Por emitir la licencia de uso de suelo en proyectos donde los Coeficientes de Ocupación del Suelo (COS) y/o el Coeficiente de Utilización del Suelo (CUS) es superior al permisible de acuerdo al Plan de Desarrollo Urbano correspondiente o el reglamento de construcciones y seguridad</w:t>
      </w:r>
      <w:r>
        <w:rPr>
          <w:spacing w:val="-4"/>
          <w:sz w:val="24"/>
        </w:rPr>
        <w:t> </w:t>
      </w:r>
      <w:r>
        <w:rPr>
          <w:sz w:val="24"/>
        </w:rPr>
        <w:t>estructural.</w:t>
      </w:r>
    </w:p>
    <w:p>
      <w:pPr>
        <w:pStyle w:val="BodyText"/>
      </w:pPr>
    </w:p>
    <w:p>
      <w:pPr>
        <w:pStyle w:val="BodyText"/>
        <w:ind w:left="1108"/>
      </w:pPr>
      <w:r>
        <w:rPr/>
        <w:t>El pago de los derechos correspondientes será de acuerdo a los siguientes casos:</w:t>
      </w:r>
    </w:p>
    <w:p>
      <w:pPr>
        <w:pStyle w:val="BodyText"/>
      </w:pPr>
    </w:p>
    <w:p>
      <w:pPr>
        <w:pStyle w:val="ListParagraph"/>
        <w:numPr>
          <w:ilvl w:val="2"/>
          <w:numId w:val="28"/>
        </w:numPr>
        <w:tabs>
          <w:tab w:pos="1819" w:val="left" w:leader="none"/>
        </w:tabs>
        <w:spacing w:line="240" w:lineRule="auto" w:before="0" w:after="0"/>
        <w:ind w:left="1818" w:right="435" w:hanging="360"/>
        <w:jc w:val="both"/>
        <w:rPr>
          <w:sz w:val="24"/>
        </w:rPr>
      </w:pPr>
      <w:r>
        <w:rPr>
          <w:sz w:val="24"/>
        </w:rPr>
        <w:t>Cuando el proyecto no presente avance de obra, pero exceda el coeficiente de ocupación del suelo COS, el pago de derechos se tomará como ordinario para la superficie que se encuentre dentro del rango permisible y extemporáneo para la superficie excedente, esto de acuerdo al género que le corresponda.</w:t>
      </w:r>
    </w:p>
    <w:p>
      <w:pPr>
        <w:pStyle w:val="BodyText"/>
      </w:pPr>
    </w:p>
    <w:p>
      <w:pPr>
        <w:pStyle w:val="ListParagraph"/>
        <w:numPr>
          <w:ilvl w:val="2"/>
          <w:numId w:val="28"/>
        </w:numPr>
        <w:tabs>
          <w:tab w:pos="1819" w:val="left" w:leader="none"/>
        </w:tabs>
        <w:spacing w:line="240" w:lineRule="auto" w:before="1" w:after="0"/>
        <w:ind w:left="1818" w:right="441" w:hanging="360"/>
        <w:jc w:val="both"/>
        <w:rPr>
          <w:sz w:val="24"/>
        </w:rPr>
      </w:pPr>
      <w:r>
        <w:rPr>
          <w:sz w:val="24"/>
        </w:rPr>
        <w:t>Cuando la obra en proceso sea calificada como extemporánea y exceda el coeficiente de ocupación del suelo COS, este se pagará con un cargo del 60% sobre el importe</w:t>
      </w:r>
      <w:r>
        <w:rPr>
          <w:spacing w:val="-3"/>
          <w:sz w:val="24"/>
        </w:rPr>
        <w:t> </w:t>
      </w:r>
      <w:r>
        <w:rPr>
          <w:sz w:val="24"/>
        </w:rPr>
        <w:t>ordinario.</w:t>
      </w:r>
    </w:p>
    <w:p>
      <w:pPr>
        <w:pStyle w:val="BodyText"/>
      </w:pPr>
    </w:p>
    <w:p>
      <w:pPr>
        <w:pStyle w:val="ListParagraph"/>
        <w:numPr>
          <w:ilvl w:val="2"/>
          <w:numId w:val="28"/>
        </w:numPr>
        <w:tabs>
          <w:tab w:pos="1819" w:val="left" w:leader="none"/>
        </w:tabs>
        <w:spacing w:line="240" w:lineRule="auto" w:before="0" w:after="0"/>
        <w:ind w:left="1818" w:right="438" w:hanging="360"/>
        <w:jc w:val="both"/>
        <w:rPr>
          <w:sz w:val="24"/>
        </w:rPr>
      </w:pPr>
      <w:r>
        <w:rPr>
          <w:sz w:val="24"/>
        </w:rPr>
        <w:t>Cuando la construcción se presente como obra terminada y exceda los COS y CUS el pago de derechos se aplicará extemporáneo y a los excedentes se les aplicarán las siguientes</w:t>
      </w:r>
      <w:r>
        <w:rPr>
          <w:spacing w:val="-1"/>
          <w:sz w:val="24"/>
        </w:rPr>
        <w:t> </w:t>
      </w:r>
      <w:r>
        <w:rPr>
          <w:sz w:val="24"/>
        </w:rPr>
        <w:t>tarifas:</w:t>
      </w:r>
    </w:p>
    <w:p>
      <w:pPr>
        <w:pStyle w:val="BodyText"/>
        <w:spacing w:before="11"/>
        <w:rPr>
          <w:sz w:val="15"/>
        </w:rPr>
      </w:pPr>
    </w:p>
    <w:p>
      <w:pPr>
        <w:spacing w:after="0"/>
        <w:rPr>
          <w:sz w:val="15"/>
        </w:rPr>
        <w:sectPr>
          <w:pgSz w:w="12250" w:h="15850"/>
          <w:pgMar w:header="730" w:footer="0" w:top="1000" w:bottom="280" w:left="860" w:right="820"/>
        </w:sectPr>
      </w:pPr>
    </w:p>
    <w:p>
      <w:pPr>
        <w:pStyle w:val="BodyText"/>
        <w:spacing w:before="1"/>
        <w:rPr>
          <w:sz w:val="32"/>
        </w:rPr>
      </w:pPr>
    </w:p>
    <w:p>
      <w:pPr>
        <w:pStyle w:val="BodyText"/>
        <w:ind w:left="1386"/>
      </w:pPr>
      <w:r>
        <w:rPr/>
        <w:t>Uso / Destino</w:t>
      </w:r>
    </w:p>
    <w:p>
      <w:pPr>
        <w:pStyle w:val="BodyText"/>
        <w:rPr>
          <w:sz w:val="26"/>
        </w:rPr>
      </w:pPr>
    </w:p>
    <w:p>
      <w:pPr>
        <w:pStyle w:val="BodyText"/>
        <w:spacing w:before="2"/>
        <w:rPr>
          <w:sz w:val="27"/>
        </w:rPr>
      </w:pPr>
    </w:p>
    <w:p>
      <w:pPr>
        <w:pStyle w:val="BodyText"/>
        <w:tabs>
          <w:tab w:pos="1801" w:val="left" w:leader="none"/>
          <w:tab w:pos="3871" w:val="left" w:leader="none"/>
          <w:tab w:pos="4340" w:val="left" w:leader="none"/>
        </w:tabs>
        <w:ind w:left="1386"/>
      </w:pPr>
      <w:r>
        <w:rPr/>
        <w:t>1)</w:t>
        <w:tab/>
        <w:t>Aprovechamiento</w:t>
        <w:tab/>
        <w:t>de</w:t>
        <w:tab/>
      </w:r>
      <w:r>
        <w:rPr>
          <w:spacing w:val="-3"/>
        </w:rPr>
        <w:t>recursos </w:t>
      </w:r>
      <w:r>
        <w:rPr/>
        <w:t>naturales</w:t>
      </w:r>
    </w:p>
    <w:p>
      <w:pPr>
        <w:pStyle w:val="BodyText"/>
        <w:spacing w:before="92"/>
        <w:ind w:left="3022"/>
      </w:pPr>
      <w:r>
        <w:rPr/>
        <w:br w:type="column"/>
      </w:r>
      <w:r>
        <w:rPr/>
        <w:t>Importe</w:t>
      </w:r>
    </w:p>
    <w:p>
      <w:pPr>
        <w:pStyle w:val="BodyText"/>
        <w:spacing w:before="1"/>
        <w:ind w:left="2553" w:right="1423" w:firstLine="819"/>
      </w:pPr>
      <w:r>
        <w:rPr/>
        <w:t>$ por cada</w:t>
      </w:r>
      <w:r>
        <w:rPr>
          <w:spacing w:val="-3"/>
        </w:rPr>
        <w:t> </w:t>
      </w:r>
      <w:r>
        <w:rPr>
          <w:spacing w:val="-7"/>
        </w:rPr>
        <w:t>m²</w:t>
      </w:r>
    </w:p>
    <w:p>
      <w:pPr>
        <w:pStyle w:val="BodyText"/>
        <w:tabs>
          <w:tab w:pos="3194" w:val="left" w:leader="none"/>
        </w:tabs>
        <w:spacing w:before="60"/>
        <w:ind w:left="1219"/>
      </w:pPr>
      <w:r>
        <w:rPr/>
        <w:t>C.O.S</w:t>
        <w:tab/>
        <w:t>C.U.S</w:t>
      </w:r>
    </w:p>
    <w:p>
      <w:pPr>
        <w:pStyle w:val="BodyText"/>
        <w:tabs>
          <w:tab w:pos="3367" w:val="left" w:leader="none"/>
        </w:tabs>
        <w:ind w:left="938"/>
      </w:pPr>
      <w:r>
        <w:rPr/>
        <w:t>1,143.75</w:t>
        <w:tab/>
        <w:t>0.00</w:t>
      </w:r>
    </w:p>
    <w:p>
      <w:pPr>
        <w:spacing w:after="0"/>
        <w:sectPr>
          <w:type w:val="continuous"/>
          <w:pgSz w:w="12250" w:h="15850"/>
          <w:pgMar w:top="840" w:bottom="280" w:left="860" w:right="820"/>
          <w:cols w:num="2" w:equalWidth="0">
            <w:col w:w="5263" w:space="40"/>
            <w:col w:w="5267"/>
          </w:cols>
        </w:sectPr>
      </w:pPr>
    </w:p>
    <w:p>
      <w:pPr>
        <w:pStyle w:val="BodyText"/>
        <w:spacing w:before="2"/>
        <w:rPr>
          <w:sz w:val="11"/>
        </w:rPr>
      </w:pPr>
    </w:p>
    <w:tbl>
      <w:tblPr>
        <w:tblW w:w="0" w:type="auto"/>
        <w:jc w:val="left"/>
        <w:tblInd w:w="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1"/>
        <w:gridCol w:w="2401"/>
        <w:gridCol w:w="1499"/>
      </w:tblGrid>
      <w:tr>
        <w:trPr>
          <w:trHeight w:val="332" w:hRule="atLeast"/>
        </w:trPr>
        <w:tc>
          <w:tcPr>
            <w:tcW w:w="3951" w:type="dxa"/>
          </w:tcPr>
          <w:p>
            <w:pPr>
              <w:pStyle w:val="TableParagraph"/>
              <w:spacing w:line="268" w:lineRule="exact"/>
              <w:ind w:left="50"/>
              <w:rPr>
                <w:sz w:val="24"/>
              </w:rPr>
            </w:pPr>
            <w:r>
              <w:rPr>
                <w:sz w:val="24"/>
              </w:rPr>
              <w:t>2) Habitacional</w:t>
            </w:r>
          </w:p>
        </w:tc>
        <w:tc>
          <w:tcPr>
            <w:tcW w:w="2401" w:type="dxa"/>
          </w:tcPr>
          <w:p>
            <w:pPr>
              <w:pStyle w:val="TableParagraph"/>
              <w:spacing w:line="268" w:lineRule="exact"/>
              <w:ind w:right="512"/>
              <w:jc w:val="right"/>
              <w:rPr>
                <w:sz w:val="24"/>
              </w:rPr>
            </w:pPr>
            <w:r>
              <w:rPr>
                <w:sz w:val="24"/>
              </w:rPr>
              <w:t>227.68</w:t>
            </w:r>
          </w:p>
        </w:tc>
        <w:tc>
          <w:tcPr>
            <w:tcW w:w="1499" w:type="dxa"/>
          </w:tcPr>
          <w:p>
            <w:pPr>
              <w:pStyle w:val="TableParagraph"/>
              <w:spacing w:line="268" w:lineRule="exact"/>
              <w:ind w:right="47"/>
              <w:jc w:val="right"/>
              <w:rPr>
                <w:sz w:val="24"/>
              </w:rPr>
            </w:pPr>
            <w:r>
              <w:rPr>
                <w:sz w:val="24"/>
              </w:rPr>
              <w:t>227.68</w:t>
            </w:r>
          </w:p>
        </w:tc>
      </w:tr>
      <w:tr>
        <w:trPr>
          <w:trHeight w:val="395" w:hRule="atLeast"/>
        </w:trPr>
        <w:tc>
          <w:tcPr>
            <w:tcW w:w="3951" w:type="dxa"/>
          </w:tcPr>
          <w:p>
            <w:pPr>
              <w:pStyle w:val="TableParagraph"/>
              <w:spacing w:before="56"/>
              <w:ind w:left="50"/>
              <w:rPr>
                <w:sz w:val="24"/>
              </w:rPr>
            </w:pPr>
            <w:r>
              <w:rPr>
                <w:sz w:val="24"/>
              </w:rPr>
              <w:t>3) Comercial y servicios</w:t>
            </w:r>
          </w:p>
        </w:tc>
        <w:tc>
          <w:tcPr>
            <w:tcW w:w="2401" w:type="dxa"/>
          </w:tcPr>
          <w:p>
            <w:pPr>
              <w:pStyle w:val="TableParagraph"/>
              <w:spacing w:before="56"/>
              <w:ind w:right="512"/>
              <w:jc w:val="right"/>
              <w:rPr>
                <w:sz w:val="24"/>
              </w:rPr>
            </w:pPr>
            <w:r>
              <w:rPr>
                <w:sz w:val="24"/>
              </w:rPr>
              <w:t>456.25</w:t>
            </w:r>
          </w:p>
        </w:tc>
        <w:tc>
          <w:tcPr>
            <w:tcW w:w="1499" w:type="dxa"/>
          </w:tcPr>
          <w:p>
            <w:pPr>
              <w:pStyle w:val="TableParagraph"/>
              <w:spacing w:before="56"/>
              <w:ind w:right="47"/>
              <w:jc w:val="right"/>
              <w:rPr>
                <w:sz w:val="24"/>
              </w:rPr>
            </w:pPr>
            <w:r>
              <w:rPr>
                <w:sz w:val="24"/>
              </w:rPr>
              <w:t>456.25</w:t>
            </w:r>
          </w:p>
        </w:tc>
      </w:tr>
      <w:tr>
        <w:trPr>
          <w:trHeight w:val="396" w:hRule="atLeast"/>
        </w:trPr>
        <w:tc>
          <w:tcPr>
            <w:tcW w:w="3951" w:type="dxa"/>
          </w:tcPr>
          <w:p>
            <w:pPr>
              <w:pStyle w:val="TableParagraph"/>
              <w:spacing w:before="56"/>
              <w:ind w:left="50"/>
              <w:rPr>
                <w:sz w:val="24"/>
              </w:rPr>
            </w:pPr>
            <w:r>
              <w:rPr>
                <w:sz w:val="24"/>
              </w:rPr>
              <w:t>4) Industrial y equipamiento</w:t>
            </w:r>
          </w:p>
        </w:tc>
        <w:tc>
          <w:tcPr>
            <w:tcW w:w="2401" w:type="dxa"/>
          </w:tcPr>
          <w:p>
            <w:pPr>
              <w:pStyle w:val="TableParagraph"/>
              <w:spacing w:before="56"/>
              <w:ind w:right="512"/>
              <w:jc w:val="right"/>
              <w:rPr>
                <w:sz w:val="24"/>
              </w:rPr>
            </w:pPr>
            <w:r>
              <w:rPr>
                <w:sz w:val="24"/>
              </w:rPr>
              <w:t>380.36</w:t>
            </w:r>
          </w:p>
        </w:tc>
        <w:tc>
          <w:tcPr>
            <w:tcW w:w="1499" w:type="dxa"/>
          </w:tcPr>
          <w:p>
            <w:pPr>
              <w:pStyle w:val="TableParagraph"/>
              <w:spacing w:before="56"/>
              <w:ind w:right="47"/>
              <w:jc w:val="right"/>
              <w:rPr>
                <w:sz w:val="24"/>
              </w:rPr>
            </w:pPr>
            <w:r>
              <w:rPr>
                <w:sz w:val="24"/>
              </w:rPr>
              <w:t>380.36</w:t>
            </w:r>
          </w:p>
        </w:tc>
      </w:tr>
      <w:tr>
        <w:trPr>
          <w:trHeight w:val="396" w:hRule="atLeast"/>
        </w:trPr>
        <w:tc>
          <w:tcPr>
            <w:tcW w:w="3951" w:type="dxa"/>
          </w:tcPr>
          <w:p>
            <w:pPr>
              <w:pStyle w:val="TableParagraph"/>
              <w:spacing w:before="56"/>
              <w:ind w:left="50"/>
              <w:rPr>
                <w:sz w:val="24"/>
              </w:rPr>
            </w:pPr>
            <w:r>
              <w:rPr>
                <w:sz w:val="24"/>
              </w:rPr>
              <w:t>5) Religioso y agropecuario</w:t>
            </w:r>
          </w:p>
        </w:tc>
        <w:tc>
          <w:tcPr>
            <w:tcW w:w="2401" w:type="dxa"/>
          </w:tcPr>
          <w:p>
            <w:pPr>
              <w:pStyle w:val="TableParagraph"/>
              <w:spacing w:before="56"/>
              <w:ind w:right="512"/>
              <w:jc w:val="right"/>
              <w:rPr>
                <w:sz w:val="24"/>
              </w:rPr>
            </w:pPr>
            <w:r>
              <w:rPr>
                <w:sz w:val="24"/>
              </w:rPr>
              <w:t>168.75</w:t>
            </w:r>
          </w:p>
        </w:tc>
        <w:tc>
          <w:tcPr>
            <w:tcW w:w="1499" w:type="dxa"/>
          </w:tcPr>
          <w:p>
            <w:pPr>
              <w:pStyle w:val="TableParagraph"/>
              <w:spacing w:before="56"/>
              <w:ind w:right="47"/>
              <w:jc w:val="right"/>
              <w:rPr>
                <w:sz w:val="24"/>
              </w:rPr>
            </w:pPr>
            <w:r>
              <w:rPr>
                <w:sz w:val="24"/>
              </w:rPr>
              <w:t>168.75</w:t>
            </w:r>
          </w:p>
        </w:tc>
      </w:tr>
      <w:tr>
        <w:trPr>
          <w:trHeight w:val="332" w:hRule="atLeast"/>
        </w:trPr>
        <w:tc>
          <w:tcPr>
            <w:tcW w:w="3951" w:type="dxa"/>
          </w:tcPr>
          <w:p>
            <w:pPr>
              <w:pStyle w:val="TableParagraph"/>
              <w:spacing w:line="256" w:lineRule="exact" w:before="56"/>
              <w:ind w:left="50"/>
              <w:rPr>
                <w:sz w:val="24"/>
              </w:rPr>
            </w:pPr>
            <w:r>
              <w:rPr>
                <w:sz w:val="24"/>
              </w:rPr>
              <w:t>6) Turístico</w:t>
            </w:r>
          </w:p>
        </w:tc>
        <w:tc>
          <w:tcPr>
            <w:tcW w:w="2401" w:type="dxa"/>
          </w:tcPr>
          <w:p>
            <w:pPr>
              <w:pStyle w:val="TableParagraph"/>
              <w:spacing w:line="256" w:lineRule="exact" w:before="56"/>
              <w:ind w:right="511"/>
              <w:jc w:val="right"/>
              <w:rPr>
                <w:sz w:val="24"/>
              </w:rPr>
            </w:pPr>
            <w:r>
              <w:rPr>
                <w:sz w:val="24"/>
              </w:rPr>
              <w:t>1,143.75</w:t>
            </w:r>
          </w:p>
        </w:tc>
        <w:tc>
          <w:tcPr>
            <w:tcW w:w="1499" w:type="dxa"/>
          </w:tcPr>
          <w:p>
            <w:pPr>
              <w:pStyle w:val="TableParagraph"/>
              <w:spacing w:line="256" w:lineRule="exact" w:before="56"/>
              <w:ind w:right="47"/>
              <w:jc w:val="right"/>
              <w:rPr>
                <w:sz w:val="24"/>
              </w:rPr>
            </w:pPr>
            <w:r>
              <w:rPr>
                <w:sz w:val="24"/>
              </w:rPr>
              <w:t>1,143.75</w:t>
            </w:r>
          </w:p>
        </w:tc>
      </w:tr>
    </w:tbl>
    <w:p>
      <w:pPr>
        <w:pStyle w:val="BodyText"/>
        <w:spacing w:before="8"/>
        <w:rPr>
          <w:sz w:val="15"/>
        </w:rPr>
      </w:pPr>
    </w:p>
    <w:p>
      <w:pPr>
        <w:pStyle w:val="ListParagraph"/>
        <w:numPr>
          <w:ilvl w:val="1"/>
          <w:numId w:val="28"/>
        </w:numPr>
        <w:tabs>
          <w:tab w:pos="1121" w:val="left" w:leader="none"/>
        </w:tabs>
        <w:spacing w:line="240" w:lineRule="auto" w:before="93" w:after="0"/>
        <w:ind w:left="1120" w:right="434" w:hanging="360"/>
        <w:jc w:val="both"/>
        <w:rPr>
          <w:sz w:val="24"/>
        </w:rPr>
      </w:pPr>
      <w:r>
        <w:rPr>
          <w:sz w:val="24"/>
        </w:rPr>
        <w:t>Por revisión y autorización del proyecto arquitectónico, indistintamente del uso o destino de suelo que resulte en la compatibilidad urbanística o en la licencia de uso de suelo</w:t>
      </w:r>
      <w:r>
        <w:rPr>
          <w:spacing w:val="-1"/>
          <w:sz w:val="24"/>
        </w:rPr>
        <w:t> </w:t>
      </w:r>
      <w:r>
        <w:rPr>
          <w:sz w:val="24"/>
        </w:rPr>
        <w:t>correspondiente</w:t>
      </w:r>
    </w:p>
    <w:p>
      <w:pPr>
        <w:pStyle w:val="BodyText"/>
      </w:pPr>
    </w:p>
    <w:p>
      <w:pPr>
        <w:pStyle w:val="BodyText"/>
        <w:tabs>
          <w:tab w:pos="8933" w:val="left" w:leader="none"/>
        </w:tabs>
        <w:ind w:left="3441"/>
      </w:pPr>
      <w:r>
        <w:rPr/>
        <w:t>Superficie</w:t>
        <w:tab/>
        <w:t>Importe</w:t>
      </w:r>
      <w:r>
        <w:rPr>
          <w:spacing w:val="-3"/>
        </w:rPr>
        <w:t> </w:t>
      </w:r>
      <w:r>
        <w:rPr/>
        <w:t>$</w:t>
      </w:r>
    </w:p>
    <w:p>
      <w:pPr>
        <w:pStyle w:val="BodyText"/>
        <w:rPr>
          <w:sz w:val="16"/>
        </w:rPr>
      </w:pPr>
    </w:p>
    <w:p>
      <w:pPr>
        <w:spacing w:after="0"/>
        <w:rPr>
          <w:sz w:val="16"/>
        </w:rPr>
        <w:sectPr>
          <w:type w:val="continuous"/>
          <w:pgSz w:w="12250" w:h="15850"/>
          <w:pgMar w:top="840" w:bottom="280" w:left="860" w:right="820"/>
        </w:sectPr>
      </w:pPr>
    </w:p>
    <w:p>
      <w:pPr>
        <w:pStyle w:val="ListParagraph"/>
        <w:numPr>
          <w:ilvl w:val="0"/>
          <w:numId w:val="30"/>
        </w:numPr>
        <w:tabs>
          <w:tab w:pos="936" w:val="left" w:leader="none"/>
        </w:tabs>
        <w:spacing w:line="240" w:lineRule="auto" w:before="92" w:after="0"/>
        <w:ind w:left="935" w:right="38" w:hanging="358"/>
        <w:jc w:val="both"/>
        <w:rPr>
          <w:sz w:val="24"/>
        </w:rPr>
      </w:pPr>
      <w:r>
        <w:rPr>
          <w:sz w:val="24"/>
        </w:rPr>
        <w:t>Por cada 1.00 m² (metro cuadrado) o fracción revisada por el colegio de Arquitectos o Ingenieros Civiles del estado de</w:t>
      </w:r>
      <w:r>
        <w:rPr>
          <w:spacing w:val="-1"/>
          <w:sz w:val="24"/>
        </w:rPr>
        <w:t> </w:t>
      </w:r>
      <w:r>
        <w:rPr>
          <w:sz w:val="24"/>
        </w:rPr>
        <w:t>Nayarit</w:t>
      </w:r>
    </w:p>
    <w:p>
      <w:pPr>
        <w:pStyle w:val="BodyText"/>
        <w:spacing w:before="92"/>
        <w:ind w:left="563" w:right="597"/>
        <w:jc w:val="center"/>
      </w:pPr>
      <w:r>
        <w:rPr/>
        <w:br w:type="column"/>
      </w:r>
      <w:r>
        <w:rPr/>
        <w:t>1.63</w:t>
      </w:r>
    </w:p>
    <w:p>
      <w:pPr>
        <w:spacing w:after="0"/>
        <w:jc w:val="center"/>
        <w:sectPr>
          <w:type w:val="continuous"/>
          <w:pgSz w:w="12250" w:h="15850"/>
          <w:pgMar w:top="840" w:bottom="280" w:left="860" w:right="820"/>
          <w:cols w:num="2" w:equalWidth="0">
            <w:col w:w="7126" w:space="1775"/>
            <w:col w:w="1669"/>
          </w:cols>
        </w:sectPr>
      </w:pPr>
    </w:p>
    <w:p>
      <w:pPr>
        <w:pStyle w:val="ListParagraph"/>
        <w:numPr>
          <w:ilvl w:val="0"/>
          <w:numId w:val="30"/>
        </w:numPr>
        <w:tabs>
          <w:tab w:pos="939" w:val="left" w:leader="none"/>
          <w:tab w:pos="9947" w:val="right" w:leader="none"/>
        </w:tabs>
        <w:spacing w:line="240" w:lineRule="auto" w:before="183" w:after="0"/>
        <w:ind w:left="938" w:right="0" w:hanging="361"/>
        <w:jc w:val="left"/>
        <w:rPr>
          <w:sz w:val="24"/>
        </w:rPr>
      </w:pPr>
      <w:r>
        <w:rPr>
          <w:sz w:val="24"/>
        </w:rPr>
        <w:t>Por cada 1.00 m² o fracción revisada</w:t>
      </w:r>
      <w:r>
        <w:rPr>
          <w:spacing w:val="-5"/>
          <w:sz w:val="24"/>
        </w:rPr>
        <w:t> </w:t>
      </w:r>
      <w:r>
        <w:rPr>
          <w:sz w:val="24"/>
        </w:rPr>
        <w:t>por DGDUE</w:t>
        <w:tab/>
        <w:t>3.25</w:t>
      </w:r>
    </w:p>
    <w:p>
      <w:pPr>
        <w:pStyle w:val="ListParagraph"/>
        <w:numPr>
          <w:ilvl w:val="1"/>
          <w:numId w:val="28"/>
        </w:numPr>
        <w:tabs>
          <w:tab w:pos="1121" w:val="left" w:leader="none"/>
        </w:tabs>
        <w:spacing w:line="240" w:lineRule="auto" w:before="360" w:after="0"/>
        <w:ind w:left="1120" w:right="0" w:hanging="361"/>
        <w:jc w:val="left"/>
        <w:rPr>
          <w:sz w:val="24"/>
        </w:rPr>
      </w:pPr>
      <w:r>
        <w:rPr>
          <w:sz w:val="24"/>
        </w:rPr>
        <w:t>Por emitir la licencia de construcción correspondiente</w:t>
      </w:r>
      <w:r>
        <w:rPr>
          <w:spacing w:val="-6"/>
          <w:sz w:val="24"/>
        </w:rPr>
        <w:t> </w:t>
      </w:r>
      <w:r>
        <w:rPr>
          <w:sz w:val="24"/>
        </w:rPr>
        <w:t>a:</w:t>
      </w:r>
    </w:p>
    <w:p>
      <w:pPr>
        <w:spacing w:after="0" w:line="240" w:lineRule="auto"/>
        <w:jc w:val="left"/>
        <w:rPr>
          <w:sz w:val="24"/>
        </w:rPr>
        <w:sectPr>
          <w:pgSz w:w="12250" w:h="15850"/>
          <w:pgMar w:header="730" w:footer="0" w:top="1000" w:bottom="280" w:left="860" w:right="820"/>
        </w:sectPr>
      </w:pPr>
    </w:p>
    <w:p>
      <w:pPr>
        <w:pStyle w:val="BodyText"/>
      </w:pPr>
    </w:p>
    <w:p>
      <w:pPr>
        <w:pStyle w:val="BodyText"/>
        <w:ind w:left="3825" w:right="2835"/>
        <w:jc w:val="center"/>
      </w:pPr>
      <w:r>
        <w:rPr/>
        <w:t>Uso/Destino M2</w:t>
      </w:r>
    </w:p>
    <w:p>
      <w:pPr>
        <w:pStyle w:val="ListParagraph"/>
        <w:numPr>
          <w:ilvl w:val="0"/>
          <w:numId w:val="31"/>
        </w:numPr>
        <w:tabs>
          <w:tab w:pos="1706" w:val="left" w:leader="none"/>
          <w:tab w:pos="3591" w:val="left" w:leader="none"/>
          <w:tab w:pos="4541" w:val="left" w:leader="none"/>
          <w:tab w:pos="6651" w:val="left" w:leader="none"/>
        </w:tabs>
        <w:spacing w:line="240" w:lineRule="auto" w:before="0" w:after="0"/>
        <w:ind w:left="1706" w:right="0" w:hanging="360"/>
        <w:jc w:val="left"/>
        <w:rPr>
          <w:sz w:val="24"/>
        </w:rPr>
      </w:pPr>
      <w:r>
        <w:rPr/>
        <w:drawing>
          <wp:anchor distT="0" distB="0" distL="0" distR="0" allowOverlap="1" layoutInCell="1" locked="0" behindDoc="1" simplePos="0" relativeHeight="227497984">
            <wp:simplePos x="0" y="0"/>
            <wp:positionH relativeFrom="page">
              <wp:posOffset>1239220</wp:posOffset>
            </wp:positionH>
            <wp:positionV relativeFrom="paragraph">
              <wp:posOffset>189177</wp:posOffset>
            </wp:positionV>
            <wp:extent cx="5022641" cy="5144769"/>
            <wp:effectExtent l="0" t="0" r="0" b="0"/>
            <wp:wrapNone/>
            <wp:docPr id="61" name="image25.png"/>
            <wp:cNvGraphicFramePr>
              <a:graphicFrameLocks noChangeAspect="1"/>
            </wp:cNvGraphicFramePr>
            <a:graphic>
              <a:graphicData uri="http://schemas.openxmlformats.org/drawingml/2006/picture">
                <pic:pic>
                  <pic:nvPicPr>
                    <pic:cNvPr id="62" name="image25.png"/>
                    <pic:cNvPicPr/>
                  </pic:nvPicPr>
                  <pic:blipFill>
                    <a:blip r:embed="rId35" cstate="print"/>
                    <a:stretch>
                      <a:fillRect/>
                    </a:stretch>
                  </pic:blipFill>
                  <pic:spPr>
                    <a:xfrm>
                      <a:off x="0" y="0"/>
                      <a:ext cx="5022641" cy="5144769"/>
                    </a:xfrm>
                    <a:prstGeom prst="rect">
                      <a:avLst/>
                    </a:prstGeom>
                  </pic:spPr>
                </pic:pic>
              </a:graphicData>
            </a:graphic>
          </wp:anchor>
        </w:drawing>
      </w:r>
      <w:r>
        <w:rPr>
          <w:sz w:val="24"/>
        </w:rPr>
        <w:t>Habitacional</w:t>
        <w:tab/>
        <w:t>con</w:t>
        <w:tab/>
        <w:t>financiamiento</w:t>
        <w:tab/>
      </w:r>
      <w:r>
        <w:rPr>
          <w:spacing w:val="-3"/>
          <w:sz w:val="24"/>
        </w:rPr>
        <w:t>institucional, </w:t>
      </w:r>
      <w:r>
        <w:rPr>
          <w:sz w:val="24"/>
        </w:rPr>
        <w:t>documentado.</w:t>
      </w:r>
    </w:p>
    <w:p>
      <w:pPr>
        <w:pStyle w:val="ListParagraph"/>
        <w:numPr>
          <w:ilvl w:val="0"/>
          <w:numId w:val="31"/>
        </w:numPr>
        <w:tabs>
          <w:tab w:pos="1706" w:val="left" w:leader="none"/>
        </w:tabs>
        <w:spacing w:line="240" w:lineRule="auto" w:before="120" w:after="0"/>
        <w:ind w:left="1706" w:right="0" w:hanging="360"/>
        <w:jc w:val="left"/>
        <w:rPr>
          <w:sz w:val="24"/>
        </w:rPr>
      </w:pPr>
      <w:r>
        <w:rPr>
          <w:sz w:val="24"/>
        </w:rPr>
        <w:t>Habitacional</w:t>
      </w:r>
      <w:r>
        <w:rPr>
          <w:spacing w:val="29"/>
          <w:sz w:val="24"/>
        </w:rPr>
        <w:t> </w:t>
      </w:r>
      <w:r>
        <w:rPr>
          <w:sz w:val="24"/>
        </w:rPr>
        <w:t>Autoconstrucción,</w:t>
      </w:r>
      <w:r>
        <w:rPr>
          <w:spacing w:val="30"/>
          <w:sz w:val="24"/>
        </w:rPr>
        <w:t> </w:t>
      </w:r>
      <w:r>
        <w:rPr>
          <w:sz w:val="24"/>
        </w:rPr>
        <w:t>para</w:t>
      </w:r>
      <w:r>
        <w:rPr>
          <w:spacing w:val="31"/>
          <w:sz w:val="24"/>
        </w:rPr>
        <w:t> </w:t>
      </w:r>
      <w:r>
        <w:rPr>
          <w:sz w:val="24"/>
        </w:rPr>
        <w:t>las</w:t>
      </w:r>
      <w:r>
        <w:rPr>
          <w:spacing w:val="30"/>
          <w:sz w:val="24"/>
        </w:rPr>
        <w:t> </w:t>
      </w:r>
      <w:r>
        <w:rPr>
          <w:sz w:val="24"/>
        </w:rPr>
        <w:t>obras</w:t>
      </w:r>
      <w:r>
        <w:rPr>
          <w:spacing w:val="30"/>
          <w:sz w:val="24"/>
        </w:rPr>
        <w:t> </w:t>
      </w:r>
      <w:r>
        <w:rPr>
          <w:sz w:val="24"/>
        </w:rPr>
        <w:t>que</w:t>
      </w:r>
      <w:r>
        <w:rPr>
          <w:spacing w:val="31"/>
          <w:sz w:val="24"/>
        </w:rPr>
        <w:t> </w:t>
      </w:r>
      <w:r>
        <w:rPr>
          <w:sz w:val="24"/>
        </w:rPr>
        <w:t>se</w:t>
      </w:r>
    </w:p>
    <w:p>
      <w:pPr>
        <w:pStyle w:val="BodyText"/>
      </w:pPr>
      <w:r>
        <w:rPr/>
        <w:br w:type="column"/>
      </w:r>
      <w:r>
        <w:rPr/>
      </w:r>
    </w:p>
    <w:p>
      <w:pPr>
        <w:pStyle w:val="BodyText"/>
        <w:ind w:left="1299"/>
      </w:pPr>
      <w:r>
        <w:rPr/>
        <w:t>Importe</w:t>
      </w:r>
    </w:p>
    <w:p>
      <w:pPr>
        <w:pStyle w:val="BodyText"/>
        <w:ind w:left="1604" w:right="443"/>
        <w:jc w:val="center"/>
      </w:pPr>
      <w:r>
        <w:rPr/>
        <w:t>$ 6.25</w:t>
      </w:r>
    </w:p>
    <w:p>
      <w:pPr>
        <w:pStyle w:val="BodyText"/>
        <w:spacing w:before="5"/>
        <w:rPr>
          <w:sz w:val="34"/>
        </w:rPr>
      </w:pPr>
    </w:p>
    <w:p>
      <w:pPr>
        <w:pStyle w:val="BodyText"/>
        <w:ind w:left="1604" w:right="445"/>
        <w:jc w:val="center"/>
      </w:pPr>
      <w:r>
        <w:rPr/>
        <w:t>0.00</w:t>
      </w:r>
    </w:p>
    <w:p>
      <w:pPr>
        <w:spacing w:after="0"/>
        <w:jc w:val="center"/>
        <w:sectPr>
          <w:type w:val="continuous"/>
          <w:pgSz w:w="12250" w:h="15850"/>
          <w:pgMar w:top="840" w:bottom="280" w:left="860" w:right="820"/>
          <w:cols w:num="2" w:equalWidth="0">
            <w:col w:w="7972" w:space="40"/>
            <w:col w:w="2558"/>
          </w:cols>
        </w:sectPr>
      </w:pPr>
    </w:p>
    <w:tbl>
      <w:tblPr>
        <w:tblW w:w="0" w:type="auto"/>
        <w:jc w:val="left"/>
        <w:tblInd w:w="1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9"/>
        <w:gridCol w:w="1416"/>
      </w:tblGrid>
      <w:tr>
        <w:trPr>
          <w:trHeight w:val="339" w:hRule="atLeast"/>
        </w:trPr>
        <w:tc>
          <w:tcPr>
            <w:tcW w:w="7439" w:type="dxa"/>
          </w:tcPr>
          <w:p>
            <w:pPr>
              <w:pStyle w:val="TableParagraph"/>
              <w:spacing w:line="276" w:lineRule="exact"/>
              <w:ind w:left="410"/>
              <w:rPr>
                <w:sz w:val="16"/>
              </w:rPr>
            </w:pPr>
            <w:r>
              <w:rPr>
                <w:sz w:val="24"/>
              </w:rPr>
              <w:t>ubiquen en colonias populares y hasta 50 m</w:t>
            </w:r>
            <w:r>
              <w:rPr>
                <w:position w:val="8"/>
                <w:sz w:val="16"/>
              </w:rPr>
              <w:t>2</w:t>
            </w:r>
          </w:p>
        </w:tc>
        <w:tc>
          <w:tcPr>
            <w:tcW w:w="1416" w:type="dxa"/>
          </w:tcPr>
          <w:p>
            <w:pPr>
              <w:pStyle w:val="TableParagraph"/>
              <w:rPr>
                <w:rFonts w:ascii="Times New Roman"/>
                <w:sz w:val="24"/>
              </w:rPr>
            </w:pPr>
          </w:p>
        </w:tc>
      </w:tr>
      <w:tr>
        <w:trPr>
          <w:trHeight w:val="396" w:hRule="atLeast"/>
        </w:trPr>
        <w:tc>
          <w:tcPr>
            <w:tcW w:w="7439" w:type="dxa"/>
          </w:tcPr>
          <w:p>
            <w:pPr>
              <w:pStyle w:val="TableParagraph"/>
              <w:spacing w:before="56"/>
              <w:ind w:left="50"/>
              <w:rPr>
                <w:sz w:val="24"/>
              </w:rPr>
            </w:pPr>
            <w:r>
              <w:rPr>
                <w:sz w:val="24"/>
              </w:rPr>
              <w:t>c) Habitacional en zonas de reserva urbana del municipio.</w:t>
            </w:r>
          </w:p>
        </w:tc>
        <w:tc>
          <w:tcPr>
            <w:tcW w:w="1416" w:type="dxa"/>
          </w:tcPr>
          <w:p>
            <w:pPr>
              <w:pStyle w:val="TableParagraph"/>
              <w:spacing w:before="56"/>
              <w:ind w:right="47"/>
              <w:jc w:val="right"/>
              <w:rPr>
                <w:sz w:val="24"/>
              </w:rPr>
            </w:pPr>
            <w:r>
              <w:rPr>
                <w:sz w:val="24"/>
              </w:rPr>
              <w:t>22.32</w:t>
            </w:r>
          </w:p>
        </w:tc>
      </w:tr>
      <w:tr>
        <w:trPr>
          <w:trHeight w:val="672" w:hRule="atLeast"/>
        </w:trPr>
        <w:tc>
          <w:tcPr>
            <w:tcW w:w="7439" w:type="dxa"/>
          </w:tcPr>
          <w:p>
            <w:pPr>
              <w:pStyle w:val="TableParagraph"/>
              <w:spacing w:before="56"/>
              <w:ind w:left="410" w:right="763" w:hanging="360"/>
              <w:rPr>
                <w:sz w:val="24"/>
              </w:rPr>
            </w:pPr>
            <w:r>
              <w:rPr>
                <w:sz w:val="24"/>
              </w:rPr>
              <w:t>d) Habitacional en las vacantes urbanas y lotes baldíos del centro de población de Tepic.</w:t>
            </w:r>
          </w:p>
        </w:tc>
        <w:tc>
          <w:tcPr>
            <w:tcW w:w="1416" w:type="dxa"/>
          </w:tcPr>
          <w:p>
            <w:pPr>
              <w:pStyle w:val="TableParagraph"/>
              <w:spacing w:before="56"/>
              <w:ind w:right="47"/>
              <w:jc w:val="right"/>
              <w:rPr>
                <w:sz w:val="24"/>
              </w:rPr>
            </w:pPr>
            <w:r>
              <w:rPr>
                <w:sz w:val="24"/>
              </w:rPr>
              <w:t>7.14</w:t>
            </w:r>
          </w:p>
        </w:tc>
      </w:tr>
      <w:tr>
        <w:trPr>
          <w:trHeight w:val="672" w:hRule="atLeast"/>
        </w:trPr>
        <w:tc>
          <w:tcPr>
            <w:tcW w:w="7439" w:type="dxa"/>
          </w:tcPr>
          <w:p>
            <w:pPr>
              <w:pStyle w:val="TableParagraph"/>
              <w:tabs>
                <w:tab w:pos="1645" w:val="left" w:leader="none"/>
                <w:tab w:pos="3036" w:val="left" w:leader="none"/>
                <w:tab w:pos="4818" w:val="left" w:leader="none"/>
                <w:tab w:pos="6039" w:val="left" w:leader="none"/>
                <w:tab w:pos="6406" w:val="left" w:leader="none"/>
              </w:tabs>
              <w:spacing w:before="56"/>
              <w:ind w:left="410" w:right="763" w:hanging="360"/>
              <w:rPr>
                <w:sz w:val="24"/>
              </w:rPr>
            </w:pPr>
            <w:r>
              <w:rPr>
                <w:sz w:val="24"/>
              </w:rPr>
              <w:t>e) </w:t>
            </w:r>
            <w:r>
              <w:rPr>
                <w:spacing w:val="12"/>
                <w:sz w:val="24"/>
              </w:rPr>
              <w:t> </w:t>
            </w:r>
            <w:r>
              <w:rPr>
                <w:sz w:val="24"/>
              </w:rPr>
              <w:t>Turístico,</w:t>
              <w:tab/>
              <w:t>Comercial,</w:t>
              <w:tab/>
              <w:t>Agroindustrial,</w:t>
              <w:tab/>
              <w:t>Industrial</w:t>
              <w:tab/>
              <w:t>y</w:t>
              <w:tab/>
            </w:r>
            <w:r>
              <w:rPr>
                <w:spacing w:val="-9"/>
                <w:sz w:val="24"/>
              </w:rPr>
              <w:t>de </w:t>
            </w:r>
            <w:r>
              <w:rPr>
                <w:sz w:val="24"/>
              </w:rPr>
              <w:t>servicios</w:t>
            </w:r>
          </w:p>
        </w:tc>
        <w:tc>
          <w:tcPr>
            <w:tcW w:w="1416" w:type="dxa"/>
          </w:tcPr>
          <w:p>
            <w:pPr>
              <w:pStyle w:val="TableParagraph"/>
              <w:spacing w:before="56"/>
              <w:ind w:right="47"/>
              <w:jc w:val="right"/>
              <w:rPr>
                <w:sz w:val="24"/>
              </w:rPr>
            </w:pPr>
            <w:r>
              <w:rPr>
                <w:sz w:val="24"/>
              </w:rPr>
              <w:t>36.61</w:t>
            </w:r>
          </w:p>
        </w:tc>
      </w:tr>
      <w:tr>
        <w:trPr>
          <w:trHeight w:val="1224" w:hRule="atLeast"/>
        </w:trPr>
        <w:tc>
          <w:tcPr>
            <w:tcW w:w="7439" w:type="dxa"/>
          </w:tcPr>
          <w:p>
            <w:pPr>
              <w:pStyle w:val="TableParagraph"/>
              <w:spacing w:before="56"/>
              <w:ind w:left="410" w:right="764" w:hanging="360"/>
              <w:jc w:val="both"/>
              <w:rPr>
                <w:sz w:val="24"/>
              </w:rPr>
            </w:pPr>
            <w:r>
              <w:rPr>
                <w:sz w:val="24"/>
              </w:rPr>
              <w:t>f) Comercial, Agroindustrial, Industrial y de Servicios con cubierta ligera de estructura metálica (a base de perfiles de acero y lamina acanalada sin concreto) excepto centros</w:t>
            </w:r>
            <w:r>
              <w:rPr>
                <w:spacing w:val="-1"/>
                <w:sz w:val="24"/>
              </w:rPr>
              <w:t> </w:t>
            </w:r>
            <w:r>
              <w:rPr>
                <w:sz w:val="24"/>
              </w:rPr>
              <w:t>comerciales.</w:t>
            </w:r>
          </w:p>
        </w:tc>
        <w:tc>
          <w:tcPr>
            <w:tcW w:w="1416" w:type="dxa"/>
          </w:tcPr>
          <w:p>
            <w:pPr>
              <w:pStyle w:val="TableParagraph"/>
              <w:spacing w:before="56"/>
              <w:ind w:right="47"/>
              <w:jc w:val="right"/>
              <w:rPr>
                <w:sz w:val="24"/>
              </w:rPr>
            </w:pPr>
            <w:r>
              <w:rPr>
                <w:sz w:val="24"/>
              </w:rPr>
              <w:t>21.43</w:t>
            </w:r>
          </w:p>
        </w:tc>
      </w:tr>
      <w:tr>
        <w:trPr>
          <w:trHeight w:val="671" w:hRule="atLeast"/>
        </w:trPr>
        <w:tc>
          <w:tcPr>
            <w:tcW w:w="7439" w:type="dxa"/>
          </w:tcPr>
          <w:p>
            <w:pPr>
              <w:pStyle w:val="TableParagraph"/>
              <w:spacing w:before="56"/>
              <w:ind w:left="410" w:right="763" w:hanging="360"/>
              <w:rPr>
                <w:sz w:val="24"/>
              </w:rPr>
            </w:pPr>
            <w:r>
              <w:rPr>
                <w:sz w:val="24"/>
              </w:rPr>
              <w:t>g) Educacional, Religioso y lo no previsto en el presente tabulador</w:t>
            </w:r>
          </w:p>
        </w:tc>
        <w:tc>
          <w:tcPr>
            <w:tcW w:w="1416" w:type="dxa"/>
          </w:tcPr>
          <w:p>
            <w:pPr>
              <w:pStyle w:val="TableParagraph"/>
              <w:spacing w:before="56"/>
              <w:ind w:right="47"/>
              <w:jc w:val="right"/>
              <w:rPr>
                <w:sz w:val="24"/>
              </w:rPr>
            </w:pPr>
            <w:r>
              <w:rPr>
                <w:sz w:val="24"/>
              </w:rPr>
              <w:t>8.93</w:t>
            </w:r>
          </w:p>
        </w:tc>
      </w:tr>
      <w:tr>
        <w:trPr>
          <w:trHeight w:val="672" w:hRule="atLeast"/>
        </w:trPr>
        <w:tc>
          <w:tcPr>
            <w:tcW w:w="7439" w:type="dxa"/>
          </w:tcPr>
          <w:p>
            <w:pPr>
              <w:pStyle w:val="TableParagraph"/>
              <w:spacing w:before="56"/>
              <w:ind w:left="410" w:right="763" w:hanging="360"/>
              <w:rPr>
                <w:sz w:val="24"/>
              </w:rPr>
            </w:pPr>
            <w:r>
              <w:rPr>
                <w:sz w:val="24"/>
              </w:rPr>
              <w:t>h) Obra Pública de equipamiento, infraestructura o servicios, previo convenio con el Ayuntamiento.</w:t>
            </w:r>
          </w:p>
        </w:tc>
        <w:tc>
          <w:tcPr>
            <w:tcW w:w="1416" w:type="dxa"/>
          </w:tcPr>
          <w:p>
            <w:pPr>
              <w:pStyle w:val="TableParagraph"/>
              <w:spacing w:before="56"/>
              <w:ind w:right="47"/>
              <w:jc w:val="right"/>
              <w:rPr>
                <w:sz w:val="24"/>
              </w:rPr>
            </w:pPr>
            <w:r>
              <w:rPr>
                <w:sz w:val="24"/>
              </w:rPr>
              <w:t>0.00</w:t>
            </w:r>
          </w:p>
        </w:tc>
      </w:tr>
      <w:tr>
        <w:trPr>
          <w:trHeight w:val="608" w:hRule="atLeast"/>
        </w:trPr>
        <w:tc>
          <w:tcPr>
            <w:tcW w:w="7439" w:type="dxa"/>
          </w:tcPr>
          <w:p>
            <w:pPr>
              <w:pStyle w:val="TableParagraph"/>
              <w:tabs>
                <w:tab w:pos="409" w:val="left" w:leader="none"/>
              </w:tabs>
              <w:spacing w:line="270" w:lineRule="atLeast" w:before="56"/>
              <w:ind w:left="410" w:right="764" w:hanging="360"/>
              <w:rPr>
                <w:sz w:val="24"/>
              </w:rPr>
            </w:pPr>
            <w:r>
              <w:rPr>
                <w:sz w:val="24"/>
              </w:rPr>
              <w:t>i)</w:t>
              <w:tab/>
              <w:t>Obra Pública de equipamiento o servicios, sin convenio con el</w:t>
            </w:r>
            <w:r>
              <w:rPr>
                <w:spacing w:val="-3"/>
                <w:sz w:val="24"/>
              </w:rPr>
              <w:t> </w:t>
            </w:r>
            <w:r>
              <w:rPr>
                <w:sz w:val="24"/>
              </w:rPr>
              <w:t>Ayuntamiento.</w:t>
            </w:r>
          </w:p>
        </w:tc>
        <w:tc>
          <w:tcPr>
            <w:tcW w:w="1416" w:type="dxa"/>
          </w:tcPr>
          <w:p>
            <w:pPr>
              <w:pStyle w:val="TableParagraph"/>
              <w:spacing w:before="56"/>
              <w:ind w:right="47"/>
              <w:jc w:val="right"/>
              <w:rPr>
                <w:sz w:val="24"/>
              </w:rPr>
            </w:pPr>
            <w:r>
              <w:rPr>
                <w:sz w:val="24"/>
              </w:rPr>
              <w:t>24.11</w:t>
            </w:r>
          </w:p>
        </w:tc>
      </w:tr>
    </w:tbl>
    <w:p>
      <w:pPr>
        <w:pStyle w:val="BodyText"/>
        <w:spacing w:before="1"/>
        <w:rPr>
          <w:sz w:val="6"/>
        </w:rPr>
      </w:pPr>
    </w:p>
    <w:p>
      <w:pPr>
        <w:spacing w:after="0"/>
        <w:rPr>
          <w:sz w:val="6"/>
        </w:rPr>
        <w:sectPr>
          <w:type w:val="continuous"/>
          <w:pgSz w:w="12250" w:h="15850"/>
          <w:pgMar w:top="840" w:bottom="280" w:left="860" w:right="820"/>
        </w:sectPr>
      </w:pPr>
    </w:p>
    <w:p>
      <w:pPr>
        <w:pStyle w:val="ListParagraph"/>
        <w:numPr>
          <w:ilvl w:val="0"/>
          <w:numId w:val="32"/>
        </w:numPr>
        <w:tabs>
          <w:tab w:pos="1705" w:val="left" w:leader="none"/>
          <w:tab w:pos="1706" w:val="left" w:leader="none"/>
        </w:tabs>
        <w:spacing w:line="240" w:lineRule="auto" w:before="50" w:after="0"/>
        <w:ind w:left="1706" w:right="38" w:hanging="360"/>
        <w:jc w:val="left"/>
        <w:rPr>
          <w:sz w:val="24"/>
        </w:rPr>
      </w:pPr>
      <w:r>
        <w:rPr>
          <w:sz w:val="24"/>
        </w:rPr>
        <w:t>Obra Pública de infraestructura, sin convenio con el Ayuntamiento.</w:t>
      </w:r>
    </w:p>
    <w:p>
      <w:pPr>
        <w:pStyle w:val="BodyText"/>
        <w:spacing w:before="50"/>
        <w:ind w:right="460"/>
        <w:jc w:val="right"/>
      </w:pPr>
      <w:r>
        <w:rPr/>
        <w:br w:type="column"/>
      </w:r>
      <w:r>
        <w:rPr/>
        <w:t>Redes</w:t>
      </w:r>
    </w:p>
    <w:p>
      <w:pPr>
        <w:pStyle w:val="BodyText"/>
        <w:spacing w:line="343" w:lineRule="auto" w:before="120"/>
        <w:ind w:left="1441" w:right="459" w:firstLine="240"/>
        <w:jc w:val="right"/>
      </w:pPr>
      <w:r>
        <w:rPr/>
        <w:t>(m)</w:t>
      </w:r>
      <w:r>
        <w:rPr>
          <w:w w:val="99"/>
        </w:rPr>
        <w:t> </w:t>
      </w:r>
      <w:r>
        <w:rPr>
          <w:spacing w:val="-1"/>
        </w:rPr>
        <w:t>16.07</w:t>
      </w:r>
    </w:p>
    <w:p>
      <w:pPr>
        <w:spacing w:after="0" w:line="343" w:lineRule="auto"/>
        <w:jc w:val="right"/>
        <w:sectPr>
          <w:type w:val="continuous"/>
          <w:pgSz w:w="12250" w:h="15850"/>
          <w:pgMar w:top="840" w:bottom="280" w:left="860" w:right="820"/>
          <w:cols w:num="2" w:equalWidth="0">
            <w:col w:w="8008" w:space="51"/>
            <w:col w:w="2511"/>
          </w:cols>
        </w:sectPr>
      </w:pPr>
    </w:p>
    <w:p>
      <w:pPr>
        <w:pStyle w:val="ListParagraph"/>
        <w:numPr>
          <w:ilvl w:val="0"/>
          <w:numId w:val="32"/>
        </w:numPr>
        <w:tabs>
          <w:tab w:pos="360" w:val="left" w:leader="none"/>
          <w:tab w:pos="8315" w:val="left" w:leader="none"/>
        </w:tabs>
        <w:spacing w:line="240" w:lineRule="auto" w:before="2" w:after="0"/>
        <w:ind w:left="1706" w:right="458" w:hanging="1706"/>
        <w:jc w:val="right"/>
        <w:rPr>
          <w:sz w:val="24"/>
        </w:rPr>
      </w:pPr>
      <w:r>
        <w:rPr>
          <w:sz w:val="24"/>
        </w:rPr>
        <w:t>Vías</w:t>
      </w:r>
      <w:r>
        <w:rPr>
          <w:spacing w:val="-1"/>
          <w:sz w:val="24"/>
        </w:rPr>
        <w:t> </w:t>
      </w:r>
      <w:r>
        <w:rPr>
          <w:sz w:val="24"/>
        </w:rPr>
        <w:t>terrestres</w:t>
        <w:tab/>
        <w:t>(m²)</w:t>
      </w:r>
    </w:p>
    <w:p>
      <w:pPr>
        <w:pStyle w:val="BodyText"/>
        <w:ind w:right="459"/>
        <w:jc w:val="right"/>
      </w:pPr>
      <w:r>
        <w:rPr/>
        <w:t>7.14</w:t>
      </w:r>
    </w:p>
    <w:p>
      <w:pPr>
        <w:pStyle w:val="ListParagraph"/>
        <w:numPr>
          <w:ilvl w:val="0"/>
          <w:numId w:val="32"/>
        </w:numPr>
        <w:tabs>
          <w:tab w:pos="1705" w:val="left" w:leader="none"/>
          <w:tab w:pos="1706" w:val="left" w:leader="none"/>
        </w:tabs>
        <w:spacing w:line="240" w:lineRule="auto" w:before="1" w:after="0"/>
        <w:ind w:left="1706" w:right="2616" w:hanging="360"/>
        <w:jc w:val="left"/>
        <w:rPr>
          <w:sz w:val="24"/>
        </w:rPr>
      </w:pPr>
      <w:r>
        <w:rPr>
          <w:sz w:val="24"/>
        </w:rPr>
        <w:t>Por emitir otro tipo de autorizaciones referentes a la edificación:</w:t>
      </w:r>
    </w:p>
    <w:p>
      <w:pPr>
        <w:pStyle w:val="BodyText"/>
        <w:spacing w:before="11"/>
        <w:rPr>
          <w:sz w:val="26"/>
        </w:rPr>
      </w:pPr>
    </w:p>
    <w:p>
      <w:pPr>
        <w:pStyle w:val="BodyText"/>
        <w:tabs>
          <w:tab w:pos="9190" w:val="left" w:leader="none"/>
        </w:tabs>
        <w:ind w:left="520"/>
      </w:pPr>
      <w:r>
        <w:rPr/>
        <w:t>Uso</w:t>
      </w:r>
      <w:r>
        <w:rPr>
          <w:spacing w:val="-1"/>
        </w:rPr>
        <w:t> </w:t>
      </w:r>
      <w:r>
        <w:rPr/>
        <w:t>/</w:t>
      </w:r>
      <w:r>
        <w:rPr>
          <w:spacing w:val="-1"/>
        </w:rPr>
        <w:t> </w:t>
      </w:r>
      <w:r>
        <w:rPr/>
        <w:t>Destino</w:t>
        <w:tab/>
        <w:t>Importe</w:t>
      </w:r>
    </w:p>
    <w:p>
      <w:pPr>
        <w:pStyle w:val="BodyText"/>
        <w:ind w:left="9529"/>
      </w:pPr>
      <w:r>
        <w:rPr>
          <w:w w:val="99"/>
        </w:rPr>
        <w:t>$</w:t>
      </w:r>
    </w:p>
    <w:p>
      <w:pPr>
        <w:pStyle w:val="ListParagraph"/>
        <w:numPr>
          <w:ilvl w:val="2"/>
          <w:numId w:val="28"/>
        </w:numPr>
        <w:tabs>
          <w:tab w:pos="1241" w:val="left" w:leader="none"/>
        </w:tabs>
        <w:spacing w:line="240" w:lineRule="auto" w:before="0" w:after="0"/>
        <w:ind w:left="1240" w:right="0" w:hanging="361"/>
        <w:jc w:val="left"/>
        <w:rPr>
          <w:sz w:val="24"/>
        </w:rPr>
      </w:pPr>
      <w:r>
        <w:rPr>
          <w:sz w:val="24"/>
        </w:rPr>
        <w:t>Bardeo por metro</w:t>
      </w:r>
      <w:r>
        <w:rPr>
          <w:spacing w:val="-4"/>
          <w:sz w:val="24"/>
        </w:rPr>
        <w:t> </w:t>
      </w:r>
      <w:r>
        <w:rPr>
          <w:sz w:val="24"/>
        </w:rPr>
        <w:t>lineal:</w:t>
      </w:r>
    </w:p>
    <w:p>
      <w:pPr>
        <w:pStyle w:val="ListParagraph"/>
        <w:numPr>
          <w:ilvl w:val="3"/>
          <w:numId w:val="28"/>
        </w:numPr>
        <w:tabs>
          <w:tab w:pos="1601" w:val="left" w:leader="none"/>
          <w:tab w:pos="10005" w:val="right" w:leader="none"/>
        </w:tabs>
        <w:spacing w:line="240" w:lineRule="auto" w:before="120" w:after="0"/>
        <w:ind w:left="1600" w:right="0" w:hanging="361"/>
        <w:jc w:val="left"/>
        <w:rPr>
          <w:sz w:val="24"/>
        </w:rPr>
      </w:pPr>
      <w:r>
        <w:rPr>
          <w:sz w:val="24"/>
        </w:rPr>
        <w:t>En</w:t>
      </w:r>
      <w:r>
        <w:rPr>
          <w:spacing w:val="-1"/>
          <w:sz w:val="24"/>
        </w:rPr>
        <w:t> </w:t>
      </w:r>
      <w:r>
        <w:rPr>
          <w:sz w:val="24"/>
        </w:rPr>
        <w:t>Predio Rústico</w:t>
        <w:tab/>
        <w:t>7.14</w:t>
      </w:r>
    </w:p>
    <w:p>
      <w:pPr>
        <w:pStyle w:val="ListParagraph"/>
        <w:numPr>
          <w:ilvl w:val="3"/>
          <w:numId w:val="28"/>
        </w:numPr>
        <w:tabs>
          <w:tab w:pos="1601" w:val="left" w:leader="none"/>
          <w:tab w:pos="10005" w:val="right" w:leader="none"/>
        </w:tabs>
        <w:spacing w:line="240" w:lineRule="auto" w:before="120" w:after="0"/>
        <w:ind w:left="1600" w:right="0" w:hanging="361"/>
        <w:jc w:val="left"/>
        <w:rPr>
          <w:sz w:val="24"/>
        </w:rPr>
      </w:pPr>
      <w:r>
        <w:rPr>
          <w:sz w:val="24"/>
        </w:rPr>
        <w:t>En</w:t>
      </w:r>
      <w:r>
        <w:rPr>
          <w:spacing w:val="-1"/>
          <w:sz w:val="24"/>
        </w:rPr>
        <w:t> </w:t>
      </w:r>
      <w:r>
        <w:rPr>
          <w:sz w:val="24"/>
        </w:rPr>
        <w:t>Predio Urbano</w:t>
        <w:tab/>
        <w:t>15.18</w:t>
      </w:r>
    </w:p>
    <w:p>
      <w:pPr>
        <w:pStyle w:val="ListParagraph"/>
        <w:numPr>
          <w:ilvl w:val="2"/>
          <w:numId w:val="28"/>
        </w:numPr>
        <w:tabs>
          <w:tab w:pos="1241" w:val="left" w:leader="none"/>
        </w:tabs>
        <w:spacing w:line="240" w:lineRule="auto" w:before="120" w:after="0"/>
        <w:ind w:left="1240" w:right="0" w:hanging="361"/>
        <w:jc w:val="left"/>
        <w:rPr>
          <w:sz w:val="24"/>
        </w:rPr>
      </w:pPr>
      <w:r>
        <w:rPr>
          <w:sz w:val="24"/>
        </w:rPr>
        <w:t>Remodelación de fachada por metro</w:t>
      </w:r>
      <w:r>
        <w:rPr>
          <w:spacing w:val="-8"/>
          <w:sz w:val="24"/>
        </w:rPr>
        <w:t> </w:t>
      </w:r>
      <w:r>
        <w:rPr>
          <w:sz w:val="24"/>
        </w:rPr>
        <w:t>lineal:</w:t>
      </w:r>
    </w:p>
    <w:p>
      <w:pPr>
        <w:pStyle w:val="ListParagraph"/>
        <w:numPr>
          <w:ilvl w:val="3"/>
          <w:numId w:val="28"/>
        </w:numPr>
        <w:tabs>
          <w:tab w:pos="1601" w:val="left" w:leader="none"/>
          <w:tab w:pos="10005" w:val="right" w:leader="none"/>
        </w:tabs>
        <w:spacing w:line="240" w:lineRule="auto" w:before="120" w:after="0"/>
        <w:ind w:left="1600" w:right="0" w:hanging="361"/>
        <w:jc w:val="left"/>
        <w:rPr>
          <w:sz w:val="24"/>
        </w:rPr>
      </w:pPr>
      <w:r>
        <w:rPr>
          <w:sz w:val="24"/>
        </w:rPr>
        <w:t>Para</w:t>
      </w:r>
      <w:r>
        <w:rPr>
          <w:spacing w:val="-1"/>
          <w:sz w:val="24"/>
        </w:rPr>
        <w:t> </w:t>
      </w:r>
      <w:r>
        <w:rPr>
          <w:sz w:val="24"/>
        </w:rPr>
        <w:t>uso habitacional</w:t>
        <w:tab/>
        <w:t>14.29</w:t>
      </w:r>
    </w:p>
    <w:p>
      <w:pPr>
        <w:pStyle w:val="ListParagraph"/>
        <w:numPr>
          <w:ilvl w:val="3"/>
          <w:numId w:val="28"/>
        </w:numPr>
        <w:tabs>
          <w:tab w:pos="1601" w:val="left" w:leader="none"/>
          <w:tab w:pos="10005" w:val="right" w:leader="none"/>
        </w:tabs>
        <w:spacing w:line="240" w:lineRule="auto" w:before="120" w:after="0"/>
        <w:ind w:left="1600" w:right="0" w:hanging="361"/>
        <w:jc w:val="left"/>
        <w:rPr>
          <w:sz w:val="24"/>
        </w:rPr>
      </w:pPr>
      <w:r>
        <w:rPr>
          <w:sz w:val="24"/>
        </w:rPr>
        <w:t>Para uso comercial</w:t>
      </w:r>
      <w:r>
        <w:rPr>
          <w:spacing w:val="-1"/>
          <w:sz w:val="24"/>
        </w:rPr>
        <w:t> </w:t>
      </w:r>
      <w:r>
        <w:rPr>
          <w:sz w:val="24"/>
        </w:rPr>
        <w:t>y servicios</w:t>
        <w:tab/>
        <w:t>35.71</w:t>
      </w:r>
    </w:p>
    <w:p>
      <w:pPr>
        <w:spacing w:after="0" w:line="240" w:lineRule="auto"/>
        <w:jc w:val="left"/>
        <w:rPr>
          <w:sz w:val="24"/>
        </w:rPr>
        <w:sectPr>
          <w:type w:val="continuous"/>
          <w:pgSz w:w="12250" w:h="15850"/>
          <w:pgMar w:top="840" w:bottom="280" w:left="860" w:right="820"/>
        </w:sectPr>
      </w:pPr>
    </w:p>
    <w:p>
      <w:pPr>
        <w:pStyle w:val="BodyText"/>
        <w:tabs>
          <w:tab w:pos="9190" w:val="left" w:leader="none"/>
        </w:tabs>
        <w:spacing w:before="197"/>
        <w:ind w:left="520"/>
      </w:pPr>
      <w:r>
        <w:rPr/>
        <w:t>Uso</w:t>
      </w:r>
      <w:r>
        <w:rPr>
          <w:spacing w:val="-1"/>
        </w:rPr>
        <w:t> </w:t>
      </w:r>
      <w:r>
        <w:rPr/>
        <w:t>/</w:t>
      </w:r>
      <w:r>
        <w:rPr>
          <w:spacing w:val="-1"/>
        </w:rPr>
        <w:t> </w:t>
      </w:r>
      <w:r>
        <w:rPr/>
        <w:t>Destino</w:t>
        <w:tab/>
        <w:t>Importe</w:t>
      </w:r>
    </w:p>
    <w:p>
      <w:pPr>
        <w:pStyle w:val="BodyText"/>
        <w:spacing w:before="1"/>
        <w:ind w:left="9529"/>
      </w:pPr>
      <w:r>
        <w:rPr>
          <w:w w:val="99"/>
        </w:rPr>
        <w:t>$</w:t>
      </w:r>
    </w:p>
    <w:p>
      <w:pPr>
        <w:pStyle w:val="ListParagraph"/>
        <w:numPr>
          <w:ilvl w:val="2"/>
          <w:numId w:val="28"/>
        </w:numPr>
        <w:tabs>
          <w:tab w:pos="1241" w:val="left" w:leader="none"/>
        </w:tabs>
        <w:spacing w:line="240" w:lineRule="auto" w:before="0" w:after="0"/>
        <w:ind w:left="1240" w:right="0" w:hanging="361"/>
        <w:jc w:val="left"/>
        <w:rPr>
          <w:sz w:val="24"/>
        </w:rPr>
      </w:pPr>
      <w:r>
        <w:rPr>
          <w:sz w:val="24"/>
        </w:rPr>
        <w:t>Remodelación en general por</w:t>
      </w:r>
      <w:r>
        <w:rPr>
          <w:spacing w:val="-4"/>
          <w:sz w:val="24"/>
        </w:rPr>
        <w:t> </w:t>
      </w:r>
      <w:r>
        <w:rPr>
          <w:sz w:val="24"/>
        </w:rPr>
        <w:t>m2</w:t>
      </w:r>
    </w:p>
    <w:p>
      <w:pPr>
        <w:pStyle w:val="ListParagraph"/>
        <w:numPr>
          <w:ilvl w:val="3"/>
          <w:numId w:val="28"/>
        </w:numPr>
        <w:tabs>
          <w:tab w:pos="1601" w:val="left" w:leader="none"/>
          <w:tab w:pos="9536" w:val="left" w:leader="none"/>
        </w:tabs>
        <w:spacing w:line="240" w:lineRule="auto" w:before="120" w:after="0"/>
        <w:ind w:left="1600" w:right="0" w:hanging="361"/>
        <w:jc w:val="left"/>
        <w:rPr>
          <w:sz w:val="24"/>
        </w:rPr>
      </w:pPr>
      <w:r>
        <w:rPr>
          <w:sz w:val="24"/>
        </w:rPr>
        <w:t>Para uso habitacional, religioso</w:t>
      </w:r>
      <w:r>
        <w:rPr>
          <w:spacing w:val="-11"/>
          <w:sz w:val="24"/>
        </w:rPr>
        <w:t> </w:t>
      </w:r>
      <w:r>
        <w:rPr>
          <w:sz w:val="24"/>
        </w:rPr>
        <w:t>y</w:t>
      </w:r>
      <w:r>
        <w:rPr>
          <w:spacing w:val="-2"/>
          <w:sz w:val="24"/>
        </w:rPr>
        <w:t> </w:t>
      </w:r>
      <w:r>
        <w:rPr>
          <w:sz w:val="24"/>
        </w:rPr>
        <w:t>educacional</w:t>
        <w:tab/>
        <w:t>3.57</w:t>
      </w:r>
    </w:p>
    <w:p>
      <w:pPr>
        <w:pStyle w:val="BodyText"/>
        <w:spacing w:before="8"/>
        <w:rPr>
          <w:sz w:val="21"/>
        </w:rPr>
      </w:pPr>
    </w:p>
    <w:p>
      <w:pPr>
        <w:pStyle w:val="ListParagraph"/>
        <w:numPr>
          <w:ilvl w:val="3"/>
          <w:numId w:val="28"/>
        </w:numPr>
        <w:tabs>
          <w:tab w:pos="1601" w:val="left" w:leader="none"/>
          <w:tab w:pos="9404" w:val="left" w:leader="none"/>
        </w:tabs>
        <w:spacing w:line="240" w:lineRule="auto" w:before="0" w:after="0"/>
        <w:ind w:left="1600" w:right="0" w:hanging="361"/>
        <w:jc w:val="left"/>
        <w:rPr>
          <w:sz w:val="24"/>
        </w:rPr>
      </w:pPr>
      <w:r>
        <w:rPr>
          <w:sz w:val="24"/>
        </w:rPr>
        <w:t>Para uso comercial, industrial, agroindustrial</w:t>
      </w:r>
      <w:r>
        <w:rPr>
          <w:spacing w:val="-13"/>
          <w:sz w:val="24"/>
        </w:rPr>
        <w:t> </w:t>
      </w:r>
      <w:r>
        <w:rPr>
          <w:sz w:val="24"/>
        </w:rPr>
        <w:t>y</w:t>
      </w:r>
      <w:r>
        <w:rPr>
          <w:spacing w:val="-2"/>
          <w:sz w:val="24"/>
        </w:rPr>
        <w:t> </w:t>
      </w:r>
      <w:r>
        <w:rPr>
          <w:sz w:val="24"/>
        </w:rPr>
        <w:t>servicios</w:t>
        <w:tab/>
        <w:t>14.29</w:t>
      </w:r>
    </w:p>
    <w:p>
      <w:pPr>
        <w:spacing w:after="0" w:line="240" w:lineRule="auto"/>
        <w:jc w:val="left"/>
        <w:rPr>
          <w:sz w:val="24"/>
        </w:rPr>
        <w:sectPr>
          <w:pgSz w:w="12250" w:h="15850"/>
          <w:pgMar w:header="730" w:footer="0" w:top="1000" w:bottom="280" w:left="860" w:right="820"/>
        </w:sectPr>
      </w:pPr>
    </w:p>
    <w:p>
      <w:pPr>
        <w:pStyle w:val="ListParagraph"/>
        <w:numPr>
          <w:ilvl w:val="2"/>
          <w:numId w:val="28"/>
        </w:numPr>
        <w:tabs>
          <w:tab w:pos="1241" w:val="left" w:leader="none"/>
        </w:tabs>
        <w:spacing w:line="237" w:lineRule="auto" w:before="122" w:after="0"/>
        <w:ind w:left="1240" w:right="38" w:hanging="360"/>
        <w:jc w:val="both"/>
        <w:rPr>
          <w:sz w:val="24"/>
        </w:rPr>
      </w:pPr>
      <w:r>
        <w:rPr/>
        <w:drawing>
          <wp:anchor distT="0" distB="0" distL="0" distR="0" allowOverlap="1" layoutInCell="1" locked="0" behindDoc="1" simplePos="0" relativeHeight="227499008">
            <wp:simplePos x="0" y="0"/>
            <wp:positionH relativeFrom="page">
              <wp:posOffset>1252555</wp:posOffset>
            </wp:positionH>
            <wp:positionV relativeFrom="paragraph">
              <wp:posOffset>173777</wp:posOffset>
            </wp:positionV>
            <wp:extent cx="5022641" cy="5144769"/>
            <wp:effectExtent l="0" t="0" r="0" b="0"/>
            <wp:wrapNone/>
            <wp:docPr id="63" name="image26.png"/>
            <wp:cNvGraphicFramePr>
              <a:graphicFrameLocks noChangeAspect="1"/>
            </wp:cNvGraphicFramePr>
            <a:graphic>
              <a:graphicData uri="http://schemas.openxmlformats.org/drawingml/2006/picture">
                <pic:pic>
                  <pic:nvPicPr>
                    <pic:cNvPr id="64" name="image26.png"/>
                    <pic:cNvPicPr/>
                  </pic:nvPicPr>
                  <pic:blipFill>
                    <a:blip r:embed="rId36" cstate="print"/>
                    <a:stretch>
                      <a:fillRect/>
                    </a:stretch>
                  </pic:blipFill>
                  <pic:spPr>
                    <a:xfrm>
                      <a:off x="0" y="0"/>
                      <a:ext cx="5022641" cy="5144769"/>
                    </a:xfrm>
                    <a:prstGeom prst="rect">
                      <a:avLst/>
                    </a:prstGeom>
                  </pic:spPr>
                </pic:pic>
              </a:graphicData>
            </a:graphic>
          </wp:anchor>
        </w:drawing>
      </w:r>
      <w:r>
        <w:rPr>
          <w:sz w:val="24"/>
        </w:rPr>
        <w:t>Por techar sobre superficies abiertas y semi-abiertas (patios, terrazas, cocheras, siempre y cuando sean cubiertas ligeras con cubierta de lámina acanalada sin concreto, teja, acrílico, policarbonato) por m</w:t>
      </w:r>
      <w:r>
        <w:rPr>
          <w:position w:val="8"/>
          <w:sz w:val="16"/>
        </w:rPr>
        <w:t>2 </w:t>
      </w:r>
      <w:r>
        <w:rPr>
          <w:sz w:val="24"/>
        </w:rPr>
        <w:t>(metro</w:t>
      </w:r>
      <w:r>
        <w:rPr>
          <w:spacing w:val="-29"/>
          <w:sz w:val="24"/>
        </w:rPr>
        <w:t> </w:t>
      </w:r>
      <w:r>
        <w:rPr>
          <w:sz w:val="24"/>
        </w:rPr>
        <w:t>cuadrado)</w:t>
      </w:r>
    </w:p>
    <w:p>
      <w:pPr>
        <w:pStyle w:val="ListParagraph"/>
        <w:numPr>
          <w:ilvl w:val="2"/>
          <w:numId w:val="28"/>
        </w:numPr>
        <w:tabs>
          <w:tab w:pos="1241" w:val="left" w:leader="none"/>
        </w:tabs>
        <w:spacing w:line="240" w:lineRule="auto" w:before="119" w:after="0"/>
        <w:ind w:left="1240" w:right="38" w:hanging="360"/>
        <w:jc w:val="both"/>
        <w:rPr>
          <w:sz w:val="24"/>
        </w:rPr>
      </w:pPr>
      <w:r>
        <w:rPr>
          <w:sz w:val="24"/>
        </w:rPr>
        <w:t>Por construcción de albercas, por </w:t>
      </w:r>
      <w:r>
        <w:rPr>
          <w:spacing w:val="3"/>
          <w:sz w:val="24"/>
        </w:rPr>
        <w:t>m</w:t>
      </w:r>
      <w:r>
        <w:rPr>
          <w:spacing w:val="3"/>
          <w:position w:val="8"/>
          <w:sz w:val="16"/>
        </w:rPr>
        <w:t>3 </w:t>
      </w:r>
      <w:r>
        <w:rPr>
          <w:sz w:val="24"/>
        </w:rPr>
        <w:t>(metro cúbico) de capacidad.</w:t>
      </w:r>
    </w:p>
    <w:p>
      <w:pPr>
        <w:pStyle w:val="BodyText"/>
        <w:spacing w:before="120"/>
        <w:ind w:right="555"/>
        <w:jc w:val="right"/>
      </w:pPr>
      <w:r>
        <w:rPr/>
        <w:br w:type="column"/>
      </w:r>
      <w:r>
        <w:rPr/>
        <w:t>6.25</w:t>
      </w:r>
    </w:p>
    <w:p>
      <w:pPr>
        <w:pStyle w:val="BodyText"/>
        <w:rPr>
          <w:sz w:val="26"/>
        </w:rPr>
      </w:pPr>
    </w:p>
    <w:p>
      <w:pPr>
        <w:pStyle w:val="BodyText"/>
        <w:rPr>
          <w:sz w:val="26"/>
        </w:rPr>
      </w:pPr>
    </w:p>
    <w:p>
      <w:pPr>
        <w:pStyle w:val="BodyText"/>
        <w:spacing w:before="5"/>
        <w:rPr>
          <w:sz w:val="30"/>
        </w:rPr>
      </w:pPr>
    </w:p>
    <w:p>
      <w:pPr>
        <w:pStyle w:val="BodyText"/>
        <w:ind w:right="555"/>
        <w:jc w:val="right"/>
      </w:pPr>
      <w:r>
        <w:rPr>
          <w:spacing w:val="-1"/>
        </w:rPr>
        <w:t>110.71</w:t>
      </w:r>
    </w:p>
    <w:p>
      <w:pPr>
        <w:spacing w:after="0"/>
        <w:jc w:val="right"/>
        <w:sectPr>
          <w:type w:val="continuous"/>
          <w:pgSz w:w="12250" w:h="15850"/>
          <w:pgMar w:top="840" w:bottom="280" w:left="860" w:right="820"/>
          <w:cols w:num="2" w:equalWidth="0">
            <w:col w:w="8012" w:space="378"/>
            <w:col w:w="2180"/>
          </w:cols>
        </w:sectPr>
      </w:pPr>
    </w:p>
    <w:p>
      <w:pPr>
        <w:pStyle w:val="ListParagraph"/>
        <w:numPr>
          <w:ilvl w:val="2"/>
          <w:numId w:val="28"/>
        </w:numPr>
        <w:tabs>
          <w:tab w:pos="1241" w:val="left" w:leader="none"/>
          <w:tab w:pos="10005" w:val="right" w:leader="none"/>
        </w:tabs>
        <w:spacing w:line="240" w:lineRule="auto" w:before="121" w:after="0"/>
        <w:ind w:left="1240" w:right="0" w:hanging="361"/>
        <w:jc w:val="left"/>
        <w:rPr>
          <w:sz w:val="24"/>
        </w:rPr>
      </w:pPr>
      <w:r>
        <w:rPr>
          <w:sz w:val="24"/>
        </w:rPr>
        <w:t>Para demoliciones en general, por m2</w:t>
      </w:r>
      <w:r>
        <w:rPr>
          <w:spacing w:val="-5"/>
          <w:sz w:val="24"/>
        </w:rPr>
        <w:t> </w:t>
      </w:r>
      <w:r>
        <w:rPr>
          <w:sz w:val="24"/>
        </w:rPr>
        <w:t>(metro</w:t>
      </w:r>
      <w:r>
        <w:rPr>
          <w:spacing w:val="-2"/>
          <w:sz w:val="24"/>
        </w:rPr>
        <w:t> </w:t>
      </w:r>
      <w:r>
        <w:rPr>
          <w:sz w:val="24"/>
        </w:rPr>
        <w:t>cuadrado)</w:t>
        <w:tab/>
        <w:t>6.25</w:t>
      </w:r>
    </w:p>
    <w:p>
      <w:pPr>
        <w:pStyle w:val="ListParagraph"/>
        <w:numPr>
          <w:ilvl w:val="2"/>
          <w:numId w:val="28"/>
        </w:numPr>
        <w:tabs>
          <w:tab w:pos="1241" w:val="left" w:leader="none"/>
          <w:tab w:pos="10004" w:val="right" w:leader="none"/>
        </w:tabs>
        <w:spacing w:line="240" w:lineRule="auto" w:before="120" w:after="0"/>
        <w:ind w:left="1240" w:right="0" w:hanging="361"/>
        <w:jc w:val="left"/>
        <w:rPr>
          <w:sz w:val="24"/>
        </w:rPr>
      </w:pPr>
      <w:r>
        <w:rPr>
          <w:sz w:val="24"/>
        </w:rPr>
        <w:t>Instalación de elevadores o escaleras eléctricas,</w:t>
      </w:r>
      <w:r>
        <w:rPr>
          <w:spacing w:val="-5"/>
          <w:sz w:val="24"/>
        </w:rPr>
        <w:t> </w:t>
      </w:r>
      <w:r>
        <w:rPr>
          <w:sz w:val="24"/>
        </w:rPr>
        <w:t>por</w:t>
      </w:r>
      <w:r>
        <w:rPr>
          <w:spacing w:val="-1"/>
          <w:sz w:val="24"/>
        </w:rPr>
        <w:t> </w:t>
      </w:r>
      <w:r>
        <w:rPr>
          <w:sz w:val="24"/>
        </w:rPr>
        <w:t>elemento.</w:t>
        <w:tab/>
        <w:t>735.71</w:t>
      </w:r>
    </w:p>
    <w:p>
      <w:pPr>
        <w:spacing w:after="0" w:line="240" w:lineRule="auto"/>
        <w:jc w:val="left"/>
        <w:rPr>
          <w:sz w:val="24"/>
        </w:rPr>
        <w:sectPr>
          <w:type w:val="continuous"/>
          <w:pgSz w:w="12250" w:h="15850"/>
          <w:pgMar w:top="840" w:bottom="280" w:left="860" w:right="820"/>
        </w:sectPr>
      </w:pPr>
    </w:p>
    <w:p>
      <w:pPr>
        <w:pStyle w:val="ListParagraph"/>
        <w:numPr>
          <w:ilvl w:val="2"/>
          <w:numId w:val="28"/>
        </w:numPr>
        <w:tabs>
          <w:tab w:pos="1241" w:val="left" w:leader="none"/>
        </w:tabs>
        <w:spacing w:line="240" w:lineRule="auto" w:before="120" w:after="0"/>
        <w:ind w:left="1240" w:right="38" w:hanging="360"/>
        <w:jc w:val="both"/>
        <w:rPr>
          <w:sz w:val="24"/>
        </w:rPr>
      </w:pPr>
      <w:r>
        <w:rPr>
          <w:sz w:val="24"/>
        </w:rPr>
        <w:t>Instalación subterránea de tanques de almacenamiento o cisterna, por m3 (metro cúbico</w:t>
      </w:r>
      <w:r>
        <w:rPr>
          <w:sz w:val="24"/>
          <w:shd w:fill="FFFFFF" w:color="auto" w:val="clear"/>
        </w:rPr>
        <w:t>) para uso comercial, servicios,</w:t>
      </w:r>
      <w:r>
        <w:rPr>
          <w:sz w:val="24"/>
        </w:rPr>
        <w:t> agroindustrial e</w:t>
      </w:r>
      <w:r>
        <w:rPr>
          <w:spacing w:val="-1"/>
          <w:sz w:val="24"/>
        </w:rPr>
        <w:t> </w:t>
      </w:r>
      <w:r>
        <w:rPr>
          <w:sz w:val="24"/>
        </w:rPr>
        <w:t>industrial.</w:t>
      </w:r>
    </w:p>
    <w:p>
      <w:pPr>
        <w:pStyle w:val="BodyText"/>
        <w:spacing w:before="120"/>
        <w:ind w:left="880"/>
      </w:pPr>
      <w:r>
        <w:rPr/>
        <w:br w:type="column"/>
      </w:r>
      <w:r>
        <w:rPr/>
        <w:t>333.24</w:t>
      </w:r>
    </w:p>
    <w:p>
      <w:pPr>
        <w:spacing w:after="0"/>
        <w:sectPr>
          <w:type w:val="continuous"/>
          <w:pgSz w:w="12250" w:h="15850"/>
          <w:pgMar w:top="840" w:bottom="280" w:left="860" w:right="820"/>
          <w:cols w:num="2" w:equalWidth="0">
            <w:col w:w="8010" w:space="380"/>
            <w:col w:w="2180"/>
          </w:cols>
        </w:sectPr>
      </w:pPr>
    </w:p>
    <w:p>
      <w:pPr>
        <w:pStyle w:val="ListParagraph"/>
        <w:numPr>
          <w:ilvl w:val="2"/>
          <w:numId w:val="28"/>
        </w:numPr>
        <w:tabs>
          <w:tab w:pos="1241" w:val="left" w:leader="none"/>
          <w:tab w:pos="9269" w:val="left" w:leader="none"/>
        </w:tabs>
        <w:spacing w:line="240" w:lineRule="auto" w:before="120" w:after="0"/>
        <w:ind w:left="1240" w:right="0" w:hanging="361"/>
        <w:jc w:val="left"/>
        <w:rPr>
          <w:sz w:val="24"/>
        </w:rPr>
      </w:pPr>
      <w:r>
        <w:rPr>
          <w:sz w:val="24"/>
        </w:rPr>
        <w:t>Instalación y/o construcción de tanques elevados</w:t>
      </w:r>
      <w:r>
        <w:rPr>
          <w:spacing w:val="-11"/>
          <w:sz w:val="24"/>
        </w:rPr>
        <w:t> </w:t>
      </w:r>
      <w:r>
        <w:rPr>
          <w:sz w:val="24"/>
        </w:rPr>
        <w:t>por</w:t>
      </w:r>
      <w:r>
        <w:rPr>
          <w:spacing w:val="-2"/>
          <w:sz w:val="24"/>
        </w:rPr>
        <w:t> </w:t>
      </w:r>
      <w:r>
        <w:rPr>
          <w:sz w:val="24"/>
        </w:rPr>
        <w:t>m3</w:t>
        <w:tab/>
        <w:t>110.71</w:t>
      </w:r>
    </w:p>
    <w:p>
      <w:pPr>
        <w:pStyle w:val="ListParagraph"/>
        <w:numPr>
          <w:ilvl w:val="2"/>
          <w:numId w:val="28"/>
        </w:numPr>
        <w:tabs>
          <w:tab w:pos="1351" w:val="left" w:leader="none"/>
        </w:tabs>
        <w:spacing w:line="240" w:lineRule="auto" w:before="120" w:after="0"/>
        <w:ind w:left="1216" w:right="564" w:hanging="356"/>
        <w:jc w:val="left"/>
        <w:rPr>
          <w:sz w:val="24"/>
        </w:rPr>
      </w:pPr>
      <w:r>
        <w:rPr>
          <w:sz w:val="24"/>
        </w:rPr>
        <w:t>Instalación y/o construcción de estaciones repetidoras de comunicación celular y/o inalámbrica:</w:t>
      </w:r>
    </w:p>
    <w:p>
      <w:pPr>
        <w:pStyle w:val="ListParagraph"/>
        <w:numPr>
          <w:ilvl w:val="3"/>
          <w:numId w:val="28"/>
        </w:numPr>
        <w:tabs>
          <w:tab w:pos="1601" w:val="left" w:leader="none"/>
          <w:tab w:pos="9070" w:val="left" w:leader="none"/>
        </w:tabs>
        <w:spacing w:line="240" w:lineRule="auto" w:before="120" w:after="0"/>
        <w:ind w:left="1600" w:right="0" w:hanging="361"/>
        <w:jc w:val="left"/>
        <w:rPr>
          <w:sz w:val="24"/>
        </w:rPr>
      </w:pPr>
      <w:r>
        <w:rPr>
          <w:sz w:val="24"/>
        </w:rPr>
        <w:t>Para soportes de antenas hasta tres metros</w:t>
      </w:r>
      <w:r>
        <w:rPr>
          <w:spacing w:val="-17"/>
          <w:sz w:val="24"/>
        </w:rPr>
        <w:t> </w:t>
      </w:r>
      <w:r>
        <w:rPr>
          <w:sz w:val="24"/>
        </w:rPr>
        <w:t>de altura</w:t>
        <w:tab/>
        <w:t>1,697.32</w:t>
      </w:r>
    </w:p>
    <w:p>
      <w:pPr>
        <w:pStyle w:val="ListParagraph"/>
        <w:numPr>
          <w:ilvl w:val="3"/>
          <w:numId w:val="28"/>
        </w:numPr>
        <w:tabs>
          <w:tab w:pos="1601" w:val="left" w:leader="none"/>
          <w:tab w:pos="9070" w:val="left" w:leader="none"/>
        </w:tabs>
        <w:spacing w:line="240" w:lineRule="auto" w:before="120" w:after="0"/>
        <w:ind w:left="1600" w:right="0" w:hanging="361"/>
        <w:jc w:val="left"/>
        <w:rPr>
          <w:sz w:val="24"/>
        </w:rPr>
      </w:pPr>
      <w:r>
        <w:rPr>
          <w:sz w:val="24"/>
        </w:rPr>
        <w:t>Para soportes de antenas hasta quince metros</w:t>
      </w:r>
      <w:r>
        <w:rPr>
          <w:spacing w:val="-8"/>
          <w:sz w:val="24"/>
        </w:rPr>
        <w:t> </w:t>
      </w:r>
      <w:r>
        <w:rPr>
          <w:sz w:val="24"/>
        </w:rPr>
        <w:t>de</w:t>
      </w:r>
      <w:r>
        <w:rPr>
          <w:spacing w:val="-2"/>
          <w:sz w:val="24"/>
        </w:rPr>
        <w:t> </w:t>
      </w:r>
      <w:r>
        <w:rPr>
          <w:sz w:val="24"/>
        </w:rPr>
        <w:t>altura</w:t>
        <w:tab/>
        <w:t>5,925.89</w:t>
      </w:r>
    </w:p>
    <w:p>
      <w:pPr>
        <w:pStyle w:val="ListParagraph"/>
        <w:numPr>
          <w:ilvl w:val="3"/>
          <w:numId w:val="28"/>
        </w:numPr>
        <w:tabs>
          <w:tab w:pos="1601" w:val="left" w:leader="none"/>
          <w:tab w:pos="9070" w:val="left" w:leader="none"/>
        </w:tabs>
        <w:spacing w:line="240" w:lineRule="auto" w:before="120" w:after="0"/>
        <w:ind w:left="1600" w:right="0" w:hanging="361"/>
        <w:jc w:val="left"/>
        <w:rPr>
          <w:sz w:val="24"/>
        </w:rPr>
      </w:pPr>
      <w:r>
        <w:rPr>
          <w:sz w:val="24"/>
        </w:rPr>
        <w:t>Por cada metro adicional</w:t>
      </w:r>
      <w:r>
        <w:rPr>
          <w:spacing w:val="-9"/>
          <w:sz w:val="24"/>
        </w:rPr>
        <w:t> </w:t>
      </w:r>
      <w:r>
        <w:rPr>
          <w:sz w:val="24"/>
        </w:rPr>
        <w:t>de</w:t>
      </w:r>
      <w:r>
        <w:rPr>
          <w:spacing w:val="-2"/>
          <w:sz w:val="24"/>
        </w:rPr>
        <w:t> </w:t>
      </w:r>
      <w:r>
        <w:rPr>
          <w:sz w:val="24"/>
        </w:rPr>
        <w:t>altura</w:t>
        <w:tab/>
        <w:t>1,058.04</w:t>
      </w:r>
    </w:p>
    <w:p>
      <w:pPr>
        <w:pStyle w:val="ListParagraph"/>
        <w:numPr>
          <w:ilvl w:val="3"/>
          <w:numId w:val="28"/>
        </w:numPr>
        <w:tabs>
          <w:tab w:pos="1601" w:val="left" w:leader="none"/>
          <w:tab w:pos="9070" w:val="left" w:leader="none"/>
        </w:tabs>
        <w:spacing w:line="240" w:lineRule="auto" w:before="120" w:after="0"/>
        <w:ind w:left="1600" w:right="0" w:hanging="361"/>
        <w:jc w:val="left"/>
        <w:rPr>
          <w:sz w:val="24"/>
        </w:rPr>
      </w:pPr>
      <w:r>
        <w:rPr>
          <w:sz w:val="24"/>
        </w:rPr>
        <w:t>Por cada antena de radiofrecuencia</w:t>
      </w:r>
      <w:r>
        <w:rPr>
          <w:spacing w:val="-12"/>
          <w:sz w:val="24"/>
        </w:rPr>
        <w:t> </w:t>
      </w:r>
      <w:r>
        <w:rPr>
          <w:sz w:val="24"/>
        </w:rPr>
        <w:t>o</w:t>
      </w:r>
      <w:r>
        <w:rPr>
          <w:spacing w:val="-3"/>
          <w:sz w:val="24"/>
        </w:rPr>
        <w:t> </w:t>
      </w:r>
      <w:r>
        <w:rPr>
          <w:sz w:val="24"/>
        </w:rPr>
        <w:t>microondas</w:t>
        <w:tab/>
        <w:t>1,697.32</w:t>
      </w:r>
    </w:p>
    <w:p>
      <w:pPr>
        <w:spacing w:after="0" w:line="240" w:lineRule="auto"/>
        <w:jc w:val="left"/>
        <w:rPr>
          <w:sz w:val="24"/>
        </w:rPr>
        <w:sectPr>
          <w:type w:val="continuous"/>
          <w:pgSz w:w="12250" w:h="15850"/>
          <w:pgMar w:top="840" w:bottom="280" w:left="860" w:right="820"/>
        </w:sectPr>
      </w:pPr>
    </w:p>
    <w:p>
      <w:pPr>
        <w:pStyle w:val="ListParagraph"/>
        <w:numPr>
          <w:ilvl w:val="2"/>
          <w:numId w:val="28"/>
        </w:numPr>
        <w:tabs>
          <w:tab w:pos="1308" w:val="left" w:leader="none"/>
        </w:tabs>
        <w:spacing w:line="240" w:lineRule="auto" w:before="120" w:after="0"/>
        <w:ind w:left="1240" w:right="38" w:hanging="360"/>
        <w:jc w:val="left"/>
        <w:rPr>
          <w:sz w:val="24"/>
        </w:rPr>
      </w:pPr>
      <w:r>
        <w:rPr>
          <w:sz w:val="24"/>
        </w:rPr>
        <w:t>Construcción de áreas deportivas en propiedad privada, en general, por M2 (Metro</w:t>
      </w:r>
      <w:r>
        <w:rPr>
          <w:spacing w:val="-3"/>
          <w:sz w:val="24"/>
        </w:rPr>
        <w:t> </w:t>
      </w:r>
      <w:r>
        <w:rPr>
          <w:sz w:val="24"/>
        </w:rPr>
        <w:t>Cuadrado)</w:t>
      </w:r>
    </w:p>
    <w:p>
      <w:pPr>
        <w:pStyle w:val="BodyText"/>
        <w:spacing w:before="120"/>
        <w:ind w:left="880"/>
      </w:pPr>
      <w:r>
        <w:rPr/>
        <w:br w:type="column"/>
      </w:r>
      <w:r>
        <w:rPr/>
        <w:t>17.50</w:t>
      </w:r>
    </w:p>
    <w:p>
      <w:pPr>
        <w:spacing w:after="0"/>
        <w:sectPr>
          <w:type w:val="continuous"/>
          <w:pgSz w:w="12250" w:h="15850"/>
          <w:pgMar w:top="840" w:bottom="280" w:left="860" w:right="820"/>
          <w:cols w:num="2" w:equalWidth="0">
            <w:col w:w="8008" w:space="516"/>
            <w:col w:w="2046"/>
          </w:cols>
        </w:sectPr>
      </w:pPr>
    </w:p>
    <w:p>
      <w:pPr>
        <w:pStyle w:val="ListParagraph"/>
        <w:numPr>
          <w:ilvl w:val="2"/>
          <w:numId w:val="28"/>
        </w:numPr>
        <w:tabs>
          <w:tab w:pos="1308" w:val="left" w:leader="none"/>
          <w:tab w:pos="10005" w:val="right" w:leader="none"/>
        </w:tabs>
        <w:spacing w:line="240" w:lineRule="auto" w:before="120" w:after="0"/>
        <w:ind w:left="1307" w:right="0" w:hanging="428"/>
        <w:jc w:val="left"/>
        <w:rPr>
          <w:sz w:val="24"/>
        </w:rPr>
      </w:pPr>
      <w:r>
        <w:rPr>
          <w:sz w:val="24"/>
        </w:rPr>
        <w:t>Construcción de obras de contención de suelo</w:t>
      </w:r>
      <w:r>
        <w:rPr>
          <w:spacing w:val="-6"/>
          <w:sz w:val="24"/>
        </w:rPr>
        <w:t> </w:t>
      </w:r>
      <w:r>
        <w:rPr>
          <w:sz w:val="24"/>
        </w:rPr>
        <w:t>(metro lineal)</w:t>
        <w:tab/>
        <w:t>15.18</w:t>
      </w:r>
    </w:p>
    <w:p>
      <w:pPr>
        <w:spacing w:after="0" w:line="240" w:lineRule="auto"/>
        <w:jc w:val="left"/>
        <w:rPr>
          <w:sz w:val="24"/>
        </w:rPr>
        <w:sectPr>
          <w:type w:val="continuous"/>
          <w:pgSz w:w="12250" w:h="15850"/>
          <w:pgMar w:top="840" w:bottom="280" w:left="860" w:right="820"/>
        </w:sectPr>
      </w:pPr>
    </w:p>
    <w:p>
      <w:pPr>
        <w:pStyle w:val="ListParagraph"/>
        <w:numPr>
          <w:ilvl w:val="2"/>
          <w:numId w:val="28"/>
        </w:numPr>
        <w:tabs>
          <w:tab w:pos="1308" w:val="left" w:leader="none"/>
        </w:tabs>
        <w:spacing w:line="240" w:lineRule="auto" w:before="121" w:after="0"/>
        <w:ind w:left="1240" w:right="38" w:hanging="360"/>
        <w:jc w:val="left"/>
        <w:rPr>
          <w:sz w:val="24"/>
        </w:rPr>
      </w:pPr>
      <w:r>
        <w:rPr>
          <w:sz w:val="24"/>
        </w:rPr>
        <w:t>Por construcción o reconstrucción de losa de concreto por M2 (techo y/o</w:t>
      </w:r>
      <w:r>
        <w:rPr>
          <w:spacing w:val="-1"/>
          <w:sz w:val="24"/>
        </w:rPr>
        <w:t> </w:t>
      </w:r>
      <w:r>
        <w:rPr>
          <w:sz w:val="24"/>
        </w:rPr>
        <w:t>azotea)</w:t>
      </w:r>
    </w:p>
    <w:p>
      <w:pPr>
        <w:pStyle w:val="ListParagraph"/>
        <w:numPr>
          <w:ilvl w:val="2"/>
          <w:numId w:val="28"/>
        </w:numPr>
        <w:tabs>
          <w:tab w:pos="1308" w:val="left" w:leader="none"/>
        </w:tabs>
        <w:spacing w:line="240" w:lineRule="auto" w:before="120" w:after="0"/>
        <w:ind w:left="1240" w:right="38" w:hanging="360"/>
        <w:jc w:val="left"/>
        <w:rPr>
          <w:sz w:val="24"/>
        </w:rPr>
      </w:pPr>
      <w:r>
        <w:rPr>
          <w:sz w:val="24"/>
        </w:rPr>
        <w:t>Por construcción de cisternas, por m3 (metro cubico) de capacidad</w:t>
      </w:r>
    </w:p>
    <w:p>
      <w:pPr>
        <w:pStyle w:val="BodyText"/>
        <w:spacing w:before="121"/>
        <w:ind w:left="1012"/>
      </w:pPr>
      <w:r>
        <w:rPr/>
        <w:br w:type="column"/>
      </w:r>
      <w:r>
        <w:rPr/>
        <w:t>3.57</w:t>
      </w:r>
    </w:p>
    <w:p>
      <w:pPr>
        <w:pStyle w:val="BodyText"/>
        <w:spacing w:before="396"/>
        <w:ind w:left="880"/>
      </w:pPr>
      <w:r>
        <w:rPr/>
        <w:t>55.00</w:t>
      </w:r>
    </w:p>
    <w:p>
      <w:pPr>
        <w:spacing w:after="0"/>
        <w:sectPr>
          <w:type w:val="continuous"/>
          <w:pgSz w:w="12250" w:h="15850"/>
          <w:pgMar w:top="840" w:bottom="280" w:left="860" w:right="820"/>
          <w:cols w:num="2" w:equalWidth="0">
            <w:col w:w="8006" w:space="518"/>
            <w:col w:w="2046"/>
          </w:cols>
        </w:sectPr>
      </w:pPr>
    </w:p>
    <w:p>
      <w:pPr>
        <w:pStyle w:val="ListParagraph"/>
        <w:numPr>
          <w:ilvl w:val="0"/>
          <w:numId w:val="33"/>
        </w:numPr>
        <w:tabs>
          <w:tab w:pos="1481" w:val="left" w:leader="none"/>
        </w:tabs>
        <w:spacing w:line="240" w:lineRule="auto" w:before="396" w:after="0"/>
        <w:ind w:left="1480" w:right="435" w:hanging="360"/>
        <w:jc w:val="both"/>
        <w:rPr>
          <w:sz w:val="24"/>
        </w:rPr>
      </w:pPr>
      <w:r>
        <w:rPr>
          <w:sz w:val="24"/>
        </w:rPr>
        <w:t>Cualquier trámite se considerará extemporáneo cuando se inicie la construcción sin los permisos o licencias correspondientes y tendrá un incremento del 30% al momento de ser informado por el inspector de obra de la DGDUE, excepto cuando el ciudadano o entidad ejecutora informe antes de ser requerido por el inspector y justifique además por escrito o documentación las causas y hechos que motivaron a dicha</w:t>
      </w:r>
      <w:r>
        <w:rPr>
          <w:spacing w:val="-6"/>
          <w:sz w:val="24"/>
        </w:rPr>
        <w:t> </w:t>
      </w:r>
      <w:r>
        <w:rPr>
          <w:sz w:val="24"/>
        </w:rPr>
        <w:t>omisión.</w:t>
      </w:r>
    </w:p>
    <w:p>
      <w:pPr>
        <w:pStyle w:val="ListParagraph"/>
        <w:numPr>
          <w:ilvl w:val="0"/>
          <w:numId w:val="33"/>
        </w:numPr>
        <w:tabs>
          <w:tab w:pos="1481" w:val="left" w:leader="none"/>
        </w:tabs>
        <w:spacing w:line="240" w:lineRule="auto" w:before="276" w:after="0"/>
        <w:ind w:left="1480" w:right="440" w:hanging="360"/>
        <w:jc w:val="both"/>
        <w:rPr>
          <w:sz w:val="24"/>
        </w:rPr>
      </w:pPr>
      <w:r>
        <w:rPr>
          <w:sz w:val="24"/>
        </w:rPr>
        <w:t>Por emitir autorizaciones para construcciones especiales en superficies de propiedad pública o privada, que no se encuentren clasificadas en ninguno de los numerales previstos para el presente artículo, se cobrara de acuerdo</w:t>
      </w:r>
      <w:r>
        <w:rPr>
          <w:spacing w:val="-16"/>
          <w:sz w:val="24"/>
        </w:rPr>
        <w:t> </w:t>
      </w:r>
      <w:r>
        <w:rPr>
          <w:sz w:val="24"/>
        </w:rPr>
        <w:t>al</w:t>
      </w:r>
    </w:p>
    <w:p>
      <w:pPr>
        <w:spacing w:after="0" w:line="240" w:lineRule="auto"/>
        <w:jc w:val="both"/>
        <w:rPr>
          <w:sz w:val="24"/>
        </w:rPr>
        <w:sectPr>
          <w:type w:val="continuous"/>
          <w:pgSz w:w="12250" w:h="15850"/>
          <w:pgMar w:top="840" w:bottom="280" w:left="860" w:right="820"/>
        </w:sectPr>
      </w:pPr>
    </w:p>
    <w:p>
      <w:pPr>
        <w:pStyle w:val="BodyText"/>
        <w:spacing w:before="183"/>
        <w:ind w:left="1480" w:right="484"/>
      </w:pPr>
      <w:r>
        <w:rPr/>
        <w:t>criterio que para cada caso específico establezca la dirección general de desarrollo urbano y ecología.</w:t>
      </w:r>
    </w:p>
    <w:p>
      <w:pPr>
        <w:pStyle w:val="BodyText"/>
      </w:pPr>
    </w:p>
    <w:p>
      <w:pPr>
        <w:pStyle w:val="ListParagraph"/>
        <w:numPr>
          <w:ilvl w:val="0"/>
          <w:numId w:val="33"/>
        </w:numPr>
        <w:tabs>
          <w:tab w:pos="1481" w:val="left" w:leader="none"/>
        </w:tabs>
        <w:spacing w:line="240" w:lineRule="auto" w:before="0" w:after="0"/>
        <w:ind w:left="1480" w:right="433" w:hanging="360"/>
        <w:jc w:val="both"/>
        <w:rPr>
          <w:sz w:val="24"/>
        </w:rPr>
      </w:pPr>
      <w:r>
        <w:rPr>
          <w:sz w:val="24"/>
        </w:rPr>
        <w:t>Cuando en el proceso de una obra autorizada se decida ampliar la superficie de construcción y no se de aviso a la DGDUE, la tramitación relacionada solo a la superficie excedente se considerará</w:t>
      </w:r>
      <w:r>
        <w:rPr>
          <w:spacing w:val="-6"/>
          <w:sz w:val="24"/>
        </w:rPr>
        <w:t> </w:t>
      </w:r>
      <w:r>
        <w:rPr>
          <w:sz w:val="24"/>
        </w:rPr>
        <w:t>extemporánea.</w:t>
      </w:r>
    </w:p>
    <w:p>
      <w:pPr>
        <w:pStyle w:val="BodyText"/>
      </w:pPr>
    </w:p>
    <w:p>
      <w:pPr>
        <w:pStyle w:val="ListParagraph"/>
        <w:numPr>
          <w:ilvl w:val="0"/>
          <w:numId w:val="33"/>
        </w:numPr>
        <w:tabs>
          <w:tab w:pos="1481" w:val="left" w:leader="none"/>
        </w:tabs>
        <w:spacing w:line="240" w:lineRule="auto" w:before="0" w:after="0"/>
        <w:ind w:left="1480" w:right="435" w:hanging="360"/>
        <w:jc w:val="both"/>
        <w:rPr>
          <w:sz w:val="24"/>
        </w:rPr>
      </w:pPr>
      <w:r>
        <w:rPr/>
        <w:drawing>
          <wp:anchor distT="0" distB="0" distL="0" distR="0" allowOverlap="1" layoutInCell="1" locked="0" behindDoc="1" simplePos="0" relativeHeight="227500032">
            <wp:simplePos x="0" y="0"/>
            <wp:positionH relativeFrom="page">
              <wp:posOffset>1239220</wp:posOffset>
            </wp:positionH>
            <wp:positionV relativeFrom="paragraph">
              <wp:posOffset>67257</wp:posOffset>
            </wp:positionV>
            <wp:extent cx="5022641" cy="5144769"/>
            <wp:effectExtent l="0" t="0" r="0" b="0"/>
            <wp:wrapNone/>
            <wp:docPr id="65" name="image27.png"/>
            <wp:cNvGraphicFramePr>
              <a:graphicFrameLocks noChangeAspect="1"/>
            </wp:cNvGraphicFramePr>
            <a:graphic>
              <a:graphicData uri="http://schemas.openxmlformats.org/drawingml/2006/picture">
                <pic:pic>
                  <pic:nvPicPr>
                    <pic:cNvPr id="66" name="image27.png"/>
                    <pic:cNvPicPr/>
                  </pic:nvPicPr>
                  <pic:blipFill>
                    <a:blip r:embed="rId37" cstate="print"/>
                    <a:stretch>
                      <a:fillRect/>
                    </a:stretch>
                  </pic:blipFill>
                  <pic:spPr>
                    <a:xfrm>
                      <a:off x="0" y="0"/>
                      <a:ext cx="5022641" cy="5144769"/>
                    </a:xfrm>
                    <a:prstGeom prst="rect">
                      <a:avLst/>
                    </a:prstGeom>
                  </pic:spPr>
                </pic:pic>
              </a:graphicData>
            </a:graphic>
          </wp:anchor>
        </w:drawing>
      </w:r>
      <w:r>
        <w:rPr>
          <w:sz w:val="24"/>
        </w:rPr>
        <w:t>Para el refrendo de las licencias, permisos o autorizaciones referidas en el presente artículo tanto de urbanización como </w:t>
      </w:r>
      <w:r>
        <w:rPr>
          <w:spacing w:val="2"/>
          <w:sz w:val="24"/>
        </w:rPr>
        <w:t>de </w:t>
      </w:r>
      <w:r>
        <w:rPr>
          <w:sz w:val="24"/>
        </w:rPr>
        <w:t>edificación, se cobrará con  base a lo</w:t>
      </w:r>
      <w:r>
        <w:rPr>
          <w:spacing w:val="-3"/>
          <w:sz w:val="24"/>
        </w:rPr>
        <w:t> </w:t>
      </w:r>
      <w:r>
        <w:rPr>
          <w:sz w:val="24"/>
        </w:rPr>
        <w:t>siguiente:</w:t>
      </w:r>
    </w:p>
    <w:p>
      <w:pPr>
        <w:pStyle w:val="BodyText"/>
      </w:pPr>
    </w:p>
    <w:p>
      <w:pPr>
        <w:pStyle w:val="BodyText"/>
        <w:tabs>
          <w:tab w:pos="7433" w:val="left" w:leader="none"/>
        </w:tabs>
        <w:spacing w:before="1"/>
        <w:ind w:left="8168" w:right="446" w:hanging="4612"/>
      </w:pPr>
      <w:r>
        <w:rPr/>
        <w:t>Tipo</w:t>
      </w:r>
      <w:r>
        <w:rPr>
          <w:spacing w:val="-1"/>
        </w:rPr>
        <w:t> </w:t>
      </w:r>
      <w:r>
        <w:rPr/>
        <w:t>de</w:t>
      </w:r>
      <w:r>
        <w:rPr>
          <w:spacing w:val="-3"/>
        </w:rPr>
        <w:t> </w:t>
      </w:r>
      <w:r>
        <w:rPr/>
        <w:t>construcción</w:t>
        <w:tab/>
        <w:t>Porcentaje de su Importe actualizado</w:t>
      </w:r>
    </w:p>
    <w:p>
      <w:pPr>
        <w:pStyle w:val="BodyText"/>
        <w:spacing w:before="2"/>
        <w:rPr>
          <w:sz w:val="16"/>
        </w:rPr>
      </w:pPr>
    </w:p>
    <w:p>
      <w:pPr>
        <w:pStyle w:val="ListParagraph"/>
        <w:numPr>
          <w:ilvl w:val="1"/>
          <w:numId w:val="33"/>
        </w:numPr>
        <w:tabs>
          <w:tab w:pos="2837" w:val="left" w:leader="none"/>
          <w:tab w:pos="10126" w:val="right" w:leader="none"/>
        </w:tabs>
        <w:spacing w:line="240" w:lineRule="auto" w:before="93" w:after="0"/>
        <w:ind w:left="2836" w:right="0" w:hanging="361"/>
        <w:jc w:val="both"/>
        <w:rPr>
          <w:sz w:val="24"/>
        </w:rPr>
      </w:pPr>
      <w:r>
        <w:rPr>
          <w:sz w:val="24"/>
        </w:rPr>
        <w:t>Para las obras iniciadas o en</w:t>
      </w:r>
      <w:r>
        <w:rPr>
          <w:spacing w:val="48"/>
          <w:sz w:val="24"/>
        </w:rPr>
        <w:t> </w:t>
      </w:r>
      <w:r>
        <w:rPr>
          <w:sz w:val="24"/>
        </w:rPr>
        <w:t>procesos</w:t>
      </w:r>
      <w:r>
        <w:rPr>
          <w:spacing w:val="9"/>
          <w:sz w:val="24"/>
        </w:rPr>
        <w:t> </w:t>
      </w:r>
      <w:r>
        <w:rPr>
          <w:sz w:val="24"/>
        </w:rPr>
        <w:t>y</w:t>
        <w:tab/>
        <w:t>20</w:t>
      </w:r>
    </w:p>
    <w:p>
      <w:pPr>
        <w:pStyle w:val="BodyText"/>
        <w:ind w:left="2836" w:right="3351"/>
        <w:jc w:val="both"/>
      </w:pPr>
      <w:r>
        <w:rPr/>
        <w:t>que tramiten refrendo en un plazo no mayor a 15 días hábiles posteriores al vencimiento de su autorización.</w:t>
      </w:r>
    </w:p>
    <w:p>
      <w:pPr>
        <w:pStyle w:val="ListParagraph"/>
        <w:numPr>
          <w:ilvl w:val="1"/>
          <w:numId w:val="33"/>
        </w:numPr>
        <w:tabs>
          <w:tab w:pos="2837" w:val="left" w:leader="none"/>
          <w:tab w:pos="10126" w:val="right" w:leader="none"/>
        </w:tabs>
        <w:spacing w:line="240" w:lineRule="auto" w:before="0" w:after="0"/>
        <w:ind w:left="2836" w:right="0" w:hanging="361"/>
        <w:jc w:val="both"/>
        <w:rPr>
          <w:sz w:val="24"/>
        </w:rPr>
      </w:pPr>
      <w:r>
        <w:rPr>
          <w:sz w:val="24"/>
        </w:rPr>
        <w:t>Y cuando se presenten en</w:t>
      </w:r>
      <w:r>
        <w:rPr>
          <w:spacing w:val="29"/>
          <w:sz w:val="24"/>
        </w:rPr>
        <w:t> </w:t>
      </w:r>
      <w:r>
        <w:rPr>
          <w:sz w:val="24"/>
        </w:rPr>
        <w:t>un</w:t>
      </w:r>
      <w:r>
        <w:rPr>
          <w:spacing w:val="31"/>
          <w:sz w:val="24"/>
        </w:rPr>
        <w:t> </w:t>
      </w:r>
      <w:r>
        <w:rPr>
          <w:sz w:val="24"/>
        </w:rPr>
        <w:t>plazo</w:t>
        <w:tab/>
        <w:t>30</w:t>
      </w:r>
    </w:p>
    <w:p>
      <w:pPr>
        <w:pStyle w:val="BodyText"/>
        <w:ind w:left="2836"/>
        <w:jc w:val="both"/>
      </w:pPr>
      <w:r>
        <w:rPr/>
        <w:t>mayor a 15 días</w:t>
      </w:r>
    </w:p>
    <w:p>
      <w:pPr>
        <w:spacing w:after="0"/>
        <w:jc w:val="both"/>
        <w:sectPr>
          <w:pgSz w:w="12250" w:h="15850"/>
          <w:pgMar w:header="730" w:footer="0" w:top="1000" w:bottom="280" w:left="860" w:right="820"/>
        </w:sectPr>
      </w:pPr>
    </w:p>
    <w:p>
      <w:pPr>
        <w:pStyle w:val="ListParagraph"/>
        <w:numPr>
          <w:ilvl w:val="1"/>
          <w:numId w:val="33"/>
        </w:numPr>
        <w:tabs>
          <w:tab w:pos="2837" w:val="left" w:leader="none"/>
        </w:tabs>
        <w:spacing w:line="240" w:lineRule="auto" w:before="295" w:after="0"/>
        <w:ind w:left="2836" w:right="0" w:hanging="360"/>
        <w:jc w:val="both"/>
        <w:rPr>
          <w:sz w:val="24"/>
        </w:rPr>
      </w:pPr>
      <w:r>
        <w:rPr>
          <w:sz w:val="24"/>
        </w:rPr>
        <w:t>Para los proyectos autorizados que no presenten avance en su ejecución al término del tiempo</w:t>
      </w:r>
      <w:r>
        <w:rPr>
          <w:spacing w:val="-3"/>
          <w:sz w:val="24"/>
        </w:rPr>
        <w:t> </w:t>
      </w:r>
      <w:r>
        <w:rPr>
          <w:sz w:val="24"/>
        </w:rPr>
        <w:t>otorgado:</w:t>
      </w:r>
    </w:p>
    <w:p>
      <w:pPr>
        <w:spacing w:before="295"/>
        <w:ind w:left="0" w:right="433" w:firstLine="0"/>
        <w:jc w:val="right"/>
        <w:rPr>
          <w:sz w:val="24"/>
        </w:rPr>
      </w:pPr>
      <w:r>
        <w:rPr/>
        <w:br w:type="column"/>
      </w:r>
      <w:r>
        <w:rPr>
          <w:w w:val="95"/>
          <w:sz w:val="24"/>
        </w:rPr>
        <w:t>100</w:t>
      </w:r>
    </w:p>
    <w:p>
      <w:pPr>
        <w:spacing w:after="0"/>
        <w:jc w:val="right"/>
        <w:rPr>
          <w:sz w:val="24"/>
        </w:rPr>
        <w:sectPr>
          <w:type w:val="continuous"/>
          <w:pgSz w:w="12250" w:h="15850"/>
          <w:pgMar w:top="840" w:bottom="280" w:left="860" w:right="820"/>
          <w:cols w:num="2" w:equalWidth="0">
            <w:col w:w="7210" w:space="40"/>
            <w:col w:w="3320"/>
          </w:cols>
        </w:sectPr>
      </w:pPr>
    </w:p>
    <w:p>
      <w:pPr>
        <w:pStyle w:val="BodyText"/>
      </w:pPr>
    </w:p>
    <w:p>
      <w:pPr>
        <w:pStyle w:val="BodyText"/>
        <w:ind w:left="1252" w:right="440"/>
        <w:jc w:val="both"/>
      </w:pPr>
      <w:r>
        <w:rPr/>
        <w:t>Terminado el plazo señalado para una obra sin que ésta se haya concluido, para continuarla deberá solicitarse renovación de la licencia y cubrirse los derechos por la parte aún no ejecutada de la obra, debiendo acompañarse a la solicitud una descripción de los trabajos que se vayan a llevar a cabo, y croquis o planos. El ciudadano solicitará el tiempo para culminación y la prorroga se cobrará en razón del tiempo solicitado y la vigencia total.</w:t>
      </w:r>
    </w:p>
    <w:p>
      <w:pPr>
        <w:pStyle w:val="BodyText"/>
      </w:pPr>
    </w:p>
    <w:p>
      <w:pPr>
        <w:pStyle w:val="BodyText"/>
        <w:spacing w:before="1"/>
        <w:ind w:left="1252" w:right="436"/>
        <w:jc w:val="both"/>
      </w:pPr>
      <w:r>
        <w:rPr/>
        <w:t>Para los casos señalados en los sub-incisos 1) y 2), el pago del importe actualizado permitirá la ampliación de la vigencia de la autorización de urbanización o de edificación durante un plazo de 60 días naturales. No será necesario el pago cuando se haya dado aviso de la suspensión temporal de la obra antes del término de la vigencia, misma que no podrá ser mayor a 12 meses, en cuyo caso se tomará en cuenta el tiempo no</w:t>
      </w:r>
      <w:r>
        <w:rPr>
          <w:spacing w:val="-6"/>
        </w:rPr>
        <w:t> </w:t>
      </w:r>
      <w:r>
        <w:rPr/>
        <w:t>consumido.</w:t>
      </w:r>
    </w:p>
    <w:p>
      <w:pPr>
        <w:pStyle w:val="BodyText"/>
      </w:pPr>
    </w:p>
    <w:p>
      <w:pPr>
        <w:pStyle w:val="BodyText"/>
        <w:ind w:left="1252" w:right="434"/>
        <w:jc w:val="both"/>
      </w:pPr>
      <w:r>
        <w:rPr/>
        <w:t>Para el caso de modificación de proyecto (Revisión de diseño Urbano, Proyecto Arquitectónico o configuración urbanística), que signifique una superficie de construcción, urbanización o diseño urbano superior a la autorizada, se deberán pagar los derechos de las diferencias de superficie como si se tratara de obra nueva.</w:t>
      </w:r>
    </w:p>
    <w:p>
      <w:pPr>
        <w:pStyle w:val="BodyText"/>
      </w:pPr>
    </w:p>
    <w:p>
      <w:pPr>
        <w:pStyle w:val="ListParagraph"/>
        <w:numPr>
          <w:ilvl w:val="0"/>
          <w:numId w:val="33"/>
        </w:numPr>
        <w:tabs>
          <w:tab w:pos="1480" w:val="left" w:leader="none"/>
          <w:tab w:pos="1481" w:val="left" w:leader="none"/>
        </w:tabs>
        <w:spacing w:line="240" w:lineRule="auto" w:before="0" w:after="0"/>
        <w:ind w:left="1480" w:right="444" w:hanging="360"/>
        <w:jc w:val="left"/>
        <w:rPr>
          <w:sz w:val="24"/>
        </w:rPr>
      </w:pPr>
      <w:r>
        <w:rPr>
          <w:sz w:val="24"/>
        </w:rPr>
        <w:t>El alineamiento y la designación de número oficial, se hará conforme a lo siguiente:</w:t>
      </w:r>
    </w:p>
    <w:p>
      <w:pPr>
        <w:pStyle w:val="BodyText"/>
        <w:spacing w:before="1"/>
      </w:pPr>
    </w:p>
    <w:p>
      <w:pPr>
        <w:pStyle w:val="ListParagraph"/>
        <w:numPr>
          <w:ilvl w:val="1"/>
          <w:numId w:val="33"/>
        </w:numPr>
        <w:tabs>
          <w:tab w:pos="2201" w:val="left" w:leader="none"/>
        </w:tabs>
        <w:spacing w:line="240" w:lineRule="auto" w:before="0" w:after="0"/>
        <w:ind w:left="2200" w:right="0" w:hanging="361"/>
        <w:jc w:val="left"/>
        <w:rPr>
          <w:sz w:val="24"/>
        </w:rPr>
      </w:pPr>
      <w:r>
        <w:rPr>
          <w:sz w:val="24"/>
        </w:rPr>
        <w:t>Alineamiento</w:t>
      </w:r>
    </w:p>
    <w:p>
      <w:pPr>
        <w:spacing w:after="0" w:line="240" w:lineRule="auto"/>
        <w:jc w:val="left"/>
        <w:rPr>
          <w:sz w:val="24"/>
        </w:rPr>
        <w:sectPr>
          <w:type w:val="continuous"/>
          <w:pgSz w:w="12250" w:h="15850"/>
          <w:pgMar w:top="840" w:bottom="280" w:left="860" w:right="820"/>
        </w:sectPr>
      </w:pPr>
    </w:p>
    <w:p>
      <w:pPr>
        <w:pStyle w:val="BodyText"/>
        <w:spacing w:before="1"/>
        <w:rPr>
          <w:sz w:val="9"/>
        </w:rPr>
      </w:pPr>
    </w:p>
    <w:p>
      <w:pPr>
        <w:pStyle w:val="BodyText"/>
        <w:tabs>
          <w:tab w:pos="9104" w:val="left" w:leader="none"/>
        </w:tabs>
        <w:spacing w:before="93"/>
        <w:ind w:left="784"/>
      </w:pPr>
      <w:r>
        <w:rPr/>
        <w:t>Tipo</w:t>
      </w:r>
      <w:r>
        <w:rPr>
          <w:spacing w:val="-1"/>
        </w:rPr>
        <w:t> </w:t>
      </w:r>
      <w:r>
        <w:rPr/>
        <w:t>de</w:t>
      </w:r>
      <w:r>
        <w:rPr>
          <w:spacing w:val="-3"/>
        </w:rPr>
        <w:t> </w:t>
      </w:r>
      <w:r>
        <w:rPr/>
        <w:t>construcción</w:t>
        <w:tab/>
        <w:t>Importe</w:t>
      </w:r>
    </w:p>
    <w:p>
      <w:pPr>
        <w:pStyle w:val="BodyText"/>
        <w:ind w:left="9445"/>
      </w:pPr>
      <w:r>
        <w:rPr>
          <w:w w:val="99"/>
        </w:rPr>
        <w:t>$</w:t>
      </w:r>
    </w:p>
    <w:p>
      <w:pPr>
        <w:pStyle w:val="ListParagraph"/>
        <w:numPr>
          <w:ilvl w:val="0"/>
          <w:numId w:val="34"/>
        </w:numPr>
        <w:tabs>
          <w:tab w:pos="1865" w:val="left" w:leader="none"/>
          <w:tab w:pos="10125" w:val="right" w:leader="none"/>
        </w:tabs>
        <w:spacing w:line="240" w:lineRule="auto" w:before="36" w:after="0"/>
        <w:ind w:left="1864" w:right="0" w:hanging="361"/>
        <w:jc w:val="left"/>
        <w:rPr>
          <w:sz w:val="24"/>
        </w:rPr>
      </w:pPr>
      <w:r>
        <w:rPr>
          <w:sz w:val="24"/>
        </w:rPr>
        <w:t>En general</w:t>
      </w:r>
      <w:r>
        <w:rPr>
          <w:spacing w:val="-4"/>
          <w:sz w:val="24"/>
        </w:rPr>
        <w:t> </w:t>
      </w:r>
      <w:r>
        <w:rPr>
          <w:sz w:val="24"/>
        </w:rPr>
        <w:t>excepto</w:t>
      </w:r>
      <w:r>
        <w:rPr>
          <w:spacing w:val="-1"/>
          <w:sz w:val="24"/>
        </w:rPr>
        <w:t> </w:t>
      </w:r>
      <w:r>
        <w:rPr>
          <w:sz w:val="24"/>
        </w:rPr>
        <w:t>agropecuario</w:t>
        <w:tab/>
        <w:t>76.79</w:t>
      </w:r>
    </w:p>
    <w:p>
      <w:pPr>
        <w:pStyle w:val="ListParagraph"/>
        <w:numPr>
          <w:ilvl w:val="0"/>
          <w:numId w:val="34"/>
        </w:numPr>
        <w:tabs>
          <w:tab w:pos="1865" w:val="left" w:leader="none"/>
          <w:tab w:pos="10125" w:val="right" w:leader="none"/>
        </w:tabs>
        <w:spacing w:line="240" w:lineRule="auto" w:before="120" w:after="0"/>
        <w:ind w:left="1864" w:right="0" w:hanging="361"/>
        <w:jc w:val="left"/>
        <w:rPr>
          <w:sz w:val="24"/>
        </w:rPr>
      </w:pPr>
      <w:r>
        <w:rPr>
          <w:sz w:val="24"/>
        </w:rPr>
        <w:t>Agropecuario</w:t>
        <w:tab/>
        <w:t>8.93</w:t>
      </w:r>
    </w:p>
    <w:p>
      <w:pPr>
        <w:pStyle w:val="ListParagraph"/>
        <w:numPr>
          <w:ilvl w:val="0"/>
          <w:numId w:val="34"/>
        </w:numPr>
        <w:tabs>
          <w:tab w:pos="1865" w:val="left" w:leader="none"/>
          <w:tab w:pos="9656" w:val="left" w:leader="none"/>
        </w:tabs>
        <w:spacing w:line="240" w:lineRule="auto" w:before="120" w:after="0"/>
        <w:ind w:left="1864" w:right="0" w:hanging="361"/>
        <w:jc w:val="left"/>
        <w:rPr>
          <w:sz w:val="24"/>
        </w:rPr>
      </w:pPr>
      <w:r>
        <w:rPr>
          <w:sz w:val="24"/>
        </w:rPr>
        <w:t>Obras institucionales con convenio</w:t>
      </w:r>
      <w:r>
        <w:rPr>
          <w:spacing w:val="-10"/>
          <w:sz w:val="24"/>
        </w:rPr>
        <w:t> </w:t>
      </w:r>
      <w:r>
        <w:rPr>
          <w:sz w:val="24"/>
        </w:rPr>
        <w:t>del</w:t>
      </w:r>
      <w:r>
        <w:rPr>
          <w:spacing w:val="-2"/>
          <w:sz w:val="24"/>
        </w:rPr>
        <w:t> </w:t>
      </w:r>
      <w:r>
        <w:rPr>
          <w:sz w:val="24"/>
        </w:rPr>
        <w:t>Ayuntamiento</w:t>
        <w:tab/>
        <w:t>0.00</w:t>
      </w:r>
    </w:p>
    <w:p>
      <w:pPr>
        <w:pStyle w:val="BodyText"/>
      </w:pPr>
    </w:p>
    <w:p>
      <w:pPr>
        <w:pStyle w:val="ListParagraph"/>
        <w:numPr>
          <w:ilvl w:val="1"/>
          <w:numId w:val="33"/>
        </w:numPr>
        <w:tabs>
          <w:tab w:pos="2201" w:val="left" w:leader="none"/>
        </w:tabs>
        <w:spacing w:line="240" w:lineRule="auto" w:before="0" w:after="0"/>
        <w:ind w:left="2200" w:right="0" w:hanging="361"/>
        <w:jc w:val="left"/>
        <w:rPr>
          <w:sz w:val="24"/>
        </w:rPr>
      </w:pPr>
      <w:r>
        <w:rPr/>
        <w:pict>
          <v:group style="position:absolute;margin-left:98.626442pt;margin-top:4.575864pt;width:456pt;height:405.1pt;mso-position-horizontal-relative:page;mso-position-vertical-relative:paragraph;z-index:-275815424" coordorigin="1973,92" coordsize="9120,8102">
            <v:shape style="position:absolute;left:1972;top:91;width:7910;height:8102" type="#_x0000_t75" stroked="false">
              <v:imagedata r:id="rId38" o:title=""/>
            </v:shape>
            <v:shape style="position:absolute;left:9410;top:1103;width:1683;height:396" coordorigin="9410,1104" coordsize="1683,396" path="m11092,1104l10984,1104,9518,1104,9410,1104,9410,1500,9518,1500,10984,1500,11092,1500,11092,1104e" filled="true" fillcolor="#ffffff" stroked="false">
              <v:path arrowok="t"/>
              <v:fill type="solid"/>
            </v:shape>
            <w10:wrap type="none"/>
          </v:group>
        </w:pict>
      </w:r>
      <w:r>
        <w:rPr>
          <w:sz w:val="24"/>
        </w:rPr>
        <w:t>Designación de número oficial por inmueble o unidad </w:t>
      </w:r>
      <w:r>
        <w:rPr>
          <w:spacing w:val="3"/>
          <w:sz w:val="24"/>
        </w:rPr>
        <w:t>de</w:t>
      </w:r>
      <w:r>
        <w:rPr>
          <w:spacing w:val="-11"/>
          <w:sz w:val="24"/>
        </w:rPr>
        <w:t> </w:t>
      </w:r>
      <w:r>
        <w:rPr>
          <w:sz w:val="24"/>
        </w:rPr>
        <w:t>vivienda:</w:t>
      </w:r>
    </w:p>
    <w:p>
      <w:pPr>
        <w:pStyle w:val="BodyText"/>
      </w:pPr>
    </w:p>
    <w:p>
      <w:pPr>
        <w:pStyle w:val="BodyText"/>
        <w:tabs>
          <w:tab w:pos="9015" w:val="left" w:leader="none"/>
        </w:tabs>
        <w:ind w:left="618"/>
      </w:pPr>
      <w:r>
        <w:rPr/>
        <w:t>Tipo</w:t>
      </w:r>
      <w:r>
        <w:rPr>
          <w:spacing w:val="-1"/>
        </w:rPr>
        <w:t> </w:t>
      </w:r>
      <w:r>
        <w:rPr/>
        <w:t>de</w:t>
      </w:r>
      <w:r>
        <w:rPr>
          <w:spacing w:val="-3"/>
        </w:rPr>
        <w:t> </w:t>
      </w:r>
      <w:r>
        <w:rPr/>
        <w:t>construcción</w:t>
        <w:tab/>
        <w:t>Importe</w:t>
      </w:r>
    </w:p>
    <w:p>
      <w:pPr>
        <w:pStyle w:val="BodyText"/>
        <w:ind w:left="9322"/>
      </w:pPr>
      <w:r>
        <w:rPr>
          <w:w w:val="99"/>
        </w:rPr>
        <w:t>$</w:t>
      </w:r>
    </w:p>
    <w:p>
      <w:pPr>
        <w:pStyle w:val="ListParagraph"/>
        <w:numPr>
          <w:ilvl w:val="3"/>
          <w:numId w:val="28"/>
        </w:numPr>
        <w:tabs>
          <w:tab w:pos="1339" w:val="left" w:leader="none"/>
          <w:tab w:pos="9656" w:val="left" w:leader="none"/>
        </w:tabs>
        <w:spacing w:line="240" w:lineRule="auto" w:before="0" w:after="0"/>
        <w:ind w:left="1338" w:right="0" w:hanging="361"/>
        <w:jc w:val="left"/>
        <w:rPr>
          <w:sz w:val="24"/>
        </w:rPr>
      </w:pPr>
      <w:r>
        <w:rPr>
          <w:sz w:val="24"/>
        </w:rPr>
        <w:t>Habitacional</w:t>
      </w:r>
      <w:r>
        <w:rPr>
          <w:spacing w:val="-3"/>
          <w:sz w:val="24"/>
        </w:rPr>
        <w:t> </w:t>
      </w:r>
      <w:r>
        <w:rPr>
          <w:sz w:val="24"/>
        </w:rPr>
        <w:t>por</w:t>
      </w:r>
      <w:r>
        <w:rPr>
          <w:spacing w:val="-2"/>
          <w:sz w:val="24"/>
        </w:rPr>
        <w:t> </w:t>
      </w:r>
      <w:r>
        <w:rPr>
          <w:sz w:val="24"/>
        </w:rPr>
        <w:t>autoconstrucción</w:t>
        <w:tab/>
        <w:t>0.00</w:t>
      </w:r>
    </w:p>
    <w:p>
      <w:pPr>
        <w:pStyle w:val="ListParagraph"/>
        <w:numPr>
          <w:ilvl w:val="3"/>
          <w:numId w:val="28"/>
        </w:numPr>
        <w:tabs>
          <w:tab w:pos="1339" w:val="left" w:leader="none"/>
          <w:tab w:pos="10125" w:val="right" w:leader="none"/>
        </w:tabs>
        <w:spacing w:line="240" w:lineRule="auto" w:before="120" w:after="0"/>
        <w:ind w:left="1338" w:right="0" w:hanging="361"/>
        <w:jc w:val="left"/>
        <w:rPr>
          <w:sz w:val="24"/>
        </w:rPr>
      </w:pPr>
      <w:r>
        <w:rPr>
          <w:sz w:val="24"/>
        </w:rPr>
        <w:t>Demás</w:t>
      </w:r>
      <w:r>
        <w:rPr>
          <w:spacing w:val="-3"/>
          <w:sz w:val="24"/>
        </w:rPr>
        <w:t> </w:t>
      </w:r>
      <w:r>
        <w:rPr>
          <w:sz w:val="24"/>
        </w:rPr>
        <w:t>géneros</w:t>
        <w:tab/>
        <w:t>76.79</w:t>
      </w:r>
    </w:p>
    <w:p>
      <w:pPr>
        <w:pStyle w:val="ListParagraph"/>
        <w:numPr>
          <w:ilvl w:val="3"/>
          <w:numId w:val="28"/>
        </w:numPr>
        <w:tabs>
          <w:tab w:pos="1339" w:val="left" w:leader="none"/>
          <w:tab w:pos="9658" w:val="left" w:leader="none"/>
        </w:tabs>
        <w:spacing w:line="240" w:lineRule="auto" w:before="121" w:after="0"/>
        <w:ind w:left="1338" w:right="0" w:hanging="361"/>
        <w:jc w:val="left"/>
        <w:rPr>
          <w:sz w:val="24"/>
        </w:rPr>
      </w:pPr>
      <w:r>
        <w:rPr>
          <w:sz w:val="24"/>
        </w:rPr>
        <w:t>Equipamiento Institucional (con convenio</w:t>
      </w:r>
      <w:r>
        <w:rPr>
          <w:spacing w:val="-9"/>
          <w:sz w:val="24"/>
        </w:rPr>
        <w:t> </w:t>
      </w:r>
      <w:r>
        <w:rPr>
          <w:sz w:val="24"/>
        </w:rPr>
        <w:t>del</w:t>
      </w:r>
      <w:r>
        <w:rPr>
          <w:spacing w:val="-5"/>
          <w:sz w:val="24"/>
        </w:rPr>
        <w:t> </w:t>
      </w:r>
      <w:r>
        <w:rPr>
          <w:sz w:val="24"/>
        </w:rPr>
        <w:t>Ayuntamiento)</w:t>
        <w:tab/>
        <w:t>0.00</w:t>
      </w:r>
    </w:p>
    <w:p>
      <w:pPr>
        <w:pStyle w:val="ListParagraph"/>
        <w:numPr>
          <w:ilvl w:val="3"/>
          <w:numId w:val="28"/>
        </w:numPr>
        <w:tabs>
          <w:tab w:pos="1339" w:val="left" w:leader="none"/>
          <w:tab w:pos="10125" w:val="right" w:leader="none"/>
        </w:tabs>
        <w:spacing w:line="240" w:lineRule="auto" w:before="120" w:after="0"/>
        <w:ind w:left="1338" w:right="0" w:hanging="361"/>
        <w:jc w:val="left"/>
        <w:rPr>
          <w:sz w:val="24"/>
        </w:rPr>
      </w:pPr>
      <w:r>
        <w:rPr>
          <w:sz w:val="24"/>
        </w:rPr>
        <w:t>Certificación de número oficial</w:t>
        <w:tab/>
        <w:t>37.50</w:t>
      </w:r>
    </w:p>
    <w:p>
      <w:pPr>
        <w:pStyle w:val="BodyText"/>
      </w:pPr>
    </w:p>
    <w:p>
      <w:pPr>
        <w:pStyle w:val="ListParagraph"/>
        <w:numPr>
          <w:ilvl w:val="4"/>
          <w:numId w:val="28"/>
        </w:numPr>
        <w:tabs>
          <w:tab w:pos="1480" w:val="left" w:leader="none"/>
          <w:tab w:pos="1481" w:val="left" w:leader="none"/>
        </w:tabs>
        <w:spacing w:line="240" w:lineRule="auto" w:before="0" w:after="0"/>
        <w:ind w:left="1480" w:right="441" w:hanging="360"/>
        <w:jc w:val="left"/>
        <w:rPr>
          <w:sz w:val="24"/>
        </w:rPr>
      </w:pPr>
      <w:r>
        <w:rPr>
          <w:sz w:val="24"/>
        </w:rPr>
        <w:t>Para emitir la autorización para fusionar o subdividir predios, correspondiente a los siguientes tipos de usos por cada</w:t>
      </w:r>
      <w:r>
        <w:rPr>
          <w:spacing w:val="-7"/>
          <w:sz w:val="24"/>
        </w:rPr>
        <w:t> </w:t>
      </w:r>
      <w:r>
        <w:rPr>
          <w:sz w:val="24"/>
        </w:rPr>
        <w:t>m2:</w:t>
      </w:r>
    </w:p>
    <w:p>
      <w:pPr>
        <w:pStyle w:val="BodyText"/>
      </w:pPr>
    </w:p>
    <w:p>
      <w:pPr>
        <w:pStyle w:val="BodyText"/>
        <w:tabs>
          <w:tab w:pos="9310" w:val="left" w:leader="none"/>
        </w:tabs>
        <w:ind w:left="1919"/>
      </w:pPr>
      <w:r>
        <w:rPr/>
        <w:t>Uso</w:t>
      </w:r>
      <w:r>
        <w:rPr>
          <w:spacing w:val="-1"/>
        </w:rPr>
        <w:t> </w:t>
      </w:r>
      <w:r>
        <w:rPr/>
        <w:t>/</w:t>
      </w:r>
      <w:r>
        <w:rPr>
          <w:spacing w:val="-1"/>
        </w:rPr>
        <w:t> </w:t>
      </w:r>
      <w:r>
        <w:rPr/>
        <w:t>Destino</w:t>
        <w:tab/>
        <w:t>Importe</w:t>
      </w:r>
    </w:p>
    <w:p>
      <w:pPr>
        <w:pStyle w:val="BodyText"/>
        <w:ind w:left="9572"/>
      </w:pPr>
      <w:r>
        <w:rPr>
          <w:w w:val="99"/>
        </w:rPr>
        <w:t>$</w:t>
      </w:r>
    </w:p>
    <w:p>
      <w:pPr>
        <w:spacing w:after="0"/>
        <w:sectPr>
          <w:pgSz w:w="12250" w:h="15850"/>
          <w:pgMar w:header="730" w:footer="0" w:top="1000" w:bottom="280" w:left="860" w:right="820"/>
        </w:sectPr>
      </w:pPr>
    </w:p>
    <w:p>
      <w:pPr>
        <w:pStyle w:val="ListParagraph"/>
        <w:numPr>
          <w:ilvl w:val="5"/>
          <w:numId w:val="28"/>
        </w:numPr>
        <w:tabs>
          <w:tab w:pos="3001" w:val="left" w:leader="none"/>
        </w:tabs>
        <w:spacing w:line="240" w:lineRule="auto" w:before="0" w:after="0"/>
        <w:ind w:left="3000" w:right="0" w:hanging="361"/>
        <w:jc w:val="left"/>
        <w:rPr>
          <w:sz w:val="24"/>
        </w:rPr>
      </w:pPr>
      <w:r>
        <w:rPr>
          <w:sz w:val="24"/>
        </w:rPr>
        <w:t>Aprovechamiento de recursos naturales por lote o fracción</w:t>
      </w:r>
    </w:p>
    <w:p>
      <w:pPr>
        <w:pStyle w:val="BodyText"/>
        <w:ind w:left="935"/>
      </w:pPr>
      <w:r>
        <w:rPr/>
        <w:br w:type="column"/>
      </w:r>
      <w:r>
        <w:rPr/>
        <w:t>380.36</w:t>
      </w:r>
    </w:p>
    <w:p>
      <w:pPr>
        <w:spacing w:after="0"/>
        <w:sectPr>
          <w:type w:val="continuous"/>
          <w:pgSz w:w="12250" w:h="15850"/>
          <w:pgMar w:top="840" w:bottom="280" w:left="860" w:right="820"/>
          <w:cols w:num="2" w:equalWidth="0">
            <w:col w:w="8415" w:space="40"/>
            <w:col w:w="2115"/>
          </w:cols>
        </w:sectPr>
      </w:pPr>
    </w:p>
    <w:p>
      <w:pPr>
        <w:pStyle w:val="ListParagraph"/>
        <w:numPr>
          <w:ilvl w:val="5"/>
          <w:numId w:val="28"/>
        </w:numPr>
        <w:tabs>
          <w:tab w:pos="3001" w:val="left" w:leader="none"/>
          <w:tab w:pos="9190" w:val="left" w:leader="none"/>
        </w:tabs>
        <w:spacing w:line="240" w:lineRule="auto" w:before="121" w:after="0"/>
        <w:ind w:left="3000" w:right="0" w:hanging="362"/>
        <w:jc w:val="left"/>
        <w:rPr>
          <w:sz w:val="24"/>
        </w:rPr>
      </w:pPr>
      <w:r>
        <w:rPr>
          <w:sz w:val="24"/>
        </w:rPr>
        <w:t>Turístico por lote</w:t>
      </w:r>
      <w:r>
        <w:rPr>
          <w:spacing w:val="-4"/>
          <w:sz w:val="24"/>
        </w:rPr>
        <w:t> </w:t>
      </w:r>
      <w:r>
        <w:rPr>
          <w:sz w:val="24"/>
        </w:rPr>
        <w:t>o</w:t>
      </w:r>
      <w:r>
        <w:rPr>
          <w:spacing w:val="-1"/>
          <w:sz w:val="24"/>
        </w:rPr>
        <w:t> </w:t>
      </w:r>
      <w:r>
        <w:rPr>
          <w:sz w:val="24"/>
        </w:rPr>
        <w:t>fracción</w:t>
        <w:tab/>
        <w:t>1,061.61</w:t>
      </w:r>
    </w:p>
    <w:p>
      <w:pPr>
        <w:pStyle w:val="ListParagraph"/>
        <w:numPr>
          <w:ilvl w:val="5"/>
          <w:numId w:val="28"/>
        </w:numPr>
        <w:tabs>
          <w:tab w:pos="3001" w:val="left" w:leader="none"/>
        </w:tabs>
        <w:spacing w:line="240" w:lineRule="auto" w:before="120" w:after="0"/>
        <w:ind w:left="3000" w:right="0" w:hanging="362"/>
        <w:jc w:val="left"/>
        <w:rPr>
          <w:sz w:val="24"/>
        </w:rPr>
      </w:pPr>
      <w:r>
        <w:rPr>
          <w:sz w:val="24"/>
        </w:rPr>
        <w:t>Habitacional</w:t>
      </w:r>
    </w:p>
    <w:p>
      <w:pPr>
        <w:spacing w:after="0" w:line="240" w:lineRule="auto"/>
        <w:jc w:val="left"/>
        <w:rPr>
          <w:sz w:val="24"/>
        </w:rPr>
        <w:sectPr>
          <w:type w:val="continuous"/>
          <w:pgSz w:w="12250" w:h="15850"/>
          <w:pgMar w:top="840" w:bottom="280" w:left="860" w:right="820"/>
        </w:sectPr>
      </w:pPr>
    </w:p>
    <w:p>
      <w:pPr>
        <w:pStyle w:val="ListParagraph"/>
        <w:numPr>
          <w:ilvl w:val="6"/>
          <w:numId w:val="28"/>
        </w:numPr>
        <w:tabs>
          <w:tab w:pos="3721" w:val="left" w:leader="none"/>
          <w:tab w:pos="4887" w:val="left" w:leader="none"/>
          <w:tab w:pos="5426" w:val="left" w:leader="none"/>
          <w:tab w:pos="6417" w:val="left" w:leader="none"/>
          <w:tab w:pos="7370" w:val="left" w:leader="none"/>
          <w:tab w:pos="8298" w:val="left" w:leader="none"/>
        </w:tabs>
        <w:spacing w:line="240" w:lineRule="auto" w:before="120" w:after="0"/>
        <w:ind w:left="3720" w:right="0" w:hanging="360"/>
        <w:jc w:val="left"/>
        <w:rPr>
          <w:sz w:val="24"/>
        </w:rPr>
      </w:pPr>
      <w:r>
        <w:rPr>
          <w:sz w:val="24"/>
        </w:rPr>
        <w:t>Popular,</w:t>
        <w:tab/>
        <w:t>de</w:t>
        <w:tab/>
        <w:t>interés</w:t>
        <w:tab/>
        <w:t>social,</w:t>
        <w:tab/>
        <w:t>medio</w:t>
        <w:tab/>
      </w:r>
      <w:r>
        <w:rPr>
          <w:spacing w:val="-20"/>
          <w:sz w:val="24"/>
        </w:rPr>
        <w:t>y </w:t>
      </w:r>
      <w:r>
        <w:rPr>
          <w:sz w:val="24"/>
        </w:rPr>
        <w:t>residencial por metro</w:t>
      </w:r>
      <w:r>
        <w:rPr>
          <w:spacing w:val="-6"/>
          <w:sz w:val="24"/>
        </w:rPr>
        <w:t> </w:t>
      </w:r>
      <w:r>
        <w:rPr>
          <w:sz w:val="24"/>
        </w:rPr>
        <w:t>cuadrado</w:t>
      </w:r>
    </w:p>
    <w:p>
      <w:pPr>
        <w:pStyle w:val="BodyText"/>
        <w:spacing w:before="120"/>
        <w:ind w:left="1198"/>
      </w:pPr>
      <w:r>
        <w:rPr/>
        <w:br w:type="column"/>
      </w:r>
      <w:r>
        <w:rPr/>
        <w:t>4.46</w:t>
      </w:r>
    </w:p>
    <w:p>
      <w:pPr>
        <w:spacing w:after="0"/>
        <w:sectPr>
          <w:type w:val="continuous"/>
          <w:pgSz w:w="12250" w:h="15850"/>
          <w:pgMar w:top="840" w:bottom="280" w:left="860" w:right="820"/>
          <w:cols w:num="2" w:equalWidth="0">
            <w:col w:w="8419" w:space="40"/>
            <w:col w:w="2111"/>
          </w:cols>
        </w:sectPr>
      </w:pPr>
    </w:p>
    <w:p>
      <w:pPr>
        <w:pStyle w:val="ListParagraph"/>
        <w:numPr>
          <w:ilvl w:val="5"/>
          <w:numId w:val="28"/>
        </w:numPr>
        <w:tabs>
          <w:tab w:pos="3001" w:val="left" w:leader="none"/>
          <w:tab w:pos="9190" w:val="left" w:leader="none"/>
        </w:tabs>
        <w:spacing w:line="240" w:lineRule="auto" w:before="120" w:after="0"/>
        <w:ind w:left="3000" w:right="0" w:hanging="362"/>
        <w:jc w:val="left"/>
        <w:rPr>
          <w:sz w:val="24"/>
        </w:rPr>
      </w:pPr>
      <w:r>
        <w:rPr>
          <w:sz w:val="24"/>
        </w:rPr>
        <w:t>Comercial y servicios por lote</w:t>
      </w:r>
      <w:r>
        <w:rPr>
          <w:spacing w:val="-10"/>
          <w:sz w:val="24"/>
        </w:rPr>
        <w:t> </w:t>
      </w:r>
      <w:r>
        <w:rPr>
          <w:sz w:val="24"/>
        </w:rPr>
        <w:t>o fracción</w:t>
        <w:tab/>
        <w:t>1,548.21</w:t>
      </w:r>
    </w:p>
    <w:p>
      <w:pPr>
        <w:pStyle w:val="ListParagraph"/>
        <w:numPr>
          <w:ilvl w:val="5"/>
          <w:numId w:val="28"/>
        </w:numPr>
        <w:tabs>
          <w:tab w:pos="3001" w:val="left" w:leader="none"/>
          <w:tab w:pos="9190" w:val="left" w:leader="none"/>
        </w:tabs>
        <w:spacing w:line="240" w:lineRule="auto" w:before="120" w:after="0"/>
        <w:ind w:left="3000" w:right="0" w:hanging="362"/>
        <w:jc w:val="left"/>
        <w:rPr>
          <w:sz w:val="24"/>
        </w:rPr>
      </w:pPr>
      <w:r>
        <w:rPr>
          <w:sz w:val="24"/>
        </w:rPr>
        <w:t>Industrial y agroindustrial por lote</w:t>
      </w:r>
      <w:r>
        <w:rPr>
          <w:spacing w:val="-7"/>
          <w:sz w:val="24"/>
        </w:rPr>
        <w:t> </w:t>
      </w:r>
      <w:r>
        <w:rPr>
          <w:sz w:val="24"/>
        </w:rPr>
        <w:t>o</w:t>
      </w:r>
      <w:r>
        <w:rPr>
          <w:spacing w:val="-2"/>
          <w:sz w:val="24"/>
        </w:rPr>
        <w:t> </w:t>
      </w:r>
      <w:r>
        <w:rPr>
          <w:sz w:val="24"/>
        </w:rPr>
        <w:t>fracción</w:t>
        <w:tab/>
        <w:t>1,161.61</w:t>
      </w:r>
    </w:p>
    <w:p>
      <w:pPr>
        <w:spacing w:after="0" w:line="240" w:lineRule="auto"/>
        <w:jc w:val="left"/>
        <w:rPr>
          <w:sz w:val="24"/>
        </w:rPr>
        <w:sectPr>
          <w:type w:val="continuous"/>
          <w:pgSz w:w="12250" w:h="15850"/>
          <w:pgMar w:top="840" w:bottom="280" w:left="860" w:right="820"/>
        </w:sectPr>
      </w:pPr>
    </w:p>
    <w:p>
      <w:pPr>
        <w:pStyle w:val="ListParagraph"/>
        <w:numPr>
          <w:ilvl w:val="5"/>
          <w:numId w:val="28"/>
        </w:numPr>
        <w:tabs>
          <w:tab w:pos="3001" w:val="left" w:leader="none"/>
        </w:tabs>
        <w:spacing w:line="240" w:lineRule="auto" w:before="120" w:after="0"/>
        <w:ind w:left="3000" w:right="0" w:hanging="361"/>
        <w:jc w:val="left"/>
        <w:rPr>
          <w:sz w:val="24"/>
        </w:rPr>
      </w:pPr>
      <w:r>
        <w:rPr>
          <w:sz w:val="24"/>
        </w:rPr>
        <w:t>Equipamiento institucional por lote o fracción (con convenio con el</w:t>
      </w:r>
      <w:r>
        <w:rPr>
          <w:spacing w:val="-4"/>
          <w:sz w:val="24"/>
        </w:rPr>
        <w:t> </w:t>
      </w:r>
      <w:r>
        <w:rPr>
          <w:sz w:val="24"/>
        </w:rPr>
        <w:t>Ayuntamiento)</w:t>
      </w:r>
    </w:p>
    <w:p>
      <w:pPr>
        <w:pStyle w:val="BodyText"/>
        <w:spacing w:before="120"/>
        <w:ind w:left="1203"/>
      </w:pPr>
      <w:r>
        <w:rPr/>
        <w:br w:type="column"/>
      </w:r>
      <w:r>
        <w:rPr/>
        <w:t>0.00</w:t>
      </w:r>
    </w:p>
    <w:p>
      <w:pPr>
        <w:spacing w:after="0"/>
        <w:sectPr>
          <w:type w:val="continuous"/>
          <w:pgSz w:w="12250" w:h="15850"/>
          <w:pgMar w:top="840" w:bottom="280" w:left="860" w:right="820"/>
          <w:cols w:num="2" w:equalWidth="0">
            <w:col w:w="8413" w:space="40"/>
            <w:col w:w="2117"/>
          </w:cols>
        </w:sectPr>
      </w:pPr>
    </w:p>
    <w:p>
      <w:pPr>
        <w:pStyle w:val="ListParagraph"/>
        <w:numPr>
          <w:ilvl w:val="5"/>
          <w:numId w:val="28"/>
        </w:numPr>
        <w:tabs>
          <w:tab w:pos="3001" w:val="left" w:leader="none"/>
          <w:tab w:pos="9190" w:val="left" w:leader="none"/>
        </w:tabs>
        <w:spacing w:line="240" w:lineRule="auto" w:before="120" w:after="0"/>
        <w:ind w:left="3000" w:right="0" w:hanging="362"/>
        <w:jc w:val="left"/>
        <w:rPr>
          <w:sz w:val="24"/>
        </w:rPr>
      </w:pPr>
      <w:r>
        <w:rPr>
          <w:sz w:val="24"/>
        </w:rPr>
        <w:t>Equipamiento institucional por lote</w:t>
      </w:r>
      <w:r>
        <w:rPr>
          <w:spacing w:val="-9"/>
          <w:sz w:val="24"/>
        </w:rPr>
        <w:t> </w:t>
      </w:r>
      <w:r>
        <w:rPr>
          <w:sz w:val="24"/>
        </w:rPr>
        <w:t>o</w:t>
      </w:r>
      <w:r>
        <w:rPr>
          <w:spacing w:val="-3"/>
          <w:sz w:val="24"/>
        </w:rPr>
        <w:t> </w:t>
      </w:r>
      <w:r>
        <w:rPr>
          <w:sz w:val="24"/>
        </w:rPr>
        <w:t>fracción</w:t>
        <w:tab/>
        <w:t>1,503.57</w:t>
      </w:r>
    </w:p>
    <w:p>
      <w:pPr>
        <w:pStyle w:val="ListParagraph"/>
        <w:numPr>
          <w:ilvl w:val="5"/>
          <w:numId w:val="28"/>
        </w:numPr>
        <w:tabs>
          <w:tab w:pos="3001" w:val="left" w:leader="none"/>
          <w:tab w:pos="10124" w:val="right" w:leader="none"/>
        </w:tabs>
        <w:spacing w:line="240" w:lineRule="auto" w:before="120" w:after="0"/>
        <w:ind w:left="3000" w:right="0" w:hanging="362"/>
        <w:jc w:val="left"/>
        <w:rPr>
          <w:sz w:val="24"/>
        </w:rPr>
      </w:pPr>
      <w:r>
        <w:rPr>
          <w:sz w:val="24"/>
        </w:rPr>
        <w:t>Religioso por lote</w:t>
      </w:r>
      <w:r>
        <w:rPr>
          <w:spacing w:val="-2"/>
          <w:sz w:val="24"/>
        </w:rPr>
        <w:t> </w:t>
      </w:r>
      <w:r>
        <w:rPr>
          <w:sz w:val="24"/>
        </w:rPr>
        <w:t>o fracción</w:t>
        <w:tab/>
        <w:t>322.32</w:t>
      </w:r>
    </w:p>
    <w:p>
      <w:pPr>
        <w:pStyle w:val="BodyText"/>
      </w:pPr>
    </w:p>
    <w:p>
      <w:pPr>
        <w:pStyle w:val="ListParagraph"/>
        <w:numPr>
          <w:ilvl w:val="4"/>
          <w:numId w:val="28"/>
        </w:numPr>
        <w:tabs>
          <w:tab w:pos="1481" w:val="left" w:leader="none"/>
        </w:tabs>
        <w:spacing w:line="240" w:lineRule="auto" w:before="1" w:after="0"/>
        <w:ind w:left="1480" w:right="436" w:hanging="360"/>
        <w:jc w:val="both"/>
        <w:rPr>
          <w:sz w:val="24"/>
        </w:rPr>
      </w:pPr>
      <w:r>
        <w:rPr>
          <w:sz w:val="24"/>
        </w:rPr>
        <w:t>Para la regularización de las obras de urbanización y/o de edificación, se hará el pago de los derechos actualizados conforme a lo estipulado en esta ley, como si se tratase de una obra nueva de modalidad</w:t>
      </w:r>
      <w:r>
        <w:rPr>
          <w:spacing w:val="-12"/>
          <w:sz w:val="24"/>
        </w:rPr>
        <w:t> </w:t>
      </w:r>
      <w:r>
        <w:rPr>
          <w:sz w:val="24"/>
        </w:rPr>
        <w:t>extemporánea.</w:t>
      </w:r>
    </w:p>
    <w:p>
      <w:pPr>
        <w:pStyle w:val="BodyText"/>
        <w:spacing w:before="9"/>
        <w:rPr>
          <w:sz w:val="23"/>
        </w:rPr>
      </w:pPr>
    </w:p>
    <w:p>
      <w:pPr>
        <w:pStyle w:val="ListParagraph"/>
        <w:numPr>
          <w:ilvl w:val="4"/>
          <w:numId w:val="28"/>
        </w:numPr>
        <w:tabs>
          <w:tab w:pos="1481" w:val="left" w:leader="none"/>
        </w:tabs>
        <w:spacing w:line="240" w:lineRule="auto" w:before="0" w:after="0"/>
        <w:ind w:left="1480" w:right="439" w:hanging="360"/>
        <w:jc w:val="both"/>
        <w:rPr>
          <w:sz w:val="24"/>
        </w:rPr>
      </w:pPr>
      <w:r>
        <w:rPr>
          <w:sz w:val="24"/>
        </w:rPr>
        <w:t>Para las autorizaciones que se emitan bajo el régimen de propiedad en condominio, se harán conforme al pago de los siguientes</w:t>
      </w:r>
      <w:r>
        <w:rPr>
          <w:spacing w:val="-14"/>
          <w:sz w:val="24"/>
        </w:rPr>
        <w:t> </w:t>
      </w:r>
      <w:r>
        <w:rPr>
          <w:sz w:val="24"/>
        </w:rPr>
        <w:t>derechos:</w:t>
      </w:r>
    </w:p>
    <w:p>
      <w:pPr>
        <w:pStyle w:val="BodyText"/>
      </w:pPr>
    </w:p>
    <w:p>
      <w:pPr>
        <w:pStyle w:val="ListParagraph"/>
        <w:numPr>
          <w:ilvl w:val="5"/>
          <w:numId w:val="28"/>
        </w:numPr>
        <w:tabs>
          <w:tab w:pos="1841" w:val="left" w:leader="none"/>
        </w:tabs>
        <w:spacing w:line="240" w:lineRule="auto" w:before="0" w:after="0"/>
        <w:ind w:left="1840" w:right="441" w:hanging="360"/>
        <w:jc w:val="left"/>
        <w:rPr>
          <w:sz w:val="24"/>
        </w:rPr>
      </w:pPr>
      <w:r>
        <w:rPr>
          <w:sz w:val="24"/>
        </w:rPr>
        <w:t>Por la designación de cada vivienda y proindiviso para constituirlos en régimen de propiedad en</w:t>
      </w:r>
      <w:r>
        <w:rPr>
          <w:spacing w:val="-3"/>
          <w:sz w:val="24"/>
        </w:rPr>
        <w:t> </w:t>
      </w:r>
      <w:r>
        <w:rPr>
          <w:sz w:val="24"/>
        </w:rPr>
        <w:t>condominio:</w:t>
      </w:r>
    </w:p>
    <w:p>
      <w:pPr>
        <w:spacing w:after="0" w:line="240" w:lineRule="auto"/>
        <w:jc w:val="left"/>
        <w:rPr>
          <w:sz w:val="24"/>
        </w:rPr>
        <w:sectPr>
          <w:type w:val="continuous"/>
          <w:pgSz w:w="12250" w:h="15850"/>
          <w:pgMar w:top="840" w:bottom="280" w:left="860" w:right="820"/>
        </w:sectPr>
      </w:pPr>
    </w:p>
    <w:p>
      <w:pPr>
        <w:pStyle w:val="BodyText"/>
        <w:rPr>
          <w:sz w:val="26"/>
        </w:rPr>
      </w:pPr>
    </w:p>
    <w:p>
      <w:pPr>
        <w:pStyle w:val="BodyText"/>
        <w:spacing w:before="160"/>
        <w:ind w:right="38"/>
        <w:jc w:val="right"/>
      </w:pPr>
      <w:r>
        <w:rPr/>
        <w:t>Concepto</w:t>
      </w:r>
    </w:p>
    <w:p>
      <w:pPr>
        <w:pStyle w:val="BodyText"/>
        <w:spacing w:before="183"/>
        <w:ind w:left="3228" w:right="434"/>
        <w:jc w:val="center"/>
      </w:pPr>
      <w:r>
        <w:rPr/>
        <w:br w:type="column"/>
      </w:r>
      <w:r>
        <w:rPr/>
        <w:t>Importe Por m2</w:t>
      </w:r>
    </w:p>
    <w:p>
      <w:pPr>
        <w:pStyle w:val="BodyText"/>
        <w:ind w:left="2806"/>
        <w:jc w:val="center"/>
      </w:pPr>
      <w:r>
        <w:rPr>
          <w:w w:val="99"/>
        </w:rPr>
        <w:t>$</w:t>
      </w:r>
    </w:p>
    <w:p>
      <w:pPr>
        <w:spacing w:after="0"/>
        <w:jc w:val="center"/>
        <w:sectPr>
          <w:pgSz w:w="12250" w:h="15850"/>
          <w:pgMar w:header="730" w:footer="0" w:top="1000" w:bottom="280" w:left="860" w:right="820"/>
          <w:cols w:num="2" w:equalWidth="0">
            <w:col w:w="4296" w:space="1786"/>
            <w:col w:w="4488"/>
          </w:cols>
        </w:sectPr>
      </w:pPr>
    </w:p>
    <w:p>
      <w:pPr>
        <w:pStyle w:val="ListParagraph"/>
        <w:numPr>
          <w:ilvl w:val="6"/>
          <w:numId w:val="28"/>
        </w:numPr>
        <w:tabs>
          <w:tab w:pos="3497" w:val="left" w:leader="none"/>
          <w:tab w:pos="10125" w:val="right" w:leader="none"/>
        </w:tabs>
        <w:spacing w:line="240" w:lineRule="auto" w:before="123" w:after="0"/>
        <w:ind w:left="3496" w:right="0" w:hanging="269"/>
        <w:jc w:val="left"/>
        <w:rPr>
          <w:sz w:val="24"/>
        </w:rPr>
      </w:pPr>
      <w:r>
        <w:rPr>
          <w:sz w:val="24"/>
        </w:rPr>
        <w:t>Habitacional</w:t>
        <w:tab/>
        <w:t>4.46</w:t>
      </w:r>
    </w:p>
    <w:p>
      <w:pPr>
        <w:spacing w:after="0" w:line="240" w:lineRule="auto"/>
        <w:jc w:val="left"/>
        <w:rPr>
          <w:sz w:val="24"/>
        </w:rPr>
        <w:sectPr>
          <w:type w:val="continuous"/>
          <w:pgSz w:w="12250" w:h="15850"/>
          <w:pgMar w:top="840" w:bottom="280" w:left="860" w:right="820"/>
        </w:sectPr>
      </w:pPr>
    </w:p>
    <w:p>
      <w:pPr>
        <w:pStyle w:val="ListParagraph"/>
        <w:numPr>
          <w:ilvl w:val="6"/>
          <w:numId w:val="28"/>
        </w:numPr>
        <w:tabs>
          <w:tab w:pos="3659" w:val="left" w:leader="none"/>
          <w:tab w:pos="3660" w:val="left" w:leader="none"/>
          <w:tab w:pos="5033" w:val="left" w:leader="none"/>
          <w:tab w:pos="6172" w:val="left" w:leader="none"/>
          <w:tab w:pos="7400" w:val="left" w:leader="none"/>
          <w:tab w:pos="8587" w:val="left" w:leader="none"/>
        </w:tabs>
        <w:spacing w:line="240" w:lineRule="auto" w:before="120" w:after="0"/>
        <w:ind w:left="3228" w:right="0" w:firstLine="0"/>
        <w:jc w:val="left"/>
        <w:rPr>
          <w:sz w:val="24"/>
        </w:rPr>
      </w:pPr>
      <w:r>
        <w:rPr>
          <w:sz w:val="24"/>
        </w:rPr>
        <w:t>Comercial,</w:t>
        <w:tab/>
        <w:t>turístico,</w:t>
        <w:tab/>
        <w:t>servicios,</w:t>
        <w:tab/>
        <w:t>industrial</w:t>
        <w:tab/>
      </w:r>
      <w:r>
        <w:rPr>
          <w:spacing w:val="-19"/>
          <w:sz w:val="24"/>
        </w:rPr>
        <w:t>y </w:t>
      </w:r>
      <w:r>
        <w:rPr>
          <w:sz w:val="24"/>
        </w:rPr>
        <w:t>agroindustrial</w:t>
      </w:r>
    </w:p>
    <w:p>
      <w:pPr>
        <w:pStyle w:val="ListParagraph"/>
        <w:numPr>
          <w:ilvl w:val="6"/>
          <w:numId w:val="28"/>
        </w:numPr>
        <w:tabs>
          <w:tab w:pos="3521" w:val="left" w:leader="none"/>
        </w:tabs>
        <w:spacing w:line="240" w:lineRule="auto" w:before="120" w:after="0"/>
        <w:ind w:left="3228" w:right="1" w:firstLine="0"/>
        <w:jc w:val="left"/>
        <w:rPr>
          <w:sz w:val="24"/>
        </w:rPr>
      </w:pPr>
      <w:r>
        <w:rPr/>
        <w:drawing>
          <wp:anchor distT="0" distB="0" distL="0" distR="0" allowOverlap="1" layoutInCell="1" locked="0" behindDoc="1" simplePos="0" relativeHeight="227502080">
            <wp:simplePos x="0" y="0"/>
            <wp:positionH relativeFrom="page">
              <wp:posOffset>1239220</wp:posOffset>
            </wp:positionH>
            <wp:positionV relativeFrom="paragraph">
              <wp:posOffset>88593</wp:posOffset>
            </wp:positionV>
            <wp:extent cx="5022641" cy="5144769"/>
            <wp:effectExtent l="0" t="0" r="0" b="0"/>
            <wp:wrapNone/>
            <wp:docPr id="67" name="image29.png"/>
            <wp:cNvGraphicFramePr>
              <a:graphicFrameLocks noChangeAspect="1"/>
            </wp:cNvGraphicFramePr>
            <a:graphic>
              <a:graphicData uri="http://schemas.openxmlformats.org/drawingml/2006/picture">
                <pic:pic>
                  <pic:nvPicPr>
                    <pic:cNvPr id="68" name="image29.png"/>
                    <pic:cNvPicPr/>
                  </pic:nvPicPr>
                  <pic:blipFill>
                    <a:blip r:embed="rId39" cstate="print"/>
                    <a:stretch>
                      <a:fillRect/>
                    </a:stretch>
                  </pic:blipFill>
                  <pic:spPr>
                    <a:xfrm>
                      <a:off x="0" y="0"/>
                      <a:ext cx="5022641" cy="5144769"/>
                    </a:xfrm>
                    <a:prstGeom prst="rect">
                      <a:avLst/>
                    </a:prstGeom>
                  </pic:spPr>
                </pic:pic>
              </a:graphicData>
            </a:graphic>
          </wp:anchor>
        </w:drawing>
      </w:r>
      <w:r>
        <w:rPr>
          <w:sz w:val="24"/>
        </w:rPr>
        <w:t>Equipamiento y otros destinos (Salvo convenio con el</w:t>
      </w:r>
      <w:r>
        <w:rPr>
          <w:spacing w:val="-4"/>
          <w:sz w:val="24"/>
        </w:rPr>
        <w:t> </w:t>
      </w:r>
      <w:r>
        <w:rPr>
          <w:sz w:val="24"/>
        </w:rPr>
        <w:t>Ayuntamiento)</w:t>
      </w:r>
    </w:p>
    <w:p>
      <w:pPr>
        <w:pStyle w:val="BodyText"/>
        <w:spacing w:before="120"/>
        <w:ind w:left="776"/>
      </w:pPr>
      <w:r>
        <w:rPr/>
        <w:br w:type="column"/>
      </w:r>
      <w:r>
        <w:rPr/>
        <w:t>10.71</w:t>
      </w:r>
    </w:p>
    <w:p>
      <w:pPr>
        <w:pStyle w:val="BodyText"/>
        <w:spacing w:before="396"/>
        <w:ind w:left="908"/>
      </w:pPr>
      <w:r>
        <w:rPr/>
        <w:t>6.25</w:t>
      </w:r>
    </w:p>
    <w:p>
      <w:pPr>
        <w:spacing w:after="0"/>
        <w:sectPr>
          <w:type w:val="continuous"/>
          <w:pgSz w:w="12250" w:h="15850"/>
          <w:pgMar w:top="840" w:bottom="280" w:left="860" w:right="820"/>
          <w:cols w:num="2" w:equalWidth="0">
            <w:col w:w="8709" w:space="40"/>
            <w:col w:w="1821"/>
          </w:cols>
        </w:sectPr>
      </w:pPr>
    </w:p>
    <w:p>
      <w:pPr>
        <w:pStyle w:val="BodyText"/>
        <w:spacing w:before="10"/>
        <w:rPr>
          <w:sz w:val="20"/>
        </w:rPr>
      </w:pPr>
    </w:p>
    <w:p>
      <w:pPr>
        <w:pStyle w:val="ListParagraph"/>
        <w:numPr>
          <w:ilvl w:val="5"/>
          <w:numId w:val="28"/>
        </w:numPr>
        <w:tabs>
          <w:tab w:pos="2177" w:val="left" w:leader="none"/>
        </w:tabs>
        <w:spacing w:line="240" w:lineRule="auto" w:before="0" w:after="0"/>
        <w:ind w:left="2176" w:right="441" w:hanging="358"/>
        <w:jc w:val="left"/>
        <w:rPr>
          <w:sz w:val="24"/>
        </w:rPr>
      </w:pPr>
      <w:r>
        <w:rPr>
          <w:sz w:val="24"/>
        </w:rPr>
        <w:t>Por el permiso de cada cajón de estacionamiento en áreas comunes para sujetarlos en régimen de condominio, según el</w:t>
      </w:r>
      <w:r>
        <w:rPr>
          <w:spacing w:val="-11"/>
          <w:sz w:val="24"/>
        </w:rPr>
        <w:t> </w:t>
      </w:r>
      <w:r>
        <w:rPr>
          <w:sz w:val="24"/>
        </w:rPr>
        <w:t>tipo:</w:t>
      </w:r>
    </w:p>
    <w:p>
      <w:pPr>
        <w:pStyle w:val="BodyText"/>
        <w:tabs>
          <w:tab w:pos="6082" w:val="left" w:leader="none"/>
        </w:tabs>
        <w:spacing w:before="121"/>
        <w:ind w:right="434"/>
        <w:jc w:val="right"/>
      </w:pPr>
      <w:r>
        <w:rPr/>
        <w:t>Concepto</w:t>
        <w:tab/>
      </w:r>
      <w:r>
        <w:rPr>
          <w:spacing w:val="-1"/>
        </w:rPr>
        <w:t>Importe</w:t>
      </w:r>
    </w:p>
    <w:p>
      <w:pPr>
        <w:pStyle w:val="BodyText"/>
        <w:spacing w:before="120"/>
        <w:ind w:right="436"/>
        <w:jc w:val="right"/>
      </w:pPr>
      <w:r>
        <w:rPr>
          <w:w w:val="99"/>
        </w:rPr>
        <w:t>$</w:t>
      </w:r>
    </w:p>
    <w:p>
      <w:pPr>
        <w:pStyle w:val="BodyText"/>
        <w:tabs>
          <w:tab w:pos="9656" w:val="left" w:leader="none"/>
        </w:tabs>
        <w:spacing w:before="120"/>
        <w:ind w:left="3228"/>
      </w:pPr>
      <w:r>
        <w:rPr/>
        <w:t>a. En general por</w:t>
      </w:r>
      <w:r>
        <w:rPr>
          <w:spacing w:val="-12"/>
        </w:rPr>
        <w:t> </w:t>
      </w:r>
      <w:r>
        <w:rPr/>
        <w:t>metro</w:t>
      </w:r>
      <w:r>
        <w:rPr>
          <w:spacing w:val="-1"/>
        </w:rPr>
        <w:t> </w:t>
      </w:r>
      <w:r>
        <w:rPr/>
        <w:t>cuadrado</w:t>
        <w:tab/>
        <w:t>6.25</w:t>
      </w:r>
    </w:p>
    <w:p>
      <w:pPr>
        <w:pStyle w:val="ListParagraph"/>
        <w:numPr>
          <w:ilvl w:val="4"/>
          <w:numId w:val="28"/>
        </w:numPr>
        <w:tabs>
          <w:tab w:pos="1481" w:val="left" w:leader="none"/>
          <w:tab w:pos="9310" w:val="left" w:leader="none"/>
        </w:tabs>
        <w:spacing w:line="343" w:lineRule="auto" w:before="120" w:after="0"/>
        <w:ind w:left="2945" w:right="434" w:hanging="1825"/>
        <w:jc w:val="left"/>
        <w:rPr>
          <w:sz w:val="24"/>
        </w:rPr>
      </w:pPr>
      <w:r>
        <w:rPr>
          <w:sz w:val="24"/>
        </w:rPr>
        <w:t>Por otorgamiento de constancia o dictamen por inmueble o unidad de vivienda: Concepto</w:t>
        <w:tab/>
      </w:r>
      <w:r>
        <w:rPr>
          <w:spacing w:val="-4"/>
          <w:sz w:val="24"/>
        </w:rPr>
        <w:t>Importe</w:t>
      </w:r>
    </w:p>
    <w:p>
      <w:pPr>
        <w:pStyle w:val="BodyText"/>
        <w:spacing w:before="2"/>
        <w:ind w:left="9990"/>
      </w:pPr>
      <w:r>
        <w:rPr>
          <w:w w:val="99"/>
        </w:rPr>
        <w:t>$</w:t>
      </w:r>
    </w:p>
    <w:p>
      <w:pPr>
        <w:spacing w:after="0"/>
        <w:sectPr>
          <w:type w:val="continuous"/>
          <w:pgSz w:w="12250" w:h="15850"/>
          <w:pgMar w:top="840" w:bottom="280" w:left="860" w:right="820"/>
        </w:sectPr>
      </w:pPr>
    </w:p>
    <w:p>
      <w:pPr>
        <w:pStyle w:val="ListParagraph"/>
        <w:numPr>
          <w:ilvl w:val="5"/>
          <w:numId w:val="28"/>
        </w:numPr>
        <w:tabs>
          <w:tab w:pos="3665" w:val="left" w:leader="none"/>
        </w:tabs>
        <w:spacing w:line="240" w:lineRule="auto" w:before="120" w:after="0"/>
        <w:ind w:left="3665" w:right="1" w:hanging="360"/>
        <w:jc w:val="both"/>
        <w:rPr>
          <w:sz w:val="24"/>
        </w:rPr>
      </w:pPr>
      <w:r>
        <w:rPr>
          <w:sz w:val="24"/>
        </w:rPr>
        <w:t>Constancia de habitabilidad u operación de inmueble</w:t>
      </w:r>
    </w:p>
    <w:p>
      <w:pPr>
        <w:pStyle w:val="ListParagraph"/>
        <w:numPr>
          <w:ilvl w:val="5"/>
          <w:numId w:val="28"/>
        </w:numPr>
        <w:tabs>
          <w:tab w:pos="3665" w:val="left" w:leader="none"/>
        </w:tabs>
        <w:spacing w:line="240" w:lineRule="auto" w:before="120" w:after="0"/>
        <w:ind w:left="3665" w:right="0" w:hanging="360"/>
        <w:jc w:val="both"/>
        <w:rPr>
          <w:sz w:val="24"/>
        </w:rPr>
      </w:pPr>
      <w:r>
        <w:rPr>
          <w:sz w:val="24"/>
        </w:rPr>
        <w:t>Certificación exclusivamente para uso habitacional</w:t>
      </w:r>
    </w:p>
    <w:p>
      <w:pPr>
        <w:pStyle w:val="BodyText"/>
        <w:spacing w:before="1"/>
        <w:rPr>
          <w:sz w:val="21"/>
        </w:rPr>
      </w:pPr>
    </w:p>
    <w:p>
      <w:pPr>
        <w:pStyle w:val="ListParagraph"/>
        <w:numPr>
          <w:ilvl w:val="5"/>
          <w:numId w:val="28"/>
        </w:numPr>
        <w:tabs>
          <w:tab w:pos="3665" w:val="left" w:leader="none"/>
        </w:tabs>
        <w:spacing w:line="237" w:lineRule="auto" w:before="1" w:after="0"/>
        <w:ind w:left="3665" w:right="0" w:hanging="360"/>
        <w:jc w:val="both"/>
        <w:rPr>
          <w:sz w:val="24"/>
        </w:rPr>
      </w:pPr>
      <w:r>
        <w:rPr>
          <w:sz w:val="24"/>
        </w:rPr>
        <w:t>Dictamen de ocupación de terreno por construcción (por m</w:t>
      </w:r>
      <w:r>
        <w:rPr>
          <w:position w:val="8"/>
          <w:sz w:val="16"/>
        </w:rPr>
        <w:t>2 </w:t>
      </w:r>
      <w:r>
        <w:rPr>
          <w:sz w:val="24"/>
        </w:rPr>
        <w:t>construido) </w:t>
      </w:r>
      <w:r>
        <w:rPr>
          <w:spacing w:val="-4"/>
          <w:sz w:val="24"/>
        </w:rPr>
        <w:t>para </w:t>
      </w:r>
      <w:r>
        <w:rPr>
          <w:sz w:val="24"/>
        </w:rPr>
        <w:t>edificaciones con antigüedad igual o mayor a 5</w:t>
      </w:r>
      <w:r>
        <w:rPr>
          <w:spacing w:val="-1"/>
          <w:sz w:val="24"/>
        </w:rPr>
        <w:t> </w:t>
      </w:r>
      <w:r>
        <w:rPr>
          <w:sz w:val="24"/>
        </w:rPr>
        <w:t>años</w:t>
      </w:r>
    </w:p>
    <w:p>
      <w:pPr>
        <w:pStyle w:val="ListParagraph"/>
        <w:numPr>
          <w:ilvl w:val="5"/>
          <w:numId w:val="28"/>
        </w:numPr>
        <w:tabs>
          <w:tab w:pos="3665" w:val="left" w:leader="none"/>
        </w:tabs>
        <w:spacing w:line="240" w:lineRule="auto" w:before="123" w:after="0"/>
        <w:ind w:left="3665" w:right="1" w:hanging="360"/>
        <w:jc w:val="both"/>
        <w:rPr>
          <w:sz w:val="24"/>
        </w:rPr>
      </w:pPr>
      <w:r>
        <w:rPr>
          <w:sz w:val="24"/>
        </w:rPr>
        <w:t>Opinión Técnica y/o Jurídica por perito oficial y abogado de la dirección por</w:t>
      </w:r>
      <w:r>
        <w:rPr>
          <w:spacing w:val="-8"/>
          <w:sz w:val="24"/>
        </w:rPr>
        <w:t> </w:t>
      </w:r>
      <w:r>
        <w:rPr>
          <w:sz w:val="24"/>
        </w:rPr>
        <w:t>visita</w:t>
      </w:r>
    </w:p>
    <w:p>
      <w:pPr>
        <w:pStyle w:val="ListParagraph"/>
        <w:numPr>
          <w:ilvl w:val="4"/>
          <w:numId w:val="28"/>
        </w:numPr>
        <w:tabs>
          <w:tab w:pos="1481" w:val="left" w:leader="none"/>
        </w:tabs>
        <w:spacing w:line="240" w:lineRule="auto" w:before="121" w:after="0"/>
        <w:ind w:left="1480" w:right="0" w:hanging="361"/>
        <w:jc w:val="both"/>
        <w:rPr>
          <w:sz w:val="24"/>
        </w:rPr>
      </w:pPr>
      <w:r>
        <w:rPr>
          <w:sz w:val="24"/>
        </w:rPr>
        <w:t>Copia de documentos oficiales</w:t>
      </w:r>
      <w:r>
        <w:rPr>
          <w:spacing w:val="-3"/>
          <w:sz w:val="24"/>
        </w:rPr>
        <w:t> </w:t>
      </w:r>
      <w:r>
        <w:rPr>
          <w:sz w:val="24"/>
        </w:rPr>
        <w:t>expedidos</w:t>
      </w:r>
    </w:p>
    <w:p>
      <w:pPr>
        <w:pStyle w:val="BodyText"/>
        <w:spacing w:before="120"/>
        <w:ind w:right="435"/>
        <w:jc w:val="right"/>
      </w:pPr>
      <w:r>
        <w:rPr/>
        <w:br w:type="column"/>
      </w:r>
      <w:r>
        <w:rPr>
          <w:spacing w:val="-1"/>
        </w:rPr>
        <w:t>298.21</w:t>
      </w:r>
    </w:p>
    <w:p>
      <w:pPr>
        <w:pStyle w:val="BodyText"/>
        <w:spacing w:before="5"/>
        <w:rPr>
          <w:sz w:val="34"/>
        </w:rPr>
      </w:pPr>
    </w:p>
    <w:p>
      <w:pPr>
        <w:pStyle w:val="BodyText"/>
        <w:ind w:right="435"/>
        <w:jc w:val="right"/>
      </w:pPr>
      <w:r>
        <w:rPr>
          <w:spacing w:val="-1"/>
        </w:rPr>
        <w:t>149.11</w:t>
      </w:r>
    </w:p>
    <w:p>
      <w:pPr>
        <w:pStyle w:val="BodyText"/>
        <w:rPr>
          <w:sz w:val="26"/>
        </w:rPr>
      </w:pPr>
    </w:p>
    <w:p>
      <w:pPr>
        <w:pStyle w:val="BodyText"/>
        <w:rPr>
          <w:sz w:val="26"/>
        </w:rPr>
      </w:pPr>
    </w:p>
    <w:p>
      <w:pPr>
        <w:pStyle w:val="BodyText"/>
        <w:spacing w:before="4"/>
        <w:rPr>
          <w:sz w:val="27"/>
        </w:rPr>
      </w:pPr>
    </w:p>
    <w:p>
      <w:pPr>
        <w:pStyle w:val="BodyText"/>
        <w:ind w:right="435"/>
        <w:jc w:val="right"/>
      </w:pPr>
      <w:r>
        <w:rPr>
          <w:spacing w:val="-1"/>
        </w:rPr>
        <w:t>30.36</w:t>
      </w:r>
    </w:p>
    <w:p>
      <w:pPr>
        <w:pStyle w:val="BodyText"/>
        <w:rPr>
          <w:sz w:val="26"/>
        </w:rPr>
      </w:pPr>
    </w:p>
    <w:p>
      <w:pPr>
        <w:pStyle w:val="BodyText"/>
        <w:rPr>
          <w:sz w:val="22"/>
        </w:rPr>
      </w:pPr>
    </w:p>
    <w:p>
      <w:pPr>
        <w:pStyle w:val="BodyText"/>
        <w:ind w:right="435"/>
        <w:jc w:val="right"/>
      </w:pPr>
      <w:r>
        <w:rPr>
          <w:spacing w:val="-1"/>
        </w:rPr>
        <w:t>500.00</w:t>
      </w:r>
    </w:p>
    <w:p>
      <w:pPr>
        <w:spacing w:after="0"/>
        <w:jc w:val="right"/>
        <w:sectPr>
          <w:type w:val="continuous"/>
          <w:pgSz w:w="12250" w:h="15850"/>
          <w:pgMar w:top="840" w:bottom="280" w:left="860" w:right="820"/>
          <w:cols w:num="2" w:equalWidth="0">
            <w:col w:w="8423" w:space="40"/>
            <w:col w:w="2107"/>
          </w:cols>
        </w:sectPr>
      </w:pPr>
    </w:p>
    <w:p>
      <w:pPr>
        <w:pStyle w:val="BodyText"/>
        <w:spacing w:before="8"/>
        <w:rPr>
          <w:sz w:val="28"/>
        </w:rPr>
      </w:pPr>
    </w:p>
    <w:p>
      <w:pPr>
        <w:pStyle w:val="BodyText"/>
        <w:tabs>
          <w:tab w:pos="6228" w:val="left" w:leader="none"/>
        </w:tabs>
        <w:spacing w:before="92"/>
        <w:ind w:right="434"/>
        <w:jc w:val="right"/>
      </w:pPr>
      <w:r>
        <w:rPr/>
        <w:t>Concepto</w:t>
        <w:tab/>
      </w:r>
      <w:r>
        <w:rPr>
          <w:spacing w:val="-1"/>
        </w:rPr>
        <w:t>Importe</w:t>
      </w:r>
    </w:p>
    <w:p>
      <w:pPr>
        <w:pStyle w:val="BodyText"/>
        <w:spacing w:before="121"/>
        <w:ind w:right="436"/>
        <w:jc w:val="right"/>
      </w:pPr>
      <w:r>
        <w:rPr>
          <w:w w:val="99"/>
        </w:rPr>
        <w:t>$</w:t>
      </w:r>
    </w:p>
    <w:p>
      <w:pPr>
        <w:spacing w:after="0"/>
        <w:jc w:val="right"/>
        <w:sectPr>
          <w:type w:val="continuous"/>
          <w:pgSz w:w="12250" w:h="15850"/>
          <w:pgMar w:top="840" w:bottom="280" w:left="860" w:right="820"/>
        </w:sectPr>
      </w:pPr>
    </w:p>
    <w:p>
      <w:pPr>
        <w:pStyle w:val="ListParagraph"/>
        <w:numPr>
          <w:ilvl w:val="0"/>
          <w:numId w:val="35"/>
        </w:numPr>
        <w:tabs>
          <w:tab w:pos="3363" w:val="left" w:leader="none"/>
        </w:tabs>
        <w:spacing w:line="240" w:lineRule="auto" w:before="120" w:after="0"/>
        <w:ind w:left="3362" w:right="0" w:hanging="282"/>
        <w:jc w:val="left"/>
        <w:rPr>
          <w:sz w:val="24"/>
        </w:rPr>
      </w:pPr>
      <w:r>
        <w:rPr>
          <w:sz w:val="24"/>
        </w:rPr>
        <w:t>Copia simple por cada</w:t>
      </w:r>
      <w:r>
        <w:rPr>
          <w:spacing w:val="1"/>
          <w:sz w:val="24"/>
        </w:rPr>
        <w:t> </w:t>
      </w:r>
      <w:r>
        <w:rPr>
          <w:spacing w:val="-4"/>
          <w:sz w:val="24"/>
        </w:rPr>
        <w:t>copia</w:t>
      </w:r>
    </w:p>
    <w:p>
      <w:pPr>
        <w:pStyle w:val="ListParagraph"/>
        <w:numPr>
          <w:ilvl w:val="0"/>
          <w:numId w:val="35"/>
        </w:numPr>
        <w:tabs>
          <w:tab w:pos="3363" w:val="left" w:leader="none"/>
        </w:tabs>
        <w:spacing w:line="240" w:lineRule="auto" w:before="120" w:after="0"/>
        <w:ind w:left="3362" w:right="0" w:hanging="282"/>
        <w:jc w:val="left"/>
        <w:rPr>
          <w:sz w:val="24"/>
        </w:rPr>
      </w:pPr>
      <w:r>
        <w:rPr>
          <w:sz w:val="24"/>
        </w:rPr>
        <w:t>Copia</w:t>
      </w:r>
      <w:r>
        <w:rPr>
          <w:spacing w:val="-1"/>
          <w:sz w:val="24"/>
        </w:rPr>
        <w:t> </w:t>
      </w:r>
      <w:r>
        <w:rPr>
          <w:sz w:val="24"/>
        </w:rPr>
        <w:t>certificada</w:t>
      </w:r>
    </w:p>
    <w:p>
      <w:pPr>
        <w:pStyle w:val="BodyText"/>
        <w:spacing w:before="120"/>
        <w:ind w:right="435"/>
        <w:jc w:val="right"/>
      </w:pPr>
      <w:r>
        <w:rPr/>
        <w:br w:type="column"/>
      </w:r>
      <w:r>
        <w:rPr/>
        <w:t>2.68</w:t>
      </w:r>
    </w:p>
    <w:p>
      <w:pPr>
        <w:pStyle w:val="BodyText"/>
        <w:spacing w:before="120"/>
        <w:ind w:right="435"/>
        <w:jc w:val="right"/>
      </w:pPr>
      <w:r>
        <w:rPr>
          <w:spacing w:val="-1"/>
        </w:rPr>
        <w:t>149.11</w:t>
      </w:r>
    </w:p>
    <w:p>
      <w:pPr>
        <w:spacing w:after="0"/>
        <w:jc w:val="right"/>
        <w:sectPr>
          <w:type w:val="continuous"/>
          <w:pgSz w:w="12250" w:h="15850"/>
          <w:pgMar w:top="840" w:bottom="280" w:left="860" w:right="820"/>
          <w:cols w:num="2" w:equalWidth="0">
            <w:col w:w="6391" w:space="40"/>
            <w:col w:w="4139"/>
          </w:cols>
        </w:sectPr>
      </w:pPr>
    </w:p>
    <w:p>
      <w:pPr>
        <w:pStyle w:val="BodyText"/>
        <w:spacing w:before="4"/>
        <w:rPr>
          <w:sz w:val="26"/>
        </w:rPr>
      </w:pPr>
    </w:p>
    <w:p>
      <w:pPr>
        <w:pStyle w:val="ListParagraph"/>
        <w:numPr>
          <w:ilvl w:val="4"/>
          <w:numId w:val="28"/>
        </w:numPr>
        <w:tabs>
          <w:tab w:pos="1253" w:val="left" w:leader="none"/>
        </w:tabs>
        <w:spacing w:line="240" w:lineRule="auto" w:before="93" w:after="0"/>
        <w:ind w:left="1252" w:right="436" w:hanging="492"/>
        <w:jc w:val="both"/>
        <w:rPr>
          <w:sz w:val="24"/>
        </w:rPr>
      </w:pPr>
      <w:r>
        <w:rPr>
          <w:sz w:val="24"/>
        </w:rPr>
        <w:t>El trámite urgente tendrá un costo del 30 % adicional al costo que corresponda, se aplicará en los siguientes tramites (No. Oficial, licencias de uso de suelo, Compatibilidad Urbanística, Revisión de diseño Urbano, Permisos de Construcción, Licencias de construcción, Factibilidad y licencia ambiental). No se recibirá expediente incompleto.</w:t>
      </w:r>
    </w:p>
    <w:p>
      <w:pPr>
        <w:spacing w:after="0" w:line="240" w:lineRule="auto"/>
        <w:jc w:val="both"/>
        <w:rPr>
          <w:sz w:val="24"/>
        </w:rPr>
        <w:sectPr>
          <w:type w:val="continuous"/>
          <w:pgSz w:w="12250" w:h="15850"/>
          <w:pgMar w:top="840" w:bottom="280" w:left="860" w:right="820"/>
        </w:sectPr>
      </w:pPr>
    </w:p>
    <w:p>
      <w:pPr>
        <w:pStyle w:val="BodyText"/>
        <w:spacing w:before="1"/>
        <w:rPr>
          <w:sz w:val="9"/>
        </w:rPr>
      </w:pPr>
    </w:p>
    <w:p>
      <w:pPr>
        <w:pStyle w:val="Heading1"/>
        <w:spacing w:before="93"/>
        <w:ind w:left="3876" w:right="3908"/>
        <w:jc w:val="center"/>
      </w:pPr>
      <w:r>
        <w:rPr/>
        <w:t>Capítulo Noveno Registro Civil</w:t>
      </w:r>
    </w:p>
    <w:p>
      <w:pPr>
        <w:pStyle w:val="BodyText"/>
        <w:rPr>
          <w:b/>
        </w:rPr>
      </w:pPr>
    </w:p>
    <w:p>
      <w:pPr>
        <w:pStyle w:val="BodyText"/>
        <w:ind w:left="400"/>
      </w:pPr>
      <w:r>
        <w:rPr>
          <w:b/>
        </w:rPr>
        <w:t>Artículo 21.- </w:t>
      </w:r>
      <w:r>
        <w:rPr/>
        <w:t>Los derechos por los servicios que proporcione el Registro Civil, se causarán conforme a las siguientes cuotas:</w:t>
      </w:r>
    </w:p>
    <w:p>
      <w:pPr>
        <w:pStyle w:val="BodyText"/>
      </w:pPr>
    </w:p>
    <w:p>
      <w:pPr>
        <w:pStyle w:val="Heading1"/>
        <w:numPr>
          <w:ilvl w:val="0"/>
          <w:numId w:val="36"/>
        </w:numPr>
        <w:tabs>
          <w:tab w:pos="603" w:val="left" w:leader="none"/>
        </w:tabs>
        <w:spacing w:line="240" w:lineRule="auto" w:before="0" w:after="0"/>
        <w:ind w:left="602" w:right="0" w:hanging="203"/>
        <w:jc w:val="left"/>
      </w:pPr>
      <w:r>
        <w:rPr/>
        <w:drawing>
          <wp:anchor distT="0" distB="0" distL="0" distR="0" allowOverlap="1" layoutInCell="1" locked="0" behindDoc="1" simplePos="0" relativeHeight="227503104">
            <wp:simplePos x="0" y="0"/>
            <wp:positionH relativeFrom="page">
              <wp:posOffset>1252555</wp:posOffset>
            </wp:positionH>
            <wp:positionV relativeFrom="paragraph">
              <wp:posOffset>233373</wp:posOffset>
            </wp:positionV>
            <wp:extent cx="5022641" cy="5144769"/>
            <wp:effectExtent l="0" t="0" r="0" b="0"/>
            <wp:wrapNone/>
            <wp:docPr id="69" name="image30.png"/>
            <wp:cNvGraphicFramePr>
              <a:graphicFrameLocks noChangeAspect="1"/>
            </wp:cNvGraphicFramePr>
            <a:graphic>
              <a:graphicData uri="http://schemas.openxmlformats.org/drawingml/2006/picture">
                <pic:pic>
                  <pic:nvPicPr>
                    <pic:cNvPr id="70" name="image30.png"/>
                    <pic:cNvPicPr/>
                  </pic:nvPicPr>
                  <pic:blipFill>
                    <a:blip r:embed="rId40" cstate="print"/>
                    <a:stretch>
                      <a:fillRect/>
                    </a:stretch>
                  </pic:blipFill>
                  <pic:spPr>
                    <a:xfrm>
                      <a:off x="0" y="0"/>
                      <a:ext cx="5022641" cy="5144769"/>
                    </a:xfrm>
                    <a:prstGeom prst="rect">
                      <a:avLst/>
                    </a:prstGeom>
                  </pic:spPr>
                </pic:pic>
              </a:graphicData>
            </a:graphic>
          </wp:anchor>
        </w:drawing>
      </w:r>
      <w:r>
        <w:rPr/>
        <w:t>Por</w:t>
      </w:r>
      <w:r>
        <w:rPr>
          <w:spacing w:val="-1"/>
        </w:rPr>
        <w:t> </w:t>
      </w:r>
      <w:r>
        <w:rPr/>
        <w:t>matrimonio:</w:t>
      </w:r>
    </w:p>
    <w:p>
      <w:pPr>
        <w:pStyle w:val="BodyText"/>
        <w:rPr>
          <w:b/>
        </w:rPr>
      </w:pPr>
    </w:p>
    <w:p>
      <w:pPr>
        <w:pStyle w:val="BodyText"/>
        <w:tabs>
          <w:tab w:pos="8792" w:val="left" w:leader="none"/>
        </w:tabs>
        <w:ind w:left="2562"/>
      </w:pPr>
      <w:r>
        <w:rPr/>
        <w:t>Concepto</w:t>
        <w:tab/>
        <w:t>Importe</w:t>
      </w:r>
    </w:p>
    <w:p>
      <w:pPr>
        <w:pStyle w:val="ListParagraph"/>
        <w:numPr>
          <w:ilvl w:val="1"/>
          <w:numId w:val="36"/>
        </w:numPr>
        <w:tabs>
          <w:tab w:pos="1570" w:val="left" w:leader="none"/>
        </w:tabs>
        <w:spacing w:line="240" w:lineRule="auto" w:before="0" w:after="0"/>
        <w:ind w:left="1569" w:right="0" w:hanging="337"/>
        <w:jc w:val="left"/>
        <w:rPr>
          <w:sz w:val="24"/>
        </w:rPr>
      </w:pPr>
      <w:r>
        <w:rPr>
          <w:sz w:val="24"/>
        </w:rPr>
        <w:t>Por la celebración de</w:t>
      </w:r>
      <w:r>
        <w:rPr>
          <w:spacing w:val="27"/>
          <w:sz w:val="24"/>
        </w:rPr>
        <w:t> </w:t>
      </w:r>
      <w:r>
        <w:rPr>
          <w:sz w:val="24"/>
        </w:rPr>
        <w:t>matrimonio</w:t>
      </w:r>
    </w:p>
    <w:p>
      <w:pPr>
        <w:pStyle w:val="BodyText"/>
        <w:tabs>
          <w:tab w:pos="9608" w:val="right" w:leader="none"/>
        </w:tabs>
        <w:ind w:left="1569"/>
      </w:pPr>
      <w:r>
        <w:rPr/>
        <w:t>en la oficina, en</w:t>
      </w:r>
      <w:r>
        <w:rPr>
          <w:spacing w:val="-7"/>
        </w:rPr>
        <w:t> </w:t>
      </w:r>
      <w:r>
        <w:rPr/>
        <w:t>horas</w:t>
      </w:r>
      <w:r>
        <w:rPr>
          <w:spacing w:val="-2"/>
        </w:rPr>
        <w:t> </w:t>
      </w:r>
      <w:r>
        <w:rPr/>
        <w:t>ordinarias</w:t>
        <w:tab/>
        <w:t>311.61</w:t>
      </w:r>
    </w:p>
    <w:p>
      <w:pPr>
        <w:spacing w:after="0"/>
        <w:sectPr>
          <w:pgSz w:w="12250" w:h="15850"/>
          <w:pgMar w:header="730" w:footer="0" w:top="1000" w:bottom="280" w:left="860" w:right="820"/>
        </w:sectPr>
      </w:pPr>
    </w:p>
    <w:p>
      <w:pPr>
        <w:pStyle w:val="ListParagraph"/>
        <w:numPr>
          <w:ilvl w:val="1"/>
          <w:numId w:val="36"/>
        </w:numPr>
        <w:tabs>
          <w:tab w:pos="1637" w:val="left" w:leader="none"/>
        </w:tabs>
        <w:spacing w:line="240" w:lineRule="auto" w:before="0" w:after="0"/>
        <w:ind w:left="1569" w:right="38" w:hanging="336"/>
        <w:jc w:val="both"/>
        <w:rPr>
          <w:sz w:val="24"/>
        </w:rPr>
      </w:pPr>
      <w:r>
        <w:rPr/>
        <w:tab/>
      </w:r>
      <w:r>
        <w:rPr>
          <w:sz w:val="24"/>
        </w:rPr>
        <w:t>Por la celebración de matrimonio en la oficina en horas extraordinarias.</w:t>
      </w:r>
    </w:p>
    <w:p>
      <w:pPr>
        <w:pStyle w:val="ListParagraph"/>
        <w:numPr>
          <w:ilvl w:val="1"/>
          <w:numId w:val="36"/>
        </w:numPr>
        <w:tabs>
          <w:tab w:pos="1586" w:val="left" w:leader="none"/>
        </w:tabs>
        <w:spacing w:line="240" w:lineRule="auto" w:before="1" w:after="0"/>
        <w:ind w:left="1569" w:right="41" w:hanging="336"/>
        <w:jc w:val="both"/>
        <w:rPr>
          <w:sz w:val="24"/>
        </w:rPr>
      </w:pPr>
      <w:r>
        <w:rPr>
          <w:sz w:val="24"/>
        </w:rPr>
        <w:t>Por la celebración de matrimonio fuera de la oficina en horas ordinarias, más cuota de</w:t>
      </w:r>
      <w:r>
        <w:rPr>
          <w:spacing w:val="-9"/>
          <w:sz w:val="24"/>
        </w:rPr>
        <w:t> </w:t>
      </w:r>
      <w:r>
        <w:rPr>
          <w:sz w:val="24"/>
        </w:rPr>
        <w:t>traslado.</w:t>
      </w:r>
    </w:p>
    <w:p>
      <w:pPr>
        <w:pStyle w:val="ListParagraph"/>
        <w:numPr>
          <w:ilvl w:val="1"/>
          <w:numId w:val="36"/>
        </w:numPr>
        <w:tabs>
          <w:tab w:pos="1601" w:val="left" w:leader="none"/>
        </w:tabs>
        <w:spacing w:line="240" w:lineRule="auto" w:before="0" w:after="0"/>
        <w:ind w:left="1569" w:right="38" w:hanging="336"/>
        <w:jc w:val="both"/>
        <w:rPr>
          <w:sz w:val="24"/>
        </w:rPr>
      </w:pPr>
      <w:r>
        <w:rPr>
          <w:sz w:val="24"/>
        </w:rPr>
        <w:t>Por la celebración de matrimonio fuera de la oficina, en horas extraordinaria, más cuota de traslado.</w:t>
      </w:r>
    </w:p>
    <w:p>
      <w:pPr>
        <w:pStyle w:val="BodyText"/>
        <w:ind w:right="951"/>
        <w:jc w:val="right"/>
      </w:pPr>
      <w:r>
        <w:rPr/>
        <w:br w:type="column"/>
      </w:r>
      <w:r>
        <w:rPr>
          <w:spacing w:val="-1"/>
        </w:rPr>
        <w:t>800.00</w:t>
      </w:r>
    </w:p>
    <w:p>
      <w:pPr>
        <w:pStyle w:val="BodyText"/>
        <w:rPr>
          <w:sz w:val="26"/>
        </w:rPr>
      </w:pPr>
    </w:p>
    <w:p>
      <w:pPr>
        <w:pStyle w:val="BodyText"/>
        <w:rPr>
          <w:sz w:val="26"/>
        </w:rPr>
      </w:pPr>
    </w:p>
    <w:p>
      <w:pPr>
        <w:pStyle w:val="BodyText"/>
        <w:spacing w:before="231"/>
        <w:ind w:right="951"/>
        <w:jc w:val="right"/>
      </w:pPr>
      <w:r>
        <w:rPr>
          <w:spacing w:val="-1"/>
        </w:rPr>
        <w:t>800.00</w:t>
      </w:r>
    </w:p>
    <w:p>
      <w:pPr>
        <w:pStyle w:val="BodyText"/>
        <w:rPr>
          <w:sz w:val="26"/>
        </w:rPr>
      </w:pPr>
    </w:p>
    <w:p>
      <w:pPr>
        <w:pStyle w:val="BodyText"/>
        <w:rPr>
          <w:sz w:val="22"/>
        </w:rPr>
      </w:pPr>
    </w:p>
    <w:p>
      <w:pPr>
        <w:pStyle w:val="BodyText"/>
        <w:ind w:right="951"/>
        <w:jc w:val="right"/>
      </w:pPr>
      <w:r>
        <w:rPr>
          <w:spacing w:val="-1"/>
        </w:rPr>
        <w:t>1,582.14</w:t>
      </w:r>
    </w:p>
    <w:p>
      <w:pPr>
        <w:spacing w:after="0"/>
        <w:jc w:val="right"/>
        <w:sectPr>
          <w:type w:val="continuous"/>
          <w:pgSz w:w="12250" w:h="15850"/>
          <w:pgMar w:top="840" w:bottom="280" w:left="860" w:right="820"/>
          <w:cols w:num="2" w:equalWidth="0">
            <w:col w:w="5352" w:space="2090"/>
            <w:col w:w="3128"/>
          </w:cols>
        </w:sectPr>
      </w:pPr>
    </w:p>
    <w:p>
      <w:pPr>
        <w:pStyle w:val="ListParagraph"/>
        <w:numPr>
          <w:ilvl w:val="0"/>
          <w:numId w:val="37"/>
        </w:numPr>
        <w:tabs>
          <w:tab w:pos="1570" w:val="left" w:leader="none"/>
          <w:tab w:pos="9608" w:val="right" w:leader="none"/>
        </w:tabs>
        <w:spacing w:line="240" w:lineRule="auto" w:before="0" w:after="0"/>
        <w:ind w:left="1569" w:right="0" w:hanging="337"/>
        <w:jc w:val="left"/>
        <w:rPr>
          <w:sz w:val="24"/>
        </w:rPr>
      </w:pPr>
      <w:r>
        <w:rPr>
          <w:sz w:val="24"/>
        </w:rPr>
        <w:t>Cuota de traslado</w:t>
      </w:r>
      <w:r>
        <w:rPr>
          <w:spacing w:val="-4"/>
          <w:sz w:val="24"/>
        </w:rPr>
        <w:t> </w:t>
      </w:r>
      <w:r>
        <w:rPr>
          <w:sz w:val="24"/>
        </w:rPr>
        <w:t>zona urbana.</w:t>
        <w:tab/>
        <w:t>477.68</w:t>
      </w:r>
    </w:p>
    <w:p>
      <w:pPr>
        <w:pStyle w:val="ListParagraph"/>
        <w:numPr>
          <w:ilvl w:val="0"/>
          <w:numId w:val="37"/>
        </w:numPr>
        <w:tabs>
          <w:tab w:pos="1569" w:val="left" w:leader="none"/>
          <w:tab w:pos="1570" w:val="left" w:leader="none"/>
          <w:tab w:pos="9608" w:val="right" w:leader="none"/>
        </w:tabs>
        <w:spacing w:line="240" w:lineRule="auto" w:before="0" w:after="0"/>
        <w:ind w:left="1569" w:right="0" w:hanging="337"/>
        <w:jc w:val="left"/>
        <w:rPr>
          <w:sz w:val="24"/>
        </w:rPr>
      </w:pPr>
      <w:r>
        <w:rPr>
          <w:sz w:val="24"/>
        </w:rPr>
        <w:t>Cuota de traslado</w:t>
      </w:r>
      <w:r>
        <w:rPr>
          <w:spacing w:val="-4"/>
          <w:sz w:val="24"/>
        </w:rPr>
        <w:t> </w:t>
      </w:r>
      <w:r>
        <w:rPr>
          <w:sz w:val="24"/>
        </w:rPr>
        <w:t>zona rural</w:t>
        <w:tab/>
        <w:t>690.13</w:t>
      </w:r>
    </w:p>
    <w:p>
      <w:pPr>
        <w:pStyle w:val="ListParagraph"/>
        <w:numPr>
          <w:ilvl w:val="0"/>
          <w:numId w:val="37"/>
        </w:numPr>
        <w:tabs>
          <w:tab w:pos="1570" w:val="left" w:leader="none"/>
          <w:tab w:pos="9608" w:val="right" w:leader="none"/>
        </w:tabs>
        <w:spacing w:line="240" w:lineRule="auto" w:before="0" w:after="0"/>
        <w:ind w:left="1569" w:right="0" w:hanging="337"/>
        <w:jc w:val="left"/>
        <w:rPr>
          <w:sz w:val="24"/>
        </w:rPr>
      </w:pPr>
      <w:r>
        <w:rPr>
          <w:sz w:val="24"/>
        </w:rPr>
        <w:t>Por</w:t>
      </w:r>
      <w:r>
        <w:rPr>
          <w:spacing w:val="-1"/>
          <w:sz w:val="24"/>
        </w:rPr>
        <w:t> </w:t>
      </w:r>
      <w:r>
        <w:rPr>
          <w:sz w:val="24"/>
        </w:rPr>
        <w:t>anotación</w:t>
      </w:r>
      <w:r>
        <w:rPr>
          <w:spacing w:val="-2"/>
          <w:sz w:val="24"/>
        </w:rPr>
        <w:t> </w:t>
      </w:r>
      <w:r>
        <w:rPr>
          <w:sz w:val="24"/>
        </w:rPr>
        <w:t>marginal</w:t>
        <w:tab/>
        <w:t>252.68</w:t>
      </w:r>
    </w:p>
    <w:p>
      <w:pPr>
        <w:pStyle w:val="ListParagraph"/>
        <w:numPr>
          <w:ilvl w:val="0"/>
          <w:numId w:val="37"/>
        </w:numPr>
        <w:tabs>
          <w:tab w:pos="1570" w:val="left" w:leader="none"/>
          <w:tab w:pos="9609" w:val="right" w:leader="none"/>
        </w:tabs>
        <w:spacing w:line="240" w:lineRule="auto" w:before="0" w:after="0"/>
        <w:ind w:left="1569" w:right="0" w:hanging="337"/>
        <w:jc w:val="left"/>
        <w:rPr>
          <w:sz w:val="24"/>
        </w:rPr>
      </w:pPr>
      <w:r>
        <w:rPr>
          <w:sz w:val="24"/>
        </w:rPr>
        <w:t>Por constancia</w:t>
      </w:r>
      <w:r>
        <w:rPr>
          <w:spacing w:val="-3"/>
          <w:sz w:val="24"/>
        </w:rPr>
        <w:t> </w:t>
      </w:r>
      <w:r>
        <w:rPr>
          <w:sz w:val="24"/>
        </w:rPr>
        <w:t>de</w:t>
      </w:r>
      <w:r>
        <w:rPr>
          <w:spacing w:val="-2"/>
          <w:sz w:val="24"/>
        </w:rPr>
        <w:t> </w:t>
      </w:r>
      <w:r>
        <w:rPr>
          <w:sz w:val="24"/>
        </w:rPr>
        <w:t>matrimonio</w:t>
        <w:tab/>
        <w:t>91.07</w:t>
      </w:r>
    </w:p>
    <w:p>
      <w:pPr>
        <w:spacing w:after="0" w:line="240" w:lineRule="auto"/>
        <w:jc w:val="left"/>
        <w:rPr>
          <w:sz w:val="24"/>
        </w:rPr>
        <w:sectPr>
          <w:type w:val="continuous"/>
          <w:pgSz w:w="12250" w:h="15850"/>
          <w:pgMar w:top="840" w:bottom="280" w:left="860" w:right="820"/>
        </w:sectPr>
      </w:pPr>
    </w:p>
    <w:p>
      <w:pPr>
        <w:pStyle w:val="ListParagraph"/>
        <w:numPr>
          <w:ilvl w:val="0"/>
          <w:numId w:val="37"/>
        </w:numPr>
        <w:tabs>
          <w:tab w:pos="1588" w:val="left" w:leader="none"/>
          <w:tab w:pos="1589" w:val="left" w:leader="none"/>
        </w:tabs>
        <w:spacing w:line="240" w:lineRule="auto" w:before="1" w:after="0"/>
        <w:ind w:left="1588" w:right="0" w:hanging="356"/>
        <w:jc w:val="left"/>
        <w:rPr>
          <w:sz w:val="24"/>
        </w:rPr>
      </w:pPr>
      <w:r>
        <w:rPr>
          <w:sz w:val="24"/>
        </w:rPr>
        <w:t>Por solicitud de</w:t>
      </w:r>
      <w:r>
        <w:rPr>
          <w:spacing w:val="-6"/>
          <w:sz w:val="24"/>
        </w:rPr>
        <w:t> </w:t>
      </w:r>
      <w:r>
        <w:rPr>
          <w:sz w:val="24"/>
        </w:rPr>
        <w:t>matrimonio</w:t>
      </w:r>
    </w:p>
    <w:p>
      <w:pPr>
        <w:pStyle w:val="ListParagraph"/>
        <w:numPr>
          <w:ilvl w:val="0"/>
          <w:numId w:val="37"/>
        </w:numPr>
        <w:tabs>
          <w:tab w:pos="1653" w:val="left" w:leader="none"/>
          <w:tab w:pos="1654" w:val="left" w:leader="none"/>
        </w:tabs>
        <w:spacing w:line="240" w:lineRule="auto" w:before="0" w:after="0"/>
        <w:ind w:left="1653" w:right="0" w:hanging="421"/>
        <w:jc w:val="left"/>
        <w:rPr>
          <w:sz w:val="24"/>
        </w:rPr>
      </w:pPr>
      <w:r>
        <w:rPr>
          <w:sz w:val="24"/>
        </w:rPr>
        <w:t>Cambio de régimen</w:t>
      </w:r>
      <w:r>
        <w:rPr>
          <w:spacing w:val="-10"/>
          <w:sz w:val="24"/>
        </w:rPr>
        <w:t> </w:t>
      </w:r>
      <w:r>
        <w:rPr>
          <w:sz w:val="24"/>
        </w:rPr>
        <w:t>conyugal</w:t>
      </w:r>
    </w:p>
    <w:p>
      <w:pPr>
        <w:pStyle w:val="BodyText"/>
        <w:spacing w:before="1"/>
        <w:ind w:right="951"/>
        <w:jc w:val="right"/>
      </w:pPr>
      <w:r>
        <w:rPr/>
        <w:br w:type="column"/>
      </w:r>
      <w:r>
        <w:rPr>
          <w:spacing w:val="-1"/>
        </w:rPr>
        <w:t>70.54</w:t>
      </w:r>
    </w:p>
    <w:p>
      <w:pPr>
        <w:pStyle w:val="BodyText"/>
        <w:ind w:right="951"/>
        <w:jc w:val="right"/>
      </w:pPr>
      <w:r>
        <w:rPr>
          <w:spacing w:val="-1"/>
        </w:rPr>
        <w:t>1,318.75</w:t>
      </w:r>
    </w:p>
    <w:p>
      <w:pPr>
        <w:spacing w:after="0"/>
        <w:jc w:val="right"/>
        <w:sectPr>
          <w:type w:val="continuous"/>
          <w:pgSz w:w="12250" w:h="15850"/>
          <w:pgMar w:top="840" w:bottom="280" w:left="860" w:right="820"/>
          <w:cols w:num="2" w:equalWidth="0">
            <w:col w:w="4814" w:space="2628"/>
            <w:col w:w="3128"/>
          </w:cols>
        </w:sectPr>
      </w:pPr>
    </w:p>
    <w:p>
      <w:pPr>
        <w:pStyle w:val="BodyText"/>
      </w:pPr>
    </w:p>
    <w:p>
      <w:pPr>
        <w:pStyle w:val="Heading1"/>
        <w:numPr>
          <w:ilvl w:val="0"/>
          <w:numId w:val="36"/>
        </w:numPr>
        <w:tabs>
          <w:tab w:pos="669" w:val="left" w:leader="none"/>
        </w:tabs>
        <w:spacing w:line="240" w:lineRule="auto" w:before="0" w:after="0"/>
        <w:ind w:left="668" w:right="0" w:hanging="269"/>
        <w:jc w:val="left"/>
      </w:pPr>
      <w:r>
        <w:rPr/>
        <w:t>Divorcios:</w:t>
      </w:r>
    </w:p>
    <w:p>
      <w:pPr>
        <w:pStyle w:val="BodyText"/>
        <w:rPr>
          <w:b/>
        </w:rPr>
      </w:pPr>
    </w:p>
    <w:p>
      <w:pPr>
        <w:pStyle w:val="BodyText"/>
        <w:tabs>
          <w:tab w:pos="8394" w:val="left" w:leader="none"/>
        </w:tabs>
        <w:ind w:right="611"/>
        <w:jc w:val="right"/>
      </w:pPr>
      <w:r>
        <w:rPr/>
        <w:t>Concepto</w:t>
        <w:tab/>
      </w:r>
      <w:r>
        <w:rPr>
          <w:spacing w:val="-1"/>
        </w:rPr>
        <w:t>Importe</w:t>
      </w:r>
    </w:p>
    <w:p>
      <w:pPr>
        <w:pStyle w:val="BodyText"/>
        <w:ind w:right="609"/>
        <w:jc w:val="right"/>
      </w:pPr>
      <w:r>
        <w:rPr>
          <w:spacing w:val="-1"/>
        </w:rPr>
        <w:t>Pesos</w:t>
      </w:r>
    </w:p>
    <w:p>
      <w:pPr>
        <w:pStyle w:val="ListParagraph"/>
        <w:numPr>
          <w:ilvl w:val="0"/>
          <w:numId w:val="38"/>
        </w:numPr>
        <w:tabs>
          <w:tab w:pos="1525" w:val="left" w:leader="none"/>
          <w:tab w:pos="1526" w:val="left" w:leader="none"/>
          <w:tab w:pos="9214" w:val="left" w:leader="none"/>
        </w:tabs>
        <w:spacing w:line="275" w:lineRule="exact" w:before="0" w:after="0"/>
        <w:ind w:left="1526" w:right="0" w:hanging="512"/>
        <w:jc w:val="left"/>
        <w:rPr>
          <w:sz w:val="24"/>
        </w:rPr>
      </w:pPr>
      <w:r>
        <w:rPr>
          <w:sz w:val="24"/>
        </w:rPr>
        <w:t>Por la solicitud de</w:t>
      </w:r>
      <w:r>
        <w:rPr>
          <w:spacing w:val="-5"/>
          <w:sz w:val="24"/>
        </w:rPr>
        <w:t> </w:t>
      </w:r>
      <w:r>
        <w:rPr>
          <w:sz w:val="24"/>
        </w:rPr>
        <w:t>divorcio</w:t>
      </w:r>
      <w:r>
        <w:rPr>
          <w:spacing w:val="-1"/>
          <w:sz w:val="24"/>
        </w:rPr>
        <w:t> </w:t>
      </w:r>
      <w:r>
        <w:rPr>
          <w:sz w:val="24"/>
        </w:rPr>
        <w:t>administrativo</w:t>
        <w:tab/>
        <w:t>407.14</w:t>
      </w:r>
    </w:p>
    <w:p>
      <w:pPr>
        <w:pStyle w:val="ListParagraph"/>
        <w:numPr>
          <w:ilvl w:val="0"/>
          <w:numId w:val="38"/>
        </w:numPr>
        <w:tabs>
          <w:tab w:pos="1525" w:val="left" w:leader="none"/>
          <w:tab w:pos="1526" w:val="left" w:leader="none"/>
        </w:tabs>
        <w:spacing w:line="275" w:lineRule="exact" w:before="0" w:after="0"/>
        <w:ind w:left="1526" w:right="0" w:hanging="512"/>
        <w:jc w:val="left"/>
        <w:rPr>
          <w:sz w:val="24"/>
        </w:rPr>
      </w:pPr>
      <w:r>
        <w:rPr>
          <w:sz w:val="24"/>
        </w:rPr>
        <w:t>Por</w:t>
      </w:r>
      <w:r>
        <w:rPr>
          <w:spacing w:val="37"/>
          <w:sz w:val="24"/>
        </w:rPr>
        <w:t> </w:t>
      </w:r>
      <w:r>
        <w:rPr>
          <w:sz w:val="24"/>
        </w:rPr>
        <w:t>acta</w:t>
      </w:r>
      <w:r>
        <w:rPr>
          <w:spacing w:val="36"/>
          <w:sz w:val="24"/>
        </w:rPr>
        <w:t> </w:t>
      </w:r>
      <w:r>
        <w:rPr>
          <w:sz w:val="24"/>
        </w:rPr>
        <w:t>de</w:t>
      </w:r>
      <w:r>
        <w:rPr>
          <w:spacing w:val="36"/>
          <w:sz w:val="24"/>
        </w:rPr>
        <w:t> </w:t>
      </w:r>
      <w:r>
        <w:rPr>
          <w:sz w:val="24"/>
        </w:rPr>
        <w:t>divorcio</w:t>
      </w:r>
      <w:r>
        <w:rPr>
          <w:spacing w:val="37"/>
          <w:sz w:val="24"/>
        </w:rPr>
        <w:t> </w:t>
      </w:r>
      <w:r>
        <w:rPr>
          <w:sz w:val="24"/>
        </w:rPr>
        <w:t>administrativo</w:t>
      </w:r>
      <w:r>
        <w:rPr>
          <w:spacing w:val="36"/>
          <w:sz w:val="24"/>
        </w:rPr>
        <w:t> </w:t>
      </w:r>
      <w:r>
        <w:rPr>
          <w:sz w:val="24"/>
        </w:rPr>
        <w:t>en</w:t>
      </w:r>
      <w:r>
        <w:rPr>
          <w:spacing w:val="36"/>
          <w:sz w:val="24"/>
        </w:rPr>
        <w:t> </w:t>
      </w:r>
      <w:r>
        <w:rPr>
          <w:sz w:val="24"/>
        </w:rPr>
        <w:t>la</w:t>
      </w:r>
      <w:r>
        <w:rPr>
          <w:spacing w:val="36"/>
          <w:sz w:val="24"/>
        </w:rPr>
        <w:t> </w:t>
      </w:r>
      <w:r>
        <w:rPr>
          <w:sz w:val="24"/>
        </w:rPr>
        <w:t>oficina,</w:t>
      </w:r>
      <w:r>
        <w:rPr>
          <w:spacing w:val="39"/>
          <w:sz w:val="24"/>
        </w:rPr>
        <w:t> </w:t>
      </w:r>
      <w:r>
        <w:rPr>
          <w:sz w:val="24"/>
        </w:rPr>
        <w:t>en</w:t>
      </w:r>
      <w:r>
        <w:rPr>
          <w:spacing w:val="36"/>
          <w:sz w:val="24"/>
        </w:rPr>
        <w:t> </w:t>
      </w:r>
      <w:r>
        <w:rPr>
          <w:sz w:val="24"/>
        </w:rPr>
        <w:t>horas</w:t>
      </w:r>
    </w:p>
    <w:p>
      <w:pPr>
        <w:pStyle w:val="BodyText"/>
        <w:tabs>
          <w:tab w:pos="9015" w:val="left" w:leader="none"/>
        </w:tabs>
        <w:ind w:left="1526"/>
      </w:pPr>
      <w:r>
        <w:rPr/>
        <w:t>ordinarias</w:t>
        <w:tab/>
        <w:t>1,856.25</w:t>
      </w:r>
    </w:p>
    <w:p>
      <w:pPr>
        <w:pStyle w:val="ListParagraph"/>
        <w:numPr>
          <w:ilvl w:val="0"/>
          <w:numId w:val="38"/>
        </w:numPr>
        <w:tabs>
          <w:tab w:pos="1525" w:val="left" w:leader="none"/>
          <w:tab w:pos="1526" w:val="left" w:leader="none"/>
        </w:tabs>
        <w:spacing w:line="240" w:lineRule="auto" w:before="0" w:after="0"/>
        <w:ind w:left="1526" w:right="0" w:hanging="512"/>
        <w:jc w:val="left"/>
        <w:rPr>
          <w:sz w:val="24"/>
        </w:rPr>
      </w:pPr>
      <w:r>
        <w:rPr>
          <w:sz w:val="24"/>
        </w:rPr>
        <w:t>Por</w:t>
      </w:r>
      <w:r>
        <w:rPr>
          <w:spacing w:val="32"/>
          <w:sz w:val="24"/>
        </w:rPr>
        <w:t> </w:t>
      </w:r>
      <w:r>
        <w:rPr>
          <w:sz w:val="24"/>
        </w:rPr>
        <w:t>acta</w:t>
      </w:r>
      <w:r>
        <w:rPr>
          <w:spacing w:val="32"/>
          <w:sz w:val="24"/>
        </w:rPr>
        <w:t> </w:t>
      </w:r>
      <w:r>
        <w:rPr>
          <w:sz w:val="24"/>
        </w:rPr>
        <w:t>de</w:t>
      </w:r>
      <w:r>
        <w:rPr>
          <w:spacing w:val="33"/>
          <w:sz w:val="24"/>
        </w:rPr>
        <w:t> </w:t>
      </w:r>
      <w:r>
        <w:rPr>
          <w:sz w:val="24"/>
        </w:rPr>
        <w:t>divorcio</w:t>
      </w:r>
      <w:r>
        <w:rPr>
          <w:spacing w:val="32"/>
          <w:sz w:val="24"/>
        </w:rPr>
        <w:t> </w:t>
      </w:r>
      <w:r>
        <w:rPr>
          <w:sz w:val="24"/>
        </w:rPr>
        <w:t>administrativo</w:t>
      </w:r>
      <w:r>
        <w:rPr>
          <w:spacing w:val="33"/>
          <w:sz w:val="24"/>
        </w:rPr>
        <w:t> </w:t>
      </w:r>
      <w:r>
        <w:rPr>
          <w:sz w:val="24"/>
        </w:rPr>
        <w:t>en</w:t>
      </w:r>
      <w:r>
        <w:rPr>
          <w:spacing w:val="34"/>
          <w:sz w:val="24"/>
        </w:rPr>
        <w:t> </w:t>
      </w:r>
      <w:r>
        <w:rPr>
          <w:sz w:val="24"/>
        </w:rPr>
        <w:t>la</w:t>
      </w:r>
      <w:r>
        <w:rPr>
          <w:spacing w:val="33"/>
          <w:sz w:val="24"/>
        </w:rPr>
        <w:t> </w:t>
      </w:r>
      <w:r>
        <w:rPr>
          <w:sz w:val="24"/>
        </w:rPr>
        <w:t>oficina,</w:t>
      </w:r>
      <w:r>
        <w:rPr>
          <w:spacing w:val="33"/>
          <w:sz w:val="24"/>
        </w:rPr>
        <w:t> </w:t>
      </w:r>
      <w:r>
        <w:rPr>
          <w:sz w:val="24"/>
        </w:rPr>
        <w:t>en</w:t>
      </w:r>
      <w:r>
        <w:rPr>
          <w:spacing w:val="32"/>
          <w:sz w:val="24"/>
        </w:rPr>
        <w:t> </w:t>
      </w:r>
      <w:r>
        <w:rPr>
          <w:sz w:val="24"/>
        </w:rPr>
        <w:t>horas</w:t>
      </w:r>
    </w:p>
    <w:p>
      <w:pPr>
        <w:pStyle w:val="BodyText"/>
        <w:tabs>
          <w:tab w:pos="9181" w:val="left" w:leader="none"/>
        </w:tabs>
        <w:ind w:left="1526"/>
      </w:pPr>
      <w:r>
        <w:rPr/>
        <w:t>extraordinarias</w:t>
        <w:tab/>
        <w:t>3,049.1</w:t>
      </w:r>
    </w:p>
    <w:p>
      <w:pPr>
        <w:spacing w:after="0"/>
        <w:sectPr>
          <w:type w:val="continuous"/>
          <w:pgSz w:w="12250" w:h="15850"/>
          <w:pgMar w:top="840" w:bottom="280" w:left="860" w:right="820"/>
        </w:sectPr>
      </w:pPr>
    </w:p>
    <w:p>
      <w:pPr>
        <w:pStyle w:val="ListParagraph"/>
        <w:numPr>
          <w:ilvl w:val="0"/>
          <w:numId w:val="38"/>
        </w:numPr>
        <w:tabs>
          <w:tab w:pos="1525" w:val="left" w:leader="none"/>
          <w:tab w:pos="1526" w:val="left" w:leader="none"/>
        </w:tabs>
        <w:spacing w:line="240" w:lineRule="auto" w:before="1" w:after="0"/>
        <w:ind w:left="1526" w:right="38" w:hanging="512"/>
        <w:jc w:val="left"/>
        <w:rPr>
          <w:sz w:val="24"/>
        </w:rPr>
      </w:pPr>
      <w:r>
        <w:rPr>
          <w:sz w:val="24"/>
        </w:rPr>
        <w:t>Por actas de divorcio administrativo fuera de la oficina a cualquier</w:t>
      </w:r>
      <w:r>
        <w:rPr>
          <w:spacing w:val="-3"/>
          <w:sz w:val="24"/>
        </w:rPr>
        <w:t> </w:t>
      </w:r>
      <w:r>
        <w:rPr>
          <w:sz w:val="24"/>
        </w:rPr>
        <w:t>hora.</w:t>
      </w:r>
    </w:p>
    <w:p>
      <w:pPr>
        <w:pStyle w:val="BodyText"/>
        <w:spacing w:before="1"/>
        <w:ind w:left="1014"/>
      </w:pPr>
      <w:r>
        <w:rPr/>
        <w:br w:type="column"/>
      </w:r>
      <w:r>
        <w:rPr/>
        <w:t>3557.14</w:t>
      </w:r>
    </w:p>
    <w:p>
      <w:pPr>
        <w:spacing w:after="0"/>
        <w:sectPr>
          <w:type w:val="continuous"/>
          <w:pgSz w:w="12250" w:h="15850"/>
          <w:pgMar w:top="840" w:bottom="280" w:left="860" w:right="820"/>
          <w:cols w:num="2" w:equalWidth="0">
            <w:col w:w="7957" w:space="140"/>
            <w:col w:w="2473"/>
          </w:cols>
        </w:sectPr>
      </w:pPr>
    </w:p>
    <w:p>
      <w:pPr>
        <w:pStyle w:val="ListParagraph"/>
        <w:numPr>
          <w:ilvl w:val="0"/>
          <w:numId w:val="38"/>
        </w:numPr>
        <w:tabs>
          <w:tab w:pos="1525" w:val="left" w:leader="none"/>
          <w:tab w:pos="1526" w:val="left" w:leader="none"/>
          <w:tab w:pos="9980" w:val="right" w:leader="none"/>
        </w:tabs>
        <w:spacing w:line="240" w:lineRule="auto" w:before="0" w:after="0"/>
        <w:ind w:left="1526" w:right="0" w:hanging="512"/>
        <w:jc w:val="left"/>
        <w:rPr>
          <w:sz w:val="24"/>
        </w:rPr>
      </w:pPr>
      <w:r>
        <w:rPr>
          <w:sz w:val="24"/>
        </w:rPr>
        <w:t>Cuota de traslado</w:t>
      </w:r>
      <w:r>
        <w:rPr>
          <w:spacing w:val="-4"/>
          <w:sz w:val="24"/>
        </w:rPr>
        <w:t> </w:t>
      </w:r>
      <w:r>
        <w:rPr>
          <w:sz w:val="24"/>
        </w:rPr>
        <w:t>zona Urbana</w:t>
        <w:tab/>
        <w:t>477.68</w:t>
      </w:r>
    </w:p>
    <w:p>
      <w:pPr>
        <w:pStyle w:val="ListParagraph"/>
        <w:numPr>
          <w:ilvl w:val="0"/>
          <w:numId w:val="38"/>
        </w:numPr>
        <w:tabs>
          <w:tab w:pos="1525" w:val="left" w:leader="none"/>
          <w:tab w:pos="1526" w:val="left" w:leader="none"/>
          <w:tab w:pos="9980" w:val="right" w:leader="none"/>
        </w:tabs>
        <w:spacing w:line="240" w:lineRule="auto" w:before="0" w:after="0"/>
        <w:ind w:left="1526" w:right="0" w:hanging="512"/>
        <w:jc w:val="left"/>
        <w:rPr>
          <w:sz w:val="24"/>
        </w:rPr>
      </w:pPr>
      <w:r>
        <w:rPr>
          <w:sz w:val="24"/>
        </w:rPr>
        <w:t>Cuota de traslado</w:t>
      </w:r>
      <w:r>
        <w:rPr>
          <w:spacing w:val="-4"/>
          <w:sz w:val="24"/>
        </w:rPr>
        <w:t> </w:t>
      </w:r>
      <w:r>
        <w:rPr>
          <w:sz w:val="24"/>
        </w:rPr>
        <w:t>zona Rural</w:t>
        <w:tab/>
        <w:t>690.18</w:t>
      </w:r>
    </w:p>
    <w:p>
      <w:pPr>
        <w:pStyle w:val="ListParagraph"/>
        <w:numPr>
          <w:ilvl w:val="0"/>
          <w:numId w:val="38"/>
        </w:numPr>
        <w:tabs>
          <w:tab w:pos="1525" w:val="left" w:leader="none"/>
          <w:tab w:pos="1526" w:val="left" w:leader="none"/>
          <w:tab w:pos="9046" w:val="left" w:leader="none"/>
        </w:tabs>
        <w:spacing w:line="240" w:lineRule="auto" w:before="0" w:after="0"/>
        <w:ind w:left="1526" w:right="0" w:hanging="512"/>
        <w:jc w:val="left"/>
        <w:rPr>
          <w:sz w:val="24"/>
        </w:rPr>
      </w:pPr>
      <w:r>
        <w:rPr>
          <w:sz w:val="24"/>
        </w:rPr>
        <w:t>Por acta de</w:t>
      </w:r>
      <w:r>
        <w:rPr>
          <w:spacing w:val="-5"/>
          <w:sz w:val="24"/>
        </w:rPr>
        <w:t> </w:t>
      </w:r>
      <w:r>
        <w:rPr>
          <w:sz w:val="24"/>
        </w:rPr>
        <w:t>divorcio</w:t>
      </w:r>
      <w:r>
        <w:rPr>
          <w:spacing w:val="-2"/>
          <w:sz w:val="24"/>
        </w:rPr>
        <w:t> </w:t>
      </w:r>
      <w:r>
        <w:rPr>
          <w:sz w:val="24"/>
        </w:rPr>
        <w:t>judicial</w:t>
        <w:tab/>
        <w:t>1,465.18</w:t>
      </w:r>
    </w:p>
    <w:p>
      <w:pPr>
        <w:spacing w:after="0" w:line="240" w:lineRule="auto"/>
        <w:jc w:val="left"/>
        <w:rPr>
          <w:sz w:val="24"/>
        </w:rPr>
        <w:sectPr>
          <w:type w:val="continuous"/>
          <w:pgSz w:w="12250" w:h="15850"/>
          <w:pgMar w:top="840" w:bottom="280" w:left="860" w:right="820"/>
        </w:sectPr>
      </w:pPr>
    </w:p>
    <w:p>
      <w:pPr>
        <w:pStyle w:val="ListParagraph"/>
        <w:numPr>
          <w:ilvl w:val="0"/>
          <w:numId w:val="38"/>
        </w:numPr>
        <w:tabs>
          <w:tab w:pos="1525" w:val="left" w:leader="none"/>
          <w:tab w:pos="1526" w:val="left" w:leader="none"/>
        </w:tabs>
        <w:spacing w:line="240" w:lineRule="auto" w:before="0" w:after="0"/>
        <w:ind w:left="1526" w:right="38" w:hanging="512"/>
        <w:jc w:val="left"/>
        <w:rPr>
          <w:sz w:val="24"/>
        </w:rPr>
      </w:pPr>
      <w:r>
        <w:rPr>
          <w:sz w:val="24"/>
        </w:rPr>
        <w:t>Anotación marginal de divorcio en el acta de matrimonio respectiva</w:t>
      </w:r>
    </w:p>
    <w:p>
      <w:pPr>
        <w:pStyle w:val="BodyText"/>
        <w:ind w:left="1014"/>
      </w:pPr>
      <w:r>
        <w:rPr/>
        <w:br w:type="column"/>
      </w:r>
      <w:r>
        <w:rPr/>
        <w:t>355.36</w:t>
      </w:r>
    </w:p>
    <w:p>
      <w:pPr>
        <w:spacing w:after="0"/>
        <w:sectPr>
          <w:type w:val="continuous"/>
          <w:pgSz w:w="12250" w:h="15850"/>
          <w:pgMar w:top="840" w:bottom="280" w:left="860" w:right="820"/>
          <w:cols w:num="2" w:equalWidth="0">
            <w:col w:w="7956" w:space="275"/>
            <w:col w:w="2339"/>
          </w:cols>
        </w:sectPr>
      </w:pPr>
    </w:p>
    <w:p>
      <w:pPr>
        <w:pStyle w:val="ListParagraph"/>
        <w:numPr>
          <w:ilvl w:val="0"/>
          <w:numId w:val="38"/>
        </w:numPr>
        <w:tabs>
          <w:tab w:pos="1525" w:val="left" w:leader="none"/>
          <w:tab w:pos="1526" w:val="left" w:leader="none"/>
          <w:tab w:pos="9980" w:val="right" w:leader="none"/>
        </w:tabs>
        <w:spacing w:line="240" w:lineRule="auto" w:before="0" w:after="0"/>
        <w:ind w:left="1526" w:right="0" w:hanging="512"/>
        <w:jc w:val="left"/>
        <w:rPr>
          <w:sz w:val="24"/>
        </w:rPr>
      </w:pPr>
      <w:r>
        <w:rPr>
          <w:sz w:val="24"/>
        </w:rPr>
        <w:t>Forma para</w:t>
      </w:r>
      <w:r>
        <w:rPr>
          <w:spacing w:val="-5"/>
          <w:sz w:val="24"/>
        </w:rPr>
        <w:t> </w:t>
      </w:r>
      <w:r>
        <w:rPr>
          <w:sz w:val="24"/>
        </w:rPr>
        <w:t>asentar divorcio</w:t>
        <w:tab/>
        <w:t>146.43</w:t>
      </w:r>
    </w:p>
    <w:p>
      <w:pPr>
        <w:spacing w:after="0" w:line="240" w:lineRule="auto"/>
        <w:jc w:val="left"/>
        <w:rPr>
          <w:sz w:val="24"/>
        </w:rPr>
        <w:sectPr>
          <w:type w:val="continuous"/>
          <w:pgSz w:w="12250" w:h="15850"/>
          <w:pgMar w:top="840" w:bottom="280" w:left="860" w:right="820"/>
        </w:sectPr>
      </w:pPr>
    </w:p>
    <w:p>
      <w:pPr>
        <w:pStyle w:val="Heading1"/>
        <w:numPr>
          <w:ilvl w:val="0"/>
          <w:numId w:val="36"/>
        </w:numPr>
        <w:tabs>
          <w:tab w:pos="1019" w:val="left" w:leader="none"/>
        </w:tabs>
        <w:spacing w:line="240" w:lineRule="auto" w:before="183" w:after="0"/>
        <w:ind w:left="1018" w:right="0" w:hanging="336"/>
        <w:jc w:val="left"/>
      </w:pPr>
      <w:r>
        <w:rPr/>
        <w:t>Nacimientos</w:t>
      </w:r>
    </w:p>
    <w:p>
      <w:pPr>
        <w:pStyle w:val="BodyText"/>
        <w:tabs>
          <w:tab w:pos="5772" w:val="left" w:leader="none"/>
        </w:tabs>
        <w:spacing w:before="276"/>
        <w:ind w:right="519"/>
        <w:jc w:val="right"/>
      </w:pPr>
      <w:r>
        <w:rPr/>
        <w:t>Concepto</w:t>
        <w:tab/>
      </w:r>
      <w:r>
        <w:rPr>
          <w:spacing w:val="-1"/>
        </w:rPr>
        <w:t>Importe</w:t>
      </w:r>
    </w:p>
    <w:p>
      <w:pPr>
        <w:pStyle w:val="BodyText"/>
        <w:ind w:right="583"/>
        <w:jc w:val="right"/>
      </w:pPr>
      <w:r>
        <w:rPr/>
        <w:t>Pesos</w:t>
      </w:r>
    </w:p>
    <w:p>
      <w:pPr>
        <w:pStyle w:val="ListParagraph"/>
        <w:numPr>
          <w:ilvl w:val="1"/>
          <w:numId w:val="36"/>
        </w:numPr>
        <w:tabs>
          <w:tab w:pos="1685" w:val="left" w:leader="none"/>
        </w:tabs>
        <w:spacing w:line="240" w:lineRule="auto" w:before="0" w:after="0"/>
        <w:ind w:left="1684" w:right="0" w:hanging="361"/>
        <w:jc w:val="left"/>
        <w:rPr>
          <w:sz w:val="24"/>
        </w:rPr>
      </w:pPr>
      <w:r>
        <w:rPr>
          <w:sz w:val="24"/>
        </w:rPr>
        <w:t>Registro</w:t>
      </w:r>
      <w:r>
        <w:rPr>
          <w:spacing w:val="16"/>
          <w:sz w:val="24"/>
        </w:rPr>
        <w:t> </w:t>
      </w:r>
      <w:r>
        <w:rPr>
          <w:sz w:val="24"/>
        </w:rPr>
        <w:t>de</w:t>
      </w:r>
      <w:r>
        <w:rPr>
          <w:spacing w:val="18"/>
          <w:sz w:val="24"/>
        </w:rPr>
        <w:t> </w:t>
      </w:r>
      <w:r>
        <w:rPr>
          <w:sz w:val="24"/>
        </w:rPr>
        <w:t>nacimiento</w:t>
      </w:r>
      <w:r>
        <w:rPr>
          <w:spacing w:val="19"/>
          <w:sz w:val="24"/>
        </w:rPr>
        <w:t> </w:t>
      </w:r>
      <w:r>
        <w:rPr>
          <w:sz w:val="24"/>
        </w:rPr>
        <w:t>y</w:t>
      </w:r>
      <w:r>
        <w:rPr>
          <w:spacing w:val="17"/>
          <w:sz w:val="24"/>
        </w:rPr>
        <w:t> </w:t>
      </w:r>
      <w:r>
        <w:rPr>
          <w:sz w:val="24"/>
        </w:rPr>
        <w:t>expedición</w:t>
      </w:r>
      <w:r>
        <w:rPr>
          <w:spacing w:val="16"/>
          <w:sz w:val="24"/>
        </w:rPr>
        <w:t> </w:t>
      </w:r>
      <w:r>
        <w:rPr>
          <w:sz w:val="24"/>
        </w:rPr>
        <w:t>de</w:t>
      </w:r>
      <w:r>
        <w:rPr>
          <w:spacing w:val="18"/>
          <w:sz w:val="24"/>
        </w:rPr>
        <w:t> </w:t>
      </w:r>
      <w:r>
        <w:rPr>
          <w:sz w:val="24"/>
        </w:rPr>
        <w:t>certificación</w:t>
      </w:r>
      <w:r>
        <w:rPr>
          <w:spacing w:val="17"/>
          <w:sz w:val="24"/>
        </w:rPr>
        <w:t> </w:t>
      </w:r>
      <w:r>
        <w:rPr>
          <w:sz w:val="24"/>
        </w:rPr>
        <w:t>de</w:t>
      </w:r>
      <w:r>
        <w:rPr>
          <w:spacing w:val="17"/>
          <w:sz w:val="24"/>
        </w:rPr>
        <w:t> </w:t>
      </w:r>
      <w:r>
        <w:rPr>
          <w:sz w:val="24"/>
        </w:rPr>
        <w:t>acta</w:t>
      </w:r>
    </w:p>
    <w:p>
      <w:pPr>
        <w:pStyle w:val="BodyText"/>
        <w:tabs>
          <w:tab w:pos="9380" w:val="left" w:leader="none"/>
        </w:tabs>
        <w:ind w:left="1684"/>
      </w:pPr>
      <w:r>
        <w:rPr/>
        <w:t>por</w:t>
      </w:r>
      <w:r>
        <w:rPr>
          <w:spacing w:val="-1"/>
        </w:rPr>
        <w:t> </w:t>
      </w:r>
      <w:r>
        <w:rPr/>
        <w:t>primera</w:t>
      </w:r>
      <w:r>
        <w:rPr>
          <w:spacing w:val="-1"/>
        </w:rPr>
        <w:t> </w:t>
      </w:r>
      <w:r>
        <w:rPr/>
        <w:t>vez.</w:t>
        <w:tab/>
        <w:t>Exento</w:t>
      </w:r>
    </w:p>
    <w:p>
      <w:pPr>
        <w:pStyle w:val="ListParagraph"/>
        <w:numPr>
          <w:ilvl w:val="1"/>
          <w:numId w:val="36"/>
        </w:numPr>
        <w:tabs>
          <w:tab w:pos="1685" w:val="left" w:leader="none"/>
        </w:tabs>
        <w:spacing w:line="240" w:lineRule="auto" w:before="0" w:after="0"/>
        <w:ind w:left="1684" w:right="2351" w:hanging="360"/>
        <w:jc w:val="left"/>
        <w:rPr>
          <w:sz w:val="24"/>
        </w:rPr>
      </w:pPr>
      <w:r>
        <w:rPr/>
        <w:drawing>
          <wp:anchor distT="0" distB="0" distL="0" distR="0" allowOverlap="1" layoutInCell="1" locked="0" behindDoc="1" simplePos="0" relativeHeight="227504128">
            <wp:simplePos x="0" y="0"/>
            <wp:positionH relativeFrom="page">
              <wp:posOffset>1239220</wp:posOffset>
            </wp:positionH>
            <wp:positionV relativeFrom="paragraph">
              <wp:posOffset>242517</wp:posOffset>
            </wp:positionV>
            <wp:extent cx="5022641" cy="5144769"/>
            <wp:effectExtent l="0" t="0" r="0" b="0"/>
            <wp:wrapNone/>
            <wp:docPr id="71" name="image31.png"/>
            <wp:cNvGraphicFramePr>
              <a:graphicFrameLocks noChangeAspect="1"/>
            </wp:cNvGraphicFramePr>
            <a:graphic>
              <a:graphicData uri="http://schemas.openxmlformats.org/drawingml/2006/picture">
                <pic:pic>
                  <pic:nvPicPr>
                    <pic:cNvPr id="72" name="image31.png"/>
                    <pic:cNvPicPr/>
                  </pic:nvPicPr>
                  <pic:blipFill>
                    <a:blip r:embed="rId41" cstate="print"/>
                    <a:stretch>
                      <a:fillRect/>
                    </a:stretch>
                  </pic:blipFill>
                  <pic:spPr>
                    <a:xfrm>
                      <a:off x="0" y="0"/>
                      <a:ext cx="5022641" cy="5144769"/>
                    </a:xfrm>
                    <a:prstGeom prst="rect">
                      <a:avLst/>
                    </a:prstGeom>
                  </pic:spPr>
                </pic:pic>
              </a:graphicData>
            </a:graphic>
          </wp:anchor>
        </w:drawing>
      </w:r>
      <w:r>
        <w:rPr>
          <w:sz w:val="24"/>
        </w:rPr>
        <w:t>Gastos de traslado para el registro de nacimiento fuera de la oficina en horas</w:t>
      </w:r>
      <w:r>
        <w:rPr>
          <w:spacing w:val="-4"/>
          <w:sz w:val="24"/>
        </w:rPr>
        <w:t> </w:t>
      </w:r>
      <w:r>
        <w:rPr>
          <w:sz w:val="24"/>
        </w:rPr>
        <w:t>ordinarias:</w:t>
      </w:r>
    </w:p>
    <w:p>
      <w:pPr>
        <w:pStyle w:val="ListParagraph"/>
        <w:numPr>
          <w:ilvl w:val="2"/>
          <w:numId w:val="36"/>
        </w:numPr>
        <w:tabs>
          <w:tab w:pos="2205" w:val="left" w:leader="none"/>
          <w:tab w:pos="9392" w:val="left" w:leader="none"/>
        </w:tabs>
        <w:spacing w:line="240" w:lineRule="auto" w:before="0" w:after="0"/>
        <w:ind w:left="2204" w:right="0" w:hanging="269"/>
        <w:jc w:val="left"/>
        <w:rPr>
          <w:sz w:val="24"/>
        </w:rPr>
      </w:pPr>
      <w:r>
        <w:rPr>
          <w:sz w:val="24"/>
        </w:rPr>
        <w:t>Cuota de traslado</w:t>
      </w:r>
      <w:r>
        <w:rPr>
          <w:spacing w:val="-8"/>
          <w:sz w:val="24"/>
        </w:rPr>
        <w:t> </w:t>
      </w:r>
      <w:r>
        <w:rPr>
          <w:sz w:val="24"/>
        </w:rPr>
        <w:t>zona</w:t>
      </w:r>
      <w:r>
        <w:rPr>
          <w:spacing w:val="-3"/>
          <w:sz w:val="24"/>
        </w:rPr>
        <w:t> </w:t>
      </w:r>
      <w:r>
        <w:rPr>
          <w:sz w:val="24"/>
        </w:rPr>
        <w:t>urbana</w:t>
        <w:tab/>
        <w:t>327.68</w:t>
      </w:r>
    </w:p>
    <w:p>
      <w:pPr>
        <w:pStyle w:val="ListParagraph"/>
        <w:numPr>
          <w:ilvl w:val="2"/>
          <w:numId w:val="36"/>
        </w:numPr>
        <w:tabs>
          <w:tab w:pos="2205" w:val="left" w:leader="none"/>
          <w:tab w:pos="9392" w:val="left" w:leader="none"/>
        </w:tabs>
        <w:spacing w:line="240" w:lineRule="auto" w:before="0" w:after="0"/>
        <w:ind w:left="2204" w:right="0" w:hanging="269"/>
        <w:jc w:val="left"/>
        <w:rPr>
          <w:sz w:val="24"/>
        </w:rPr>
      </w:pPr>
      <w:r>
        <w:rPr>
          <w:sz w:val="24"/>
        </w:rPr>
        <w:t>Cuota de traslado</w:t>
      </w:r>
      <w:r>
        <w:rPr>
          <w:spacing w:val="-9"/>
          <w:sz w:val="24"/>
        </w:rPr>
        <w:t> </w:t>
      </w:r>
      <w:r>
        <w:rPr>
          <w:sz w:val="24"/>
        </w:rPr>
        <w:t>zona</w:t>
      </w:r>
      <w:r>
        <w:rPr>
          <w:spacing w:val="-1"/>
          <w:sz w:val="24"/>
        </w:rPr>
        <w:t> </w:t>
      </w:r>
      <w:r>
        <w:rPr>
          <w:sz w:val="24"/>
        </w:rPr>
        <w:t>rural</w:t>
        <w:tab/>
        <w:t>437.50</w:t>
      </w:r>
    </w:p>
    <w:p>
      <w:pPr>
        <w:pStyle w:val="ListParagraph"/>
        <w:numPr>
          <w:ilvl w:val="1"/>
          <w:numId w:val="36"/>
        </w:numPr>
        <w:tabs>
          <w:tab w:pos="1685" w:val="left" w:leader="none"/>
        </w:tabs>
        <w:spacing w:line="240" w:lineRule="auto" w:before="0" w:after="0"/>
        <w:ind w:left="1684" w:right="2358" w:hanging="360"/>
        <w:jc w:val="left"/>
        <w:rPr>
          <w:sz w:val="24"/>
        </w:rPr>
      </w:pPr>
      <w:r>
        <w:rPr>
          <w:sz w:val="24"/>
        </w:rPr>
        <w:t>Servicio correspondiente al registro de nacimiento fuera de  la oficina, en horas</w:t>
      </w:r>
      <w:r>
        <w:rPr>
          <w:spacing w:val="-3"/>
          <w:sz w:val="24"/>
        </w:rPr>
        <w:t> </w:t>
      </w:r>
      <w:r>
        <w:rPr>
          <w:sz w:val="24"/>
        </w:rPr>
        <w:t>extraordinarias</w:t>
      </w:r>
    </w:p>
    <w:p>
      <w:pPr>
        <w:pStyle w:val="ListParagraph"/>
        <w:numPr>
          <w:ilvl w:val="2"/>
          <w:numId w:val="36"/>
        </w:numPr>
        <w:tabs>
          <w:tab w:pos="2205" w:val="left" w:leader="none"/>
          <w:tab w:pos="9392" w:val="left" w:leader="none"/>
        </w:tabs>
        <w:spacing w:line="240" w:lineRule="auto" w:before="1" w:after="0"/>
        <w:ind w:left="2204" w:right="0" w:hanging="269"/>
        <w:jc w:val="left"/>
        <w:rPr>
          <w:sz w:val="24"/>
        </w:rPr>
      </w:pPr>
      <w:r>
        <w:rPr>
          <w:sz w:val="24"/>
        </w:rPr>
        <w:t>Cuota de traslado</w:t>
      </w:r>
      <w:r>
        <w:rPr>
          <w:spacing w:val="-6"/>
          <w:sz w:val="24"/>
        </w:rPr>
        <w:t> </w:t>
      </w:r>
      <w:r>
        <w:rPr>
          <w:sz w:val="24"/>
        </w:rPr>
        <w:t>zona</w:t>
      </w:r>
      <w:r>
        <w:rPr>
          <w:spacing w:val="-3"/>
          <w:sz w:val="24"/>
        </w:rPr>
        <w:t> </w:t>
      </w:r>
      <w:r>
        <w:rPr>
          <w:sz w:val="24"/>
        </w:rPr>
        <w:t>urbana</w:t>
        <w:tab/>
        <w:t>327.68</w:t>
      </w:r>
    </w:p>
    <w:p>
      <w:pPr>
        <w:pStyle w:val="ListParagraph"/>
        <w:numPr>
          <w:ilvl w:val="2"/>
          <w:numId w:val="36"/>
        </w:numPr>
        <w:tabs>
          <w:tab w:pos="2205" w:val="left" w:leader="none"/>
          <w:tab w:pos="9394" w:val="left" w:leader="none"/>
        </w:tabs>
        <w:spacing w:line="240" w:lineRule="auto" w:before="0" w:after="0"/>
        <w:ind w:left="2204" w:right="0" w:hanging="269"/>
        <w:jc w:val="left"/>
        <w:rPr>
          <w:sz w:val="24"/>
        </w:rPr>
      </w:pPr>
      <w:r>
        <w:rPr>
          <w:sz w:val="24"/>
        </w:rPr>
        <w:t>Cuota de traslado</w:t>
      </w:r>
      <w:r>
        <w:rPr>
          <w:spacing w:val="-9"/>
          <w:sz w:val="24"/>
        </w:rPr>
        <w:t> </w:t>
      </w:r>
      <w:r>
        <w:rPr>
          <w:sz w:val="24"/>
        </w:rPr>
        <w:t>zona</w:t>
      </w:r>
      <w:r>
        <w:rPr>
          <w:spacing w:val="-1"/>
          <w:sz w:val="24"/>
        </w:rPr>
        <w:t> </w:t>
      </w:r>
      <w:r>
        <w:rPr>
          <w:sz w:val="24"/>
        </w:rPr>
        <w:t>rural</w:t>
        <w:tab/>
        <w:t>437.50</w:t>
      </w:r>
    </w:p>
    <w:p>
      <w:pPr>
        <w:spacing w:after="0" w:line="240" w:lineRule="auto"/>
        <w:jc w:val="left"/>
        <w:rPr>
          <w:sz w:val="24"/>
        </w:rPr>
        <w:sectPr>
          <w:pgSz w:w="12250" w:h="15850"/>
          <w:pgMar w:header="730" w:footer="0" w:top="1000" w:bottom="280" w:left="860" w:right="820"/>
        </w:sectPr>
      </w:pPr>
    </w:p>
    <w:p>
      <w:pPr>
        <w:pStyle w:val="ListParagraph"/>
        <w:numPr>
          <w:ilvl w:val="1"/>
          <w:numId w:val="36"/>
        </w:numPr>
        <w:tabs>
          <w:tab w:pos="1685" w:val="left" w:leader="none"/>
        </w:tabs>
        <w:spacing w:line="240" w:lineRule="auto" w:before="0" w:after="0"/>
        <w:ind w:left="1684" w:right="0" w:hanging="360"/>
        <w:jc w:val="left"/>
        <w:rPr>
          <w:sz w:val="24"/>
        </w:rPr>
      </w:pPr>
      <w:r>
        <w:rPr>
          <w:sz w:val="24"/>
        </w:rPr>
        <w:t>Por transcripción de acta de nacimiento de mexicano, nacido en el</w:t>
      </w:r>
      <w:r>
        <w:rPr>
          <w:spacing w:val="-4"/>
          <w:sz w:val="24"/>
        </w:rPr>
        <w:t> </w:t>
      </w:r>
      <w:r>
        <w:rPr>
          <w:sz w:val="24"/>
        </w:rPr>
        <w:t>extranjero.</w:t>
      </w:r>
    </w:p>
    <w:p>
      <w:pPr>
        <w:pStyle w:val="ListParagraph"/>
        <w:numPr>
          <w:ilvl w:val="1"/>
          <w:numId w:val="36"/>
        </w:numPr>
        <w:tabs>
          <w:tab w:pos="1685" w:val="left" w:leader="none"/>
        </w:tabs>
        <w:spacing w:line="240" w:lineRule="auto" w:before="0" w:after="0"/>
        <w:ind w:left="1684" w:right="0" w:hanging="361"/>
        <w:jc w:val="left"/>
        <w:rPr>
          <w:sz w:val="24"/>
        </w:rPr>
      </w:pPr>
      <w:r>
        <w:rPr>
          <w:sz w:val="24"/>
        </w:rPr>
        <w:t>Registro</w:t>
      </w:r>
      <w:r>
        <w:rPr>
          <w:spacing w:val="15"/>
          <w:sz w:val="24"/>
        </w:rPr>
        <w:t> </w:t>
      </w:r>
      <w:r>
        <w:rPr>
          <w:sz w:val="24"/>
        </w:rPr>
        <w:t>de</w:t>
      </w:r>
      <w:r>
        <w:rPr>
          <w:spacing w:val="16"/>
          <w:sz w:val="24"/>
        </w:rPr>
        <w:t> </w:t>
      </w:r>
      <w:r>
        <w:rPr>
          <w:sz w:val="24"/>
        </w:rPr>
        <w:t>nacimiento</w:t>
      </w:r>
      <w:r>
        <w:rPr>
          <w:spacing w:val="18"/>
          <w:sz w:val="24"/>
        </w:rPr>
        <w:t> </w:t>
      </w:r>
      <w:r>
        <w:rPr>
          <w:sz w:val="24"/>
        </w:rPr>
        <w:t>y</w:t>
      </w:r>
      <w:r>
        <w:rPr>
          <w:spacing w:val="15"/>
          <w:sz w:val="24"/>
        </w:rPr>
        <w:t> </w:t>
      </w:r>
      <w:r>
        <w:rPr>
          <w:sz w:val="24"/>
        </w:rPr>
        <w:t>expedición</w:t>
      </w:r>
      <w:r>
        <w:rPr>
          <w:spacing w:val="15"/>
          <w:sz w:val="24"/>
        </w:rPr>
        <w:t> </w:t>
      </w:r>
      <w:r>
        <w:rPr>
          <w:sz w:val="24"/>
        </w:rPr>
        <w:t>de</w:t>
      </w:r>
      <w:r>
        <w:rPr>
          <w:spacing w:val="16"/>
          <w:sz w:val="24"/>
        </w:rPr>
        <w:t> </w:t>
      </w:r>
      <w:r>
        <w:rPr>
          <w:sz w:val="24"/>
        </w:rPr>
        <w:t>certificación</w:t>
      </w:r>
      <w:r>
        <w:rPr>
          <w:spacing w:val="16"/>
          <w:sz w:val="24"/>
        </w:rPr>
        <w:t> </w:t>
      </w:r>
      <w:r>
        <w:rPr>
          <w:sz w:val="24"/>
        </w:rPr>
        <w:t>de</w:t>
      </w:r>
      <w:r>
        <w:rPr>
          <w:spacing w:val="16"/>
          <w:sz w:val="24"/>
        </w:rPr>
        <w:t> </w:t>
      </w:r>
      <w:r>
        <w:rPr>
          <w:sz w:val="24"/>
        </w:rPr>
        <w:t>acta</w:t>
      </w:r>
    </w:p>
    <w:p>
      <w:pPr>
        <w:pStyle w:val="BodyText"/>
        <w:ind w:left="1150"/>
      </w:pPr>
      <w:r>
        <w:rPr/>
        <w:br w:type="column"/>
      </w:r>
      <w:r>
        <w:rPr/>
        <w:t>487.50</w:t>
      </w:r>
    </w:p>
    <w:p>
      <w:pPr>
        <w:spacing w:after="0"/>
        <w:sectPr>
          <w:type w:val="continuous"/>
          <w:pgSz w:w="12250" w:h="15850"/>
          <w:pgMar w:top="840" w:bottom="280" w:left="860" w:right="820"/>
          <w:cols w:num="2" w:equalWidth="0">
            <w:col w:w="8203" w:space="40"/>
            <w:col w:w="2327"/>
          </w:cols>
        </w:sectPr>
      </w:pPr>
    </w:p>
    <w:p>
      <w:pPr>
        <w:pStyle w:val="BodyText"/>
        <w:tabs>
          <w:tab w:pos="10127" w:val="right" w:leader="none"/>
        </w:tabs>
        <w:ind w:left="1684"/>
      </w:pPr>
      <w:r>
        <w:rPr/>
        <w:t>por primera vez</w:t>
      </w:r>
      <w:r>
        <w:rPr>
          <w:spacing w:val="-1"/>
        </w:rPr>
        <w:t> </w:t>
      </w:r>
      <w:r>
        <w:rPr/>
        <w:t>con</w:t>
      </w:r>
      <w:r>
        <w:rPr>
          <w:spacing w:val="-2"/>
        </w:rPr>
        <w:t> </w:t>
      </w:r>
      <w:r>
        <w:rPr/>
        <w:t>diligencias.</w:t>
        <w:tab/>
        <w:t>248.21</w:t>
      </w:r>
    </w:p>
    <w:p>
      <w:pPr>
        <w:pStyle w:val="BodyText"/>
      </w:pPr>
    </w:p>
    <w:p>
      <w:pPr>
        <w:pStyle w:val="Heading1"/>
        <w:numPr>
          <w:ilvl w:val="0"/>
          <w:numId w:val="36"/>
        </w:numPr>
        <w:tabs>
          <w:tab w:pos="1046" w:val="left" w:leader="none"/>
        </w:tabs>
        <w:spacing w:line="240" w:lineRule="auto" w:before="0" w:after="0"/>
        <w:ind w:left="1045" w:right="0" w:hanging="363"/>
        <w:jc w:val="left"/>
      </w:pPr>
      <w:r>
        <w:rPr/>
        <w:t>Reconocimientos:</w:t>
      </w:r>
    </w:p>
    <w:p>
      <w:pPr>
        <w:pStyle w:val="BodyText"/>
        <w:rPr>
          <w:b/>
        </w:rPr>
      </w:pPr>
    </w:p>
    <w:p>
      <w:pPr>
        <w:pStyle w:val="ListParagraph"/>
        <w:numPr>
          <w:ilvl w:val="1"/>
          <w:numId w:val="36"/>
        </w:numPr>
        <w:tabs>
          <w:tab w:pos="1454" w:val="left" w:leader="none"/>
          <w:tab w:pos="9325" w:val="left" w:leader="none"/>
        </w:tabs>
        <w:spacing w:line="240" w:lineRule="auto" w:before="0" w:after="0"/>
        <w:ind w:left="1454" w:right="0" w:hanging="281"/>
        <w:jc w:val="left"/>
        <w:rPr>
          <w:sz w:val="24"/>
        </w:rPr>
      </w:pPr>
      <w:r>
        <w:rPr>
          <w:sz w:val="24"/>
        </w:rPr>
        <w:t>Reconocimiento de menores</w:t>
      </w:r>
      <w:r>
        <w:rPr>
          <w:spacing w:val="-10"/>
          <w:sz w:val="24"/>
        </w:rPr>
        <w:t> </w:t>
      </w:r>
      <w:r>
        <w:rPr>
          <w:sz w:val="24"/>
        </w:rPr>
        <w:t>de</w:t>
      </w:r>
      <w:r>
        <w:rPr>
          <w:spacing w:val="-2"/>
          <w:sz w:val="24"/>
        </w:rPr>
        <w:t> </w:t>
      </w:r>
      <w:r>
        <w:rPr>
          <w:sz w:val="24"/>
        </w:rPr>
        <w:t>edad</w:t>
        <w:tab/>
        <w:t>Exento</w:t>
      </w:r>
    </w:p>
    <w:p>
      <w:pPr>
        <w:pStyle w:val="ListParagraph"/>
        <w:numPr>
          <w:ilvl w:val="1"/>
          <w:numId w:val="36"/>
        </w:numPr>
        <w:tabs>
          <w:tab w:pos="1454" w:val="left" w:leader="none"/>
          <w:tab w:pos="9325" w:val="left" w:leader="none"/>
        </w:tabs>
        <w:spacing w:line="240" w:lineRule="auto" w:before="0" w:after="0"/>
        <w:ind w:left="1454" w:right="0" w:hanging="281"/>
        <w:jc w:val="left"/>
        <w:rPr>
          <w:sz w:val="24"/>
        </w:rPr>
      </w:pPr>
      <w:r>
        <w:rPr>
          <w:sz w:val="24"/>
        </w:rPr>
        <w:t>Reconocimiento de mayores</w:t>
      </w:r>
      <w:r>
        <w:rPr>
          <w:spacing w:val="-8"/>
          <w:sz w:val="24"/>
        </w:rPr>
        <w:t> </w:t>
      </w:r>
      <w:r>
        <w:rPr>
          <w:sz w:val="24"/>
        </w:rPr>
        <w:t>de</w:t>
      </w:r>
      <w:r>
        <w:rPr>
          <w:spacing w:val="-3"/>
          <w:sz w:val="24"/>
        </w:rPr>
        <w:t> </w:t>
      </w:r>
      <w:r>
        <w:rPr>
          <w:sz w:val="24"/>
        </w:rPr>
        <w:t>edad</w:t>
        <w:tab/>
        <w:t>Exento</w:t>
      </w:r>
    </w:p>
    <w:p>
      <w:pPr>
        <w:pStyle w:val="ListParagraph"/>
        <w:numPr>
          <w:ilvl w:val="1"/>
          <w:numId w:val="36"/>
        </w:numPr>
        <w:tabs>
          <w:tab w:pos="1440" w:val="left" w:leader="none"/>
          <w:tab w:pos="10071" w:val="right" w:leader="none"/>
        </w:tabs>
        <w:spacing w:line="240" w:lineRule="auto" w:before="0" w:after="0"/>
        <w:ind w:left="1439" w:right="0" w:hanging="267"/>
        <w:jc w:val="left"/>
        <w:rPr>
          <w:sz w:val="24"/>
        </w:rPr>
      </w:pPr>
      <w:r>
        <w:rPr>
          <w:sz w:val="24"/>
        </w:rPr>
        <w:t>Cuota de traslado</w:t>
      </w:r>
      <w:r>
        <w:rPr>
          <w:spacing w:val="-4"/>
          <w:sz w:val="24"/>
        </w:rPr>
        <w:t> </w:t>
      </w:r>
      <w:r>
        <w:rPr>
          <w:sz w:val="24"/>
        </w:rPr>
        <w:t>zona Urbana</w:t>
        <w:tab/>
        <w:t>327.68</w:t>
      </w:r>
    </w:p>
    <w:p>
      <w:pPr>
        <w:spacing w:after="0" w:line="240" w:lineRule="auto"/>
        <w:jc w:val="left"/>
        <w:rPr>
          <w:sz w:val="24"/>
        </w:rPr>
        <w:sectPr>
          <w:type w:val="continuous"/>
          <w:pgSz w:w="12250" w:h="15850"/>
          <w:pgMar w:top="840" w:bottom="280" w:left="860" w:right="820"/>
        </w:sectPr>
      </w:pPr>
    </w:p>
    <w:p>
      <w:pPr>
        <w:pStyle w:val="ListParagraph"/>
        <w:numPr>
          <w:ilvl w:val="1"/>
          <w:numId w:val="36"/>
        </w:numPr>
        <w:tabs>
          <w:tab w:pos="1454" w:val="left" w:leader="none"/>
        </w:tabs>
        <w:spacing w:line="240" w:lineRule="auto" w:before="0" w:after="0"/>
        <w:ind w:left="1454" w:right="0" w:hanging="281"/>
        <w:jc w:val="left"/>
        <w:rPr>
          <w:sz w:val="24"/>
        </w:rPr>
      </w:pPr>
      <w:r>
        <w:rPr>
          <w:sz w:val="24"/>
        </w:rPr>
        <w:t>Cuota de traslado zona</w:t>
      </w:r>
      <w:r>
        <w:rPr>
          <w:spacing w:val="-5"/>
          <w:sz w:val="24"/>
        </w:rPr>
        <w:t> </w:t>
      </w:r>
      <w:r>
        <w:rPr>
          <w:sz w:val="24"/>
        </w:rPr>
        <w:t>Rural</w:t>
      </w:r>
    </w:p>
    <w:p>
      <w:pPr>
        <w:pStyle w:val="ListParagraph"/>
        <w:numPr>
          <w:ilvl w:val="1"/>
          <w:numId w:val="36"/>
        </w:numPr>
        <w:tabs>
          <w:tab w:pos="1454" w:val="left" w:leader="none"/>
        </w:tabs>
        <w:spacing w:line="240" w:lineRule="auto" w:before="1" w:after="0"/>
        <w:ind w:left="1454" w:right="0" w:hanging="281"/>
        <w:jc w:val="left"/>
        <w:rPr>
          <w:sz w:val="24"/>
        </w:rPr>
      </w:pPr>
      <w:r>
        <w:rPr>
          <w:sz w:val="24"/>
        </w:rPr>
        <w:t>Reconocimiento por sentencias</w:t>
      </w:r>
      <w:r>
        <w:rPr>
          <w:spacing w:val="-13"/>
          <w:sz w:val="24"/>
        </w:rPr>
        <w:t> </w:t>
      </w:r>
      <w:r>
        <w:rPr>
          <w:sz w:val="24"/>
        </w:rPr>
        <w:t>judiciales</w:t>
      </w:r>
    </w:p>
    <w:p>
      <w:pPr>
        <w:pStyle w:val="BodyText"/>
        <w:ind w:left="1173"/>
      </w:pPr>
      <w:r>
        <w:rPr/>
        <w:br w:type="column"/>
      </w:r>
      <w:r>
        <w:rPr/>
        <w:t>437.50</w:t>
      </w:r>
    </w:p>
    <w:p>
      <w:pPr>
        <w:pStyle w:val="BodyText"/>
        <w:spacing w:before="1"/>
        <w:ind w:left="1173"/>
      </w:pPr>
      <w:r>
        <w:rPr/>
        <w:t>248.21</w:t>
      </w:r>
    </w:p>
    <w:p>
      <w:pPr>
        <w:spacing w:after="0"/>
        <w:sectPr>
          <w:type w:val="continuous"/>
          <w:pgSz w:w="12250" w:h="15850"/>
          <w:pgMar w:top="840" w:bottom="280" w:left="860" w:right="820"/>
          <w:cols w:num="2" w:equalWidth="0">
            <w:col w:w="5894" w:space="2270"/>
            <w:col w:w="2406"/>
          </w:cols>
        </w:sectPr>
      </w:pPr>
    </w:p>
    <w:p>
      <w:pPr>
        <w:pStyle w:val="Heading1"/>
        <w:numPr>
          <w:ilvl w:val="0"/>
          <w:numId w:val="36"/>
        </w:numPr>
        <w:tabs>
          <w:tab w:pos="977" w:val="left" w:leader="none"/>
        </w:tabs>
        <w:spacing w:line="240" w:lineRule="auto" w:before="276" w:after="0"/>
        <w:ind w:left="976" w:right="0" w:hanging="294"/>
        <w:jc w:val="left"/>
      </w:pPr>
      <w:r>
        <w:rPr/>
        <w:t>Terrenos de</w:t>
      </w:r>
      <w:r>
        <w:rPr>
          <w:spacing w:val="-1"/>
        </w:rPr>
        <w:t> </w:t>
      </w:r>
      <w:r>
        <w:rPr/>
        <w:t>panteón:</w:t>
      </w:r>
    </w:p>
    <w:p>
      <w:pPr>
        <w:tabs>
          <w:tab w:pos="8967" w:val="left" w:leader="none"/>
        </w:tabs>
        <w:spacing w:before="276"/>
        <w:ind w:left="966" w:right="0" w:firstLine="0"/>
        <w:jc w:val="left"/>
        <w:rPr>
          <w:b/>
          <w:sz w:val="24"/>
        </w:rPr>
      </w:pPr>
      <w:r>
        <w:rPr>
          <w:b/>
          <w:sz w:val="24"/>
        </w:rPr>
        <w:t>Concepto</w:t>
        <w:tab/>
        <w:t>Importe</w:t>
      </w:r>
      <w:r>
        <w:rPr>
          <w:b/>
          <w:spacing w:val="1"/>
          <w:sz w:val="24"/>
        </w:rPr>
        <w:t> </w:t>
      </w:r>
      <w:r>
        <w:rPr>
          <w:b/>
          <w:sz w:val="24"/>
        </w:rPr>
        <w:t>$</w:t>
      </w:r>
    </w:p>
    <w:p>
      <w:pPr>
        <w:spacing w:after="0"/>
        <w:jc w:val="left"/>
        <w:rPr>
          <w:sz w:val="24"/>
        </w:rPr>
        <w:sectPr>
          <w:type w:val="continuous"/>
          <w:pgSz w:w="12250" w:h="15850"/>
          <w:pgMar w:top="840" w:bottom="280" w:left="860" w:right="820"/>
        </w:sectPr>
      </w:pPr>
    </w:p>
    <w:p>
      <w:pPr>
        <w:pStyle w:val="ListParagraph"/>
        <w:numPr>
          <w:ilvl w:val="1"/>
          <w:numId w:val="36"/>
        </w:numPr>
        <w:tabs>
          <w:tab w:pos="1687" w:val="left" w:leader="none"/>
        </w:tabs>
        <w:spacing w:line="240" w:lineRule="auto" w:before="0" w:after="0"/>
        <w:ind w:left="1686" w:right="0" w:hanging="360"/>
        <w:jc w:val="left"/>
        <w:rPr>
          <w:sz w:val="24"/>
        </w:rPr>
      </w:pPr>
      <w:r>
        <w:rPr>
          <w:sz w:val="24"/>
        </w:rPr>
        <w:t>Anotación en libros cambio de propietario de terreno en panteón</w:t>
      </w:r>
      <w:r>
        <w:rPr>
          <w:spacing w:val="-3"/>
          <w:sz w:val="24"/>
        </w:rPr>
        <w:t> </w:t>
      </w:r>
      <w:r>
        <w:rPr>
          <w:sz w:val="24"/>
        </w:rPr>
        <w:t>municipal</w:t>
      </w:r>
    </w:p>
    <w:p>
      <w:pPr>
        <w:pStyle w:val="BodyText"/>
        <w:ind w:left="1190"/>
      </w:pPr>
      <w:r>
        <w:rPr/>
        <w:br w:type="column"/>
      </w:r>
      <w:r>
        <w:rPr/>
        <w:t>218.75</w:t>
      </w:r>
    </w:p>
    <w:p>
      <w:pPr>
        <w:spacing w:after="0"/>
        <w:sectPr>
          <w:type w:val="continuous"/>
          <w:pgSz w:w="12250" w:h="15850"/>
          <w:pgMar w:top="840" w:bottom="280" w:left="860" w:right="820"/>
          <w:cols w:num="2" w:equalWidth="0">
            <w:col w:w="8083" w:space="40"/>
            <w:col w:w="2447"/>
          </w:cols>
        </w:sectPr>
      </w:pPr>
    </w:p>
    <w:p>
      <w:pPr>
        <w:pStyle w:val="ListParagraph"/>
        <w:numPr>
          <w:ilvl w:val="1"/>
          <w:numId w:val="36"/>
        </w:numPr>
        <w:tabs>
          <w:tab w:pos="1687" w:val="left" w:leader="none"/>
          <w:tab w:pos="10047" w:val="right" w:leader="none"/>
        </w:tabs>
        <w:spacing w:line="240" w:lineRule="auto" w:before="0" w:after="0"/>
        <w:ind w:left="1686" w:right="0" w:hanging="361"/>
        <w:jc w:val="left"/>
        <w:rPr>
          <w:sz w:val="24"/>
        </w:rPr>
      </w:pPr>
      <w:r>
        <w:rPr>
          <w:sz w:val="24"/>
        </w:rPr>
        <w:t>Duplicado de título de propiedad en</w:t>
      </w:r>
      <w:r>
        <w:rPr>
          <w:spacing w:val="-13"/>
          <w:sz w:val="24"/>
        </w:rPr>
        <w:t> </w:t>
      </w:r>
      <w:r>
        <w:rPr>
          <w:sz w:val="24"/>
        </w:rPr>
        <w:t>panteón</w:t>
      </w:r>
      <w:r>
        <w:rPr>
          <w:spacing w:val="-2"/>
          <w:sz w:val="24"/>
        </w:rPr>
        <w:t> </w:t>
      </w:r>
      <w:r>
        <w:rPr>
          <w:sz w:val="24"/>
        </w:rPr>
        <w:t>municipal</w:t>
        <w:tab/>
        <w:t>218.75</w:t>
      </w:r>
    </w:p>
    <w:p>
      <w:pPr>
        <w:spacing w:after="0" w:line="240" w:lineRule="auto"/>
        <w:jc w:val="left"/>
        <w:rPr>
          <w:sz w:val="24"/>
        </w:rPr>
        <w:sectPr>
          <w:type w:val="continuous"/>
          <w:pgSz w:w="12250" w:h="15850"/>
          <w:pgMar w:top="840" w:bottom="280" w:left="860" w:right="820"/>
        </w:sectPr>
      </w:pPr>
    </w:p>
    <w:p>
      <w:pPr>
        <w:pStyle w:val="ListParagraph"/>
        <w:numPr>
          <w:ilvl w:val="1"/>
          <w:numId w:val="36"/>
        </w:numPr>
        <w:tabs>
          <w:tab w:pos="1687" w:val="left" w:leader="none"/>
          <w:tab w:pos="3211" w:val="left" w:leader="none"/>
          <w:tab w:pos="3681" w:val="left" w:leader="none"/>
          <w:tab w:pos="4523" w:val="left" w:leader="none"/>
          <w:tab w:pos="4992" w:val="left" w:leader="none"/>
          <w:tab w:pos="6263" w:val="left" w:leader="none"/>
          <w:tab w:pos="6733" w:val="left" w:leader="none"/>
          <w:tab w:pos="7817" w:val="left" w:leader="none"/>
        </w:tabs>
        <w:spacing w:line="240" w:lineRule="auto" w:before="0" w:after="0"/>
        <w:ind w:left="1686" w:right="3" w:hanging="360"/>
        <w:jc w:val="left"/>
        <w:rPr>
          <w:sz w:val="24"/>
        </w:rPr>
      </w:pPr>
      <w:r>
        <w:rPr>
          <w:sz w:val="24"/>
        </w:rPr>
        <w:t>Localización</w:t>
        <w:tab/>
        <w:t>de</w:t>
        <w:tab/>
        <w:t>títulos</w:t>
        <w:tab/>
        <w:t>de</w:t>
        <w:tab/>
        <w:t>propiedad</w:t>
        <w:tab/>
        <w:t>de</w:t>
        <w:tab/>
        <w:t>terrenos</w:t>
        <w:tab/>
      </w:r>
      <w:r>
        <w:rPr>
          <w:spacing w:val="-10"/>
          <w:sz w:val="24"/>
        </w:rPr>
        <w:t>en </w:t>
      </w:r>
      <w:r>
        <w:rPr>
          <w:sz w:val="24"/>
        </w:rPr>
        <w:t>panteones</w:t>
      </w:r>
      <w:r>
        <w:rPr>
          <w:spacing w:val="-3"/>
          <w:sz w:val="24"/>
        </w:rPr>
        <w:t> </w:t>
      </w:r>
      <w:r>
        <w:rPr>
          <w:sz w:val="24"/>
        </w:rPr>
        <w:t>municipales</w:t>
      </w:r>
    </w:p>
    <w:p>
      <w:pPr>
        <w:pStyle w:val="ListParagraph"/>
        <w:numPr>
          <w:ilvl w:val="1"/>
          <w:numId w:val="36"/>
        </w:numPr>
        <w:tabs>
          <w:tab w:pos="1718" w:val="left" w:leader="none"/>
          <w:tab w:pos="3255" w:val="left" w:leader="none"/>
          <w:tab w:pos="3739" w:val="left" w:leader="none"/>
          <w:tab w:pos="4473" w:val="left" w:leader="none"/>
          <w:tab w:pos="4957" w:val="left" w:leader="none"/>
          <w:tab w:pos="6240" w:val="left" w:leader="none"/>
          <w:tab w:pos="6722" w:val="left" w:leader="none"/>
          <w:tab w:pos="7820" w:val="left" w:leader="none"/>
        </w:tabs>
        <w:spacing w:line="240" w:lineRule="auto" w:before="0" w:after="0"/>
        <w:ind w:left="1686" w:right="0" w:hanging="360"/>
        <w:jc w:val="left"/>
        <w:rPr>
          <w:sz w:val="24"/>
        </w:rPr>
      </w:pPr>
      <w:r>
        <w:rPr>
          <w:sz w:val="24"/>
        </w:rPr>
        <w:t>Constancias</w:t>
        <w:tab/>
        <w:t>de</w:t>
        <w:tab/>
        <w:t>título</w:t>
        <w:tab/>
        <w:t>de</w:t>
        <w:tab/>
        <w:t>propiedad</w:t>
        <w:tab/>
        <w:t>de</w:t>
        <w:tab/>
        <w:t>terrenos</w:t>
        <w:tab/>
      </w:r>
      <w:r>
        <w:rPr>
          <w:spacing w:val="-10"/>
          <w:sz w:val="24"/>
        </w:rPr>
        <w:t>en </w:t>
      </w:r>
      <w:r>
        <w:rPr>
          <w:sz w:val="24"/>
        </w:rPr>
        <w:t>panteones</w:t>
      </w:r>
      <w:r>
        <w:rPr>
          <w:spacing w:val="-3"/>
          <w:sz w:val="24"/>
        </w:rPr>
        <w:t> </w:t>
      </w:r>
      <w:r>
        <w:rPr>
          <w:sz w:val="24"/>
        </w:rPr>
        <w:t>municipales</w:t>
      </w:r>
    </w:p>
    <w:p>
      <w:pPr>
        <w:pStyle w:val="BodyText"/>
        <w:ind w:right="512"/>
        <w:jc w:val="right"/>
      </w:pPr>
      <w:r>
        <w:rPr/>
        <w:br w:type="column"/>
      </w:r>
      <w:r>
        <w:rPr>
          <w:spacing w:val="-1"/>
        </w:rPr>
        <w:t>97.32</w:t>
      </w:r>
    </w:p>
    <w:p>
      <w:pPr>
        <w:pStyle w:val="BodyText"/>
        <w:spacing w:before="276"/>
        <w:ind w:right="512"/>
        <w:jc w:val="right"/>
      </w:pPr>
      <w:r>
        <w:rPr>
          <w:spacing w:val="-1"/>
        </w:rPr>
        <w:t>218.75</w:t>
      </w:r>
    </w:p>
    <w:p>
      <w:pPr>
        <w:spacing w:after="0"/>
        <w:jc w:val="right"/>
        <w:sectPr>
          <w:type w:val="continuous"/>
          <w:pgSz w:w="12250" w:h="15850"/>
          <w:pgMar w:top="840" w:bottom="280" w:left="860" w:right="820"/>
          <w:cols w:num="2" w:equalWidth="0">
            <w:col w:w="8089" w:space="40"/>
            <w:col w:w="2441"/>
          </w:cols>
        </w:sectPr>
      </w:pPr>
    </w:p>
    <w:p>
      <w:pPr>
        <w:pStyle w:val="ListParagraph"/>
        <w:numPr>
          <w:ilvl w:val="1"/>
          <w:numId w:val="36"/>
        </w:numPr>
        <w:tabs>
          <w:tab w:pos="1687" w:val="left" w:leader="none"/>
          <w:tab w:pos="10047" w:val="right" w:leader="none"/>
        </w:tabs>
        <w:spacing w:line="240" w:lineRule="auto" w:before="1" w:after="0"/>
        <w:ind w:left="1686" w:right="0" w:hanging="361"/>
        <w:jc w:val="left"/>
        <w:rPr>
          <w:sz w:val="24"/>
        </w:rPr>
      </w:pPr>
      <w:r>
        <w:rPr>
          <w:sz w:val="24"/>
        </w:rPr>
        <w:t>Anotación de sucesor en Títulos</w:t>
      </w:r>
      <w:r>
        <w:rPr>
          <w:spacing w:val="-4"/>
          <w:sz w:val="24"/>
        </w:rPr>
        <w:t> </w:t>
      </w:r>
      <w:r>
        <w:rPr>
          <w:sz w:val="24"/>
        </w:rPr>
        <w:t>de Propiedad</w:t>
        <w:tab/>
        <w:t>234.82</w:t>
      </w:r>
    </w:p>
    <w:p>
      <w:pPr>
        <w:pStyle w:val="BodyText"/>
        <w:spacing w:before="11"/>
        <w:rPr>
          <w:sz w:val="23"/>
        </w:rPr>
      </w:pPr>
    </w:p>
    <w:p>
      <w:pPr>
        <w:pStyle w:val="Heading1"/>
        <w:numPr>
          <w:ilvl w:val="0"/>
          <w:numId w:val="36"/>
        </w:numPr>
        <w:tabs>
          <w:tab w:pos="1046" w:val="left" w:leader="none"/>
        </w:tabs>
        <w:spacing w:line="240" w:lineRule="auto" w:before="0" w:after="0"/>
        <w:ind w:left="1045" w:right="0" w:hanging="363"/>
        <w:jc w:val="left"/>
      </w:pPr>
      <w:r>
        <w:rPr/>
        <w:t>Defunción:</w:t>
      </w:r>
    </w:p>
    <w:p>
      <w:pPr>
        <w:pStyle w:val="BodyText"/>
        <w:rPr>
          <w:b/>
        </w:rPr>
      </w:pPr>
    </w:p>
    <w:p>
      <w:pPr>
        <w:tabs>
          <w:tab w:pos="9171" w:val="left" w:leader="none"/>
        </w:tabs>
        <w:spacing w:before="0"/>
        <w:ind w:left="1379" w:right="0" w:firstLine="0"/>
        <w:jc w:val="left"/>
        <w:rPr>
          <w:b/>
          <w:sz w:val="24"/>
        </w:rPr>
      </w:pPr>
      <w:r>
        <w:rPr>
          <w:b/>
          <w:sz w:val="24"/>
        </w:rPr>
        <w:t>Concepto</w:t>
        <w:tab/>
        <w:t>Importe</w:t>
      </w:r>
    </w:p>
    <w:p>
      <w:pPr>
        <w:spacing w:before="0"/>
        <w:ind w:left="9618" w:right="0" w:firstLine="0"/>
        <w:jc w:val="left"/>
        <w:rPr>
          <w:b/>
          <w:sz w:val="24"/>
        </w:rPr>
      </w:pPr>
      <w:r>
        <w:rPr>
          <w:b/>
          <w:w w:val="99"/>
          <w:sz w:val="24"/>
        </w:rPr>
        <w:t>$</w:t>
      </w:r>
    </w:p>
    <w:p>
      <w:pPr>
        <w:pStyle w:val="ListParagraph"/>
        <w:numPr>
          <w:ilvl w:val="1"/>
          <w:numId w:val="36"/>
        </w:numPr>
        <w:tabs>
          <w:tab w:pos="1181" w:val="left" w:leader="none"/>
          <w:tab w:pos="10062" w:val="right" w:leader="none"/>
        </w:tabs>
        <w:spacing w:line="240" w:lineRule="auto" w:before="0" w:after="0"/>
        <w:ind w:left="1180" w:right="0" w:hanging="361"/>
        <w:jc w:val="left"/>
        <w:rPr>
          <w:sz w:val="24"/>
        </w:rPr>
      </w:pPr>
      <w:r>
        <w:rPr>
          <w:sz w:val="24"/>
        </w:rPr>
        <w:t>Por registro de defunción antes de</w:t>
      </w:r>
      <w:r>
        <w:rPr>
          <w:spacing w:val="-10"/>
          <w:sz w:val="24"/>
        </w:rPr>
        <w:t> </w:t>
      </w:r>
      <w:r>
        <w:rPr>
          <w:sz w:val="24"/>
        </w:rPr>
        <w:t>90</w:t>
      </w:r>
      <w:r>
        <w:rPr>
          <w:spacing w:val="-2"/>
          <w:sz w:val="24"/>
        </w:rPr>
        <w:t> </w:t>
      </w:r>
      <w:r>
        <w:rPr>
          <w:sz w:val="24"/>
        </w:rPr>
        <w:t>días.</w:t>
        <w:tab/>
        <w:t>97.32</w:t>
      </w:r>
    </w:p>
    <w:p>
      <w:pPr>
        <w:spacing w:after="0" w:line="240" w:lineRule="auto"/>
        <w:jc w:val="left"/>
        <w:rPr>
          <w:sz w:val="24"/>
        </w:rPr>
        <w:sectPr>
          <w:type w:val="continuous"/>
          <w:pgSz w:w="12250" w:h="15850"/>
          <w:pgMar w:top="840" w:bottom="280" w:left="860" w:right="820"/>
        </w:sectPr>
      </w:pPr>
    </w:p>
    <w:p>
      <w:pPr>
        <w:pStyle w:val="ListParagraph"/>
        <w:numPr>
          <w:ilvl w:val="1"/>
          <w:numId w:val="36"/>
        </w:numPr>
        <w:tabs>
          <w:tab w:pos="1212" w:val="left" w:leader="none"/>
        </w:tabs>
        <w:spacing w:line="240" w:lineRule="auto" w:before="0" w:after="0"/>
        <w:ind w:left="1180" w:right="38" w:hanging="360"/>
        <w:jc w:val="left"/>
        <w:rPr>
          <w:sz w:val="24"/>
        </w:rPr>
      </w:pPr>
      <w:r>
        <w:rPr>
          <w:sz w:val="24"/>
        </w:rPr>
        <w:t>Por registro de defunción después de 90 días de levantado el certificado de</w:t>
      </w:r>
      <w:r>
        <w:rPr>
          <w:spacing w:val="-5"/>
          <w:sz w:val="24"/>
        </w:rPr>
        <w:t> </w:t>
      </w:r>
      <w:r>
        <w:rPr>
          <w:sz w:val="24"/>
        </w:rPr>
        <w:t>defunción.</w:t>
      </w:r>
    </w:p>
    <w:p>
      <w:pPr>
        <w:pStyle w:val="BodyText"/>
        <w:ind w:left="820"/>
      </w:pPr>
      <w:r>
        <w:rPr/>
        <w:br w:type="column"/>
      </w:r>
      <w:r>
        <w:rPr/>
        <w:t>203.57</w:t>
      </w:r>
    </w:p>
    <w:p>
      <w:pPr>
        <w:spacing w:after="0"/>
        <w:sectPr>
          <w:type w:val="continuous"/>
          <w:pgSz w:w="12250" w:h="15850"/>
          <w:pgMar w:top="840" w:bottom="280" w:left="860" w:right="820"/>
          <w:cols w:num="2" w:equalWidth="0">
            <w:col w:w="8125" w:space="382"/>
            <w:col w:w="2063"/>
          </w:cols>
        </w:sectPr>
      </w:pPr>
    </w:p>
    <w:p>
      <w:pPr>
        <w:pStyle w:val="ListParagraph"/>
        <w:numPr>
          <w:ilvl w:val="1"/>
          <w:numId w:val="36"/>
        </w:numPr>
        <w:tabs>
          <w:tab w:pos="1212" w:val="left" w:leader="none"/>
          <w:tab w:pos="10059" w:val="right" w:leader="none"/>
        </w:tabs>
        <w:spacing w:line="240" w:lineRule="auto" w:before="0" w:after="0"/>
        <w:ind w:left="1211" w:right="0" w:hanging="392"/>
        <w:jc w:val="left"/>
        <w:rPr>
          <w:sz w:val="24"/>
        </w:rPr>
      </w:pPr>
      <w:r>
        <w:rPr>
          <w:sz w:val="24"/>
        </w:rPr>
        <w:t>Permiso para inhumación de cadáveres y/o</w:t>
      </w:r>
      <w:r>
        <w:rPr>
          <w:spacing w:val="-7"/>
          <w:sz w:val="24"/>
        </w:rPr>
        <w:t> </w:t>
      </w:r>
      <w:r>
        <w:rPr>
          <w:sz w:val="24"/>
        </w:rPr>
        <w:t>sus restos</w:t>
        <w:tab/>
        <w:t>252.68</w:t>
      </w:r>
    </w:p>
    <w:p>
      <w:pPr>
        <w:spacing w:after="0" w:line="240" w:lineRule="auto"/>
        <w:jc w:val="left"/>
        <w:rPr>
          <w:sz w:val="24"/>
        </w:rPr>
        <w:sectPr>
          <w:type w:val="continuous"/>
          <w:pgSz w:w="12250" w:h="15850"/>
          <w:pgMar w:top="840" w:bottom="280" w:left="860" w:right="820"/>
        </w:sectPr>
      </w:pPr>
    </w:p>
    <w:p>
      <w:pPr>
        <w:pStyle w:val="ListParagraph"/>
        <w:numPr>
          <w:ilvl w:val="1"/>
          <w:numId w:val="36"/>
        </w:numPr>
        <w:tabs>
          <w:tab w:pos="1212" w:val="left" w:leader="none"/>
        </w:tabs>
        <w:spacing w:line="240" w:lineRule="auto" w:before="0" w:after="0"/>
        <w:ind w:left="1180" w:right="38" w:hanging="360"/>
        <w:jc w:val="left"/>
        <w:rPr>
          <w:sz w:val="24"/>
        </w:rPr>
      </w:pPr>
      <w:r>
        <w:rPr>
          <w:sz w:val="24"/>
        </w:rPr>
        <w:t>Permiso de exhumación de restos humanos, previa autorización de autoridad</w:t>
      </w:r>
      <w:r>
        <w:rPr>
          <w:spacing w:val="-1"/>
          <w:sz w:val="24"/>
        </w:rPr>
        <w:t> </w:t>
      </w:r>
      <w:r>
        <w:rPr>
          <w:sz w:val="24"/>
        </w:rPr>
        <w:t>competente</w:t>
      </w:r>
    </w:p>
    <w:p>
      <w:pPr>
        <w:pStyle w:val="BodyText"/>
        <w:ind w:left="820"/>
      </w:pPr>
      <w:r>
        <w:rPr/>
        <w:br w:type="column"/>
      </w:r>
      <w:r>
        <w:rPr/>
        <w:t>390.18</w:t>
      </w:r>
    </w:p>
    <w:p>
      <w:pPr>
        <w:spacing w:after="0"/>
        <w:sectPr>
          <w:type w:val="continuous"/>
          <w:pgSz w:w="12250" w:h="15850"/>
          <w:pgMar w:top="840" w:bottom="280" w:left="860" w:right="820"/>
          <w:cols w:num="2" w:equalWidth="0">
            <w:col w:w="8124" w:space="384"/>
            <w:col w:w="2062"/>
          </w:cols>
        </w:sectPr>
      </w:pPr>
    </w:p>
    <w:p>
      <w:pPr>
        <w:pStyle w:val="Heading1"/>
        <w:tabs>
          <w:tab w:pos="9171" w:val="left" w:leader="none"/>
        </w:tabs>
        <w:spacing w:before="197"/>
        <w:ind w:left="1379"/>
      </w:pPr>
      <w:r>
        <w:rPr/>
        <w:t>Concepto</w:t>
        <w:tab/>
        <w:t>Importe</w:t>
      </w:r>
    </w:p>
    <w:p>
      <w:pPr>
        <w:spacing w:before="1"/>
        <w:ind w:left="9618" w:right="0" w:firstLine="0"/>
        <w:jc w:val="left"/>
        <w:rPr>
          <w:b/>
          <w:sz w:val="24"/>
        </w:rPr>
      </w:pPr>
      <w:r>
        <w:rPr>
          <w:b/>
          <w:w w:val="99"/>
          <w:sz w:val="24"/>
        </w:rPr>
        <w:t>$</w:t>
      </w:r>
    </w:p>
    <w:p>
      <w:pPr>
        <w:spacing w:after="0"/>
        <w:jc w:val="left"/>
        <w:rPr>
          <w:sz w:val="24"/>
        </w:rPr>
        <w:sectPr>
          <w:pgSz w:w="12250" w:h="15850"/>
          <w:pgMar w:header="730" w:footer="0" w:top="1000" w:bottom="280" w:left="860" w:right="820"/>
        </w:sectPr>
      </w:pPr>
    </w:p>
    <w:p>
      <w:pPr>
        <w:pStyle w:val="BodyText"/>
        <w:rPr>
          <w:b/>
        </w:rPr>
      </w:pPr>
    </w:p>
    <w:p>
      <w:pPr>
        <w:pStyle w:val="ListParagraph"/>
        <w:numPr>
          <w:ilvl w:val="1"/>
          <w:numId w:val="36"/>
        </w:numPr>
        <w:tabs>
          <w:tab w:pos="1212" w:val="left" w:leader="none"/>
        </w:tabs>
        <w:spacing w:line="240" w:lineRule="auto" w:before="0" w:after="0"/>
        <w:ind w:left="1180" w:right="38" w:hanging="360"/>
        <w:jc w:val="left"/>
        <w:rPr>
          <w:sz w:val="24"/>
        </w:rPr>
      </w:pPr>
      <w:r>
        <w:rPr>
          <w:sz w:val="24"/>
        </w:rPr>
        <w:t>Permiso de cremación de cadáveres y/o sus restos, previa autorización de la autoridad</w:t>
      </w:r>
      <w:r>
        <w:rPr>
          <w:spacing w:val="-4"/>
          <w:sz w:val="24"/>
        </w:rPr>
        <w:t> </w:t>
      </w:r>
      <w:r>
        <w:rPr>
          <w:sz w:val="24"/>
        </w:rPr>
        <w:t>competente</w:t>
      </w:r>
    </w:p>
    <w:p>
      <w:pPr>
        <w:pStyle w:val="ListParagraph"/>
        <w:numPr>
          <w:ilvl w:val="1"/>
          <w:numId w:val="36"/>
        </w:numPr>
        <w:tabs>
          <w:tab w:pos="1180" w:val="left" w:leader="none"/>
          <w:tab w:pos="1181" w:val="left" w:leader="none"/>
        </w:tabs>
        <w:spacing w:line="240" w:lineRule="auto" w:before="0" w:after="0"/>
        <w:ind w:left="1180" w:right="41" w:hanging="360"/>
        <w:jc w:val="left"/>
        <w:rPr>
          <w:sz w:val="24"/>
        </w:rPr>
      </w:pPr>
      <w:r>
        <w:rPr>
          <w:sz w:val="24"/>
        </w:rPr>
        <w:t>Permiso para traslado de cadáveres y/o sus restos a otro municipio</w:t>
      </w:r>
    </w:p>
    <w:p>
      <w:pPr>
        <w:pStyle w:val="ListParagraph"/>
        <w:numPr>
          <w:ilvl w:val="1"/>
          <w:numId w:val="36"/>
        </w:numPr>
        <w:tabs>
          <w:tab w:pos="1181" w:val="left" w:leader="none"/>
        </w:tabs>
        <w:spacing w:line="240" w:lineRule="auto" w:before="0" w:after="0"/>
        <w:ind w:left="1180" w:right="40" w:hanging="360"/>
        <w:jc w:val="left"/>
        <w:rPr>
          <w:sz w:val="24"/>
        </w:rPr>
      </w:pPr>
      <w:r>
        <w:rPr/>
        <w:drawing>
          <wp:anchor distT="0" distB="0" distL="0" distR="0" allowOverlap="1" layoutInCell="1" locked="0" behindDoc="1" simplePos="0" relativeHeight="227505152">
            <wp:simplePos x="0" y="0"/>
            <wp:positionH relativeFrom="page">
              <wp:posOffset>1252555</wp:posOffset>
            </wp:positionH>
            <wp:positionV relativeFrom="paragraph">
              <wp:posOffset>58113</wp:posOffset>
            </wp:positionV>
            <wp:extent cx="5022641" cy="5144769"/>
            <wp:effectExtent l="0" t="0" r="0" b="0"/>
            <wp:wrapNone/>
            <wp:docPr id="73" name="image32.png"/>
            <wp:cNvGraphicFramePr>
              <a:graphicFrameLocks noChangeAspect="1"/>
            </wp:cNvGraphicFramePr>
            <a:graphic>
              <a:graphicData uri="http://schemas.openxmlformats.org/drawingml/2006/picture">
                <pic:pic>
                  <pic:nvPicPr>
                    <pic:cNvPr id="74" name="image32.png"/>
                    <pic:cNvPicPr/>
                  </pic:nvPicPr>
                  <pic:blipFill>
                    <a:blip r:embed="rId42" cstate="print"/>
                    <a:stretch>
                      <a:fillRect/>
                    </a:stretch>
                  </pic:blipFill>
                  <pic:spPr>
                    <a:xfrm>
                      <a:off x="0" y="0"/>
                      <a:ext cx="5022641" cy="5144769"/>
                    </a:xfrm>
                    <a:prstGeom prst="rect">
                      <a:avLst/>
                    </a:prstGeom>
                  </pic:spPr>
                </pic:pic>
              </a:graphicData>
            </a:graphic>
          </wp:anchor>
        </w:drawing>
      </w:r>
      <w:r>
        <w:rPr>
          <w:sz w:val="24"/>
        </w:rPr>
        <w:t>Permiso para la re inhumación de cadáveres y/o sus</w:t>
      </w:r>
      <w:r>
        <w:rPr>
          <w:spacing w:val="43"/>
          <w:sz w:val="24"/>
        </w:rPr>
        <w:t> </w:t>
      </w:r>
      <w:r>
        <w:rPr>
          <w:sz w:val="24"/>
        </w:rPr>
        <w:t>restos áridos o cremados</w:t>
      </w:r>
    </w:p>
    <w:p>
      <w:pPr>
        <w:pStyle w:val="BodyText"/>
      </w:pPr>
      <w:r>
        <w:rPr/>
        <w:br w:type="column"/>
      </w:r>
      <w:r>
        <w:rPr/>
      </w:r>
    </w:p>
    <w:p>
      <w:pPr>
        <w:pStyle w:val="BodyText"/>
        <w:ind w:left="820"/>
      </w:pPr>
      <w:r>
        <w:rPr/>
        <w:t>273.21</w:t>
      </w:r>
    </w:p>
    <w:p>
      <w:pPr>
        <w:pStyle w:val="BodyText"/>
      </w:pPr>
    </w:p>
    <w:p>
      <w:pPr>
        <w:pStyle w:val="BodyText"/>
        <w:ind w:left="820"/>
      </w:pPr>
      <w:r>
        <w:rPr/>
        <w:t>243.75</w:t>
      </w:r>
    </w:p>
    <w:p>
      <w:pPr>
        <w:pStyle w:val="BodyText"/>
      </w:pPr>
    </w:p>
    <w:p>
      <w:pPr>
        <w:pStyle w:val="BodyText"/>
        <w:ind w:left="820"/>
      </w:pPr>
      <w:r>
        <w:rPr/>
        <w:t>265.18</w:t>
      </w:r>
    </w:p>
    <w:p>
      <w:pPr>
        <w:spacing w:after="0"/>
        <w:sectPr>
          <w:type w:val="continuous"/>
          <w:pgSz w:w="12250" w:h="15850"/>
          <w:pgMar w:top="840" w:bottom="280" w:left="860" w:right="820"/>
          <w:cols w:num="2" w:equalWidth="0">
            <w:col w:w="8127" w:space="380"/>
            <w:col w:w="2063"/>
          </w:cols>
        </w:sectPr>
      </w:pPr>
    </w:p>
    <w:p>
      <w:pPr>
        <w:pStyle w:val="BodyText"/>
        <w:rPr>
          <w:sz w:val="16"/>
        </w:rPr>
      </w:pPr>
    </w:p>
    <w:p>
      <w:pPr>
        <w:pStyle w:val="ListParagraph"/>
        <w:numPr>
          <w:ilvl w:val="1"/>
          <w:numId w:val="36"/>
        </w:numPr>
        <w:tabs>
          <w:tab w:pos="1212" w:val="left" w:leader="none"/>
          <w:tab w:pos="10062" w:val="right" w:leader="none"/>
        </w:tabs>
        <w:spacing w:line="240" w:lineRule="auto" w:before="92" w:after="0"/>
        <w:ind w:left="1211" w:right="0" w:hanging="392"/>
        <w:jc w:val="left"/>
        <w:rPr>
          <w:sz w:val="24"/>
        </w:rPr>
      </w:pPr>
      <w:r>
        <w:rPr>
          <w:sz w:val="24"/>
        </w:rPr>
        <w:t>Por registro por</w:t>
      </w:r>
      <w:r>
        <w:rPr>
          <w:spacing w:val="-2"/>
          <w:sz w:val="24"/>
        </w:rPr>
        <w:t> </w:t>
      </w:r>
      <w:r>
        <w:rPr>
          <w:sz w:val="24"/>
        </w:rPr>
        <w:t>sentencias judiciales</w:t>
        <w:tab/>
        <w:t>241.07</w:t>
      </w:r>
    </w:p>
    <w:p>
      <w:pPr>
        <w:pStyle w:val="BodyText"/>
      </w:pPr>
    </w:p>
    <w:p>
      <w:pPr>
        <w:pStyle w:val="Heading1"/>
        <w:numPr>
          <w:ilvl w:val="0"/>
          <w:numId w:val="36"/>
        </w:numPr>
        <w:tabs>
          <w:tab w:pos="1219" w:val="left" w:leader="none"/>
        </w:tabs>
        <w:spacing w:line="240" w:lineRule="auto" w:before="0" w:after="0"/>
        <w:ind w:left="1218" w:right="0" w:hanging="473"/>
        <w:jc w:val="left"/>
      </w:pPr>
      <w:r>
        <w:rPr/>
        <w:t>Servicios</w:t>
      </w:r>
      <w:r>
        <w:rPr>
          <w:spacing w:val="-3"/>
        </w:rPr>
        <w:t> </w:t>
      </w:r>
      <w:r>
        <w:rPr/>
        <w:t>diversos</w:t>
      </w:r>
    </w:p>
    <w:p>
      <w:pPr>
        <w:pStyle w:val="BodyText"/>
        <w:rPr>
          <w:b/>
        </w:rPr>
      </w:pPr>
    </w:p>
    <w:p>
      <w:pPr>
        <w:tabs>
          <w:tab w:pos="8487" w:val="left" w:leader="none"/>
        </w:tabs>
        <w:spacing w:before="1"/>
        <w:ind w:left="2500" w:right="0" w:firstLine="0"/>
        <w:jc w:val="left"/>
        <w:rPr>
          <w:b/>
          <w:sz w:val="24"/>
        </w:rPr>
      </w:pPr>
      <w:r>
        <w:rPr>
          <w:b/>
          <w:sz w:val="24"/>
        </w:rPr>
        <w:t>Concepto</w:t>
        <w:tab/>
        <w:t>Importe</w:t>
      </w:r>
      <w:r>
        <w:rPr>
          <w:b/>
          <w:spacing w:val="1"/>
          <w:sz w:val="24"/>
        </w:rPr>
        <w:t> </w:t>
      </w:r>
      <w:r>
        <w:rPr>
          <w:b/>
          <w:sz w:val="24"/>
        </w:rPr>
        <w:t>$</w:t>
      </w:r>
    </w:p>
    <w:p>
      <w:pPr>
        <w:pStyle w:val="ListParagraph"/>
        <w:numPr>
          <w:ilvl w:val="1"/>
          <w:numId w:val="36"/>
        </w:numPr>
        <w:tabs>
          <w:tab w:pos="1675" w:val="left" w:leader="none"/>
          <w:tab w:pos="2977" w:val="left" w:leader="none"/>
          <w:tab w:pos="3269" w:val="left" w:leader="none"/>
          <w:tab w:pos="3651" w:val="left" w:leader="none"/>
          <w:tab w:pos="3983" w:val="left" w:leader="none"/>
          <w:tab w:pos="4885" w:val="left" w:leader="none"/>
          <w:tab w:pos="5032" w:val="left" w:leader="none"/>
        </w:tabs>
        <w:spacing w:line="240" w:lineRule="auto" w:before="0" w:after="0"/>
        <w:ind w:left="1674" w:right="5407" w:hanging="360"/>
        <w:jc w:val="left"/>
        <w:rPr>
          <w:sz w:val="24"/>
        </w:rPr>
      </w:pPr>
      <w:r>
        <w:rPr>
          <w:sz w:val="24"/>
        </w:rPr>
        <w:t>Registro</w:t>
        <w:tab/>
        <w:t>de</w:t>
        <w:tab/>
        <w:tab/>
        <w:t>adopción</w:t>
        <w:tab/>
        <w:tab/>
      </w:r>
      <w:r>
        <w:rPr>
          <w:spacing w:val="-17"/>
          <w:sz w:val="24"/>
        </w:rPr>
        <w:t>y </w:t>
      </w:r>
      <w:r>
        <w:rPr>
          <w:sz w:val="24"/>
        </w:rPr>
        <w:t>expedición</w:t>
        <w:tab/>
        <w:tab/>
        <w:t>de</w:t>
        <w:tab/>
        <w:tab/>
        <w:t>acta</w:t>
        <w:tab/>
      </w:r>
      <w:r>
        <w:rPr>
          <w:spacing w:val="-9"/>
          <w:sz w:val="24"/>
        </w:rPr>
        <w:t>de</w:t>
      </w:r>
    </w:p>
    <w:p>
      <w:pPr>
        <w:spacing w:after="0" w:line="240" w:lineRule="auto"/>
        <w:jc w:val="left"/>
        <w:rPr>
          <w:sz w:val="24"/>
        </w:rPr>
        <w:sectPr>
          <w:type w:val="continuous"/>
          <w:pgSz w:w="12250" w:h="15850"/>
          <w:pgMar w:top="840" w:bottom="280" w:left="860" w:right="820"/>
        </w:sectPr>
      </w:pPr>
    </w:p>
    <w:p>
      <w:pPr>
        <w:pStyle w:val="BodyText"/>
        <w:tabs>
          <w:tab w:pos="3079" w:val="left" w:leader="none"/>
          <w:tab w:pos="4242" w:val="left" w:leader="none"/>
          <w:tab w:pos="4751" w:val="left" w:leader="none"/>
        </w:tabs>
        <w:ind w:left="1674" w:right="38"/>
      </w:pPr>
      <w:r>
        <w:rPr/>
        <w:t>nacimiento</w:t>
        <w:tab/>
        <w:t>derivado</w:t>
        <w:tab/>
        <w:t>de</w:t>
        <w:tab/>
      </w:r>
      <w:r>
        <w:rPr>
          <w:spacing w:val="-6"/>
        </w:rPr>
        <w:t>una </w:t>
      </w:r>
      <w:r>
        <w:rPr/>
        <w:t>adopción por primera</w:t>
      </w:r>
      <w:r>
        <w:rPr>
          <w:spacing w:val="-3"/>
        </w:rPr>
        <w:t> </w:t>
      </w:r>
      <w:r>
        <w:rPr/>
        <w:t>vez</w:t>
      </w:r>
    </w:p>
    <w:p>
      <w:pPr>
        <w:pStyle w:val="BodyText"/>
        <w:ind w:left="1674"/>
      </w:pPr>
      <w:r>
        <w:rPr/>
        <w:br w:type="column"/>
      </w:r>
      <w:r>
        <w:rPr/>
        <w:t>Exento</w:t>
      </w:r>
    </w:p>
    <w:p>
      <w:pPr>
        <w:spacing w:after="0"/>
        <w:sectPr>
          <w:type w:val="continuous"/>
          <w:pgSz w:w="12250" w:h="15850"/>
          <w:pgMar w:top="840" w:bottom="280" w:left="860" w:right="820"/>
          <w:cols w:num="2" w:equalWidth="0">
            <w:col w:w="5194" w:space="1953"/>
            <w:col w:w="3423"/>
          </w:cols>
        </w:sectPr>
      </w:pPr>
    </w:p>
    <w:p>
      <w:pPr>
        <w:pStyle w:val="ListParagraph"/>
        <w:numPr>
          <w:ilvl w:val="1"/>
          <w:numId w:val="36"/>
        </w:numPr>
        <w:tabs>
          <w:tab w:pos="1675" w:val="left" w:leader="none"/>
          <w:tab w:pos="9567" w:val="right" w:leader="none"/>
        </w:tabs>
        <w:spacing w:line="240" w:lineRule="auto" w:before="0" w:after="0"/>
        <w:ind w:left="1674" w:right="0" w:hanging="361"/>
        <w:jc w:val="left"/>
        <w:rPr>
          <w:sz w:val="24"/>
        </w:rPr>
      </w:pPr>
      <w:r>
        <w:rPr>
          <w:sz w:val="24"/>
        </w:rPr>
        <w:t>Por acta</w:t>
      </w:r>
      <w:r>
        <w:rPr>
          <w:spacing w:val="-1"/>
          <w:sz w:val="24"/>
        </w:rPr>
        <w:t> </w:t>
      </w:r>
      <w:r>
        <w:rPr>
          <w:sz w:val="24"/>
        </w:rPr>
        <w:t>de adopción</w:t>
        <w:tab/>
        <w:t>487.50</w:t>
      </w:r>
    </w:p>
    <w:p>
      <w:pPr>
        <w:spacing w:after="0" w:line="240" w:lineRule="auto"/>
        <w:jc w:val="left"/>
        <w:rPr>
          <w:sz w:val="24"/>
        </w:rPr>
        <w:sectPr>
          <w:type w:val="continuous"/>
          <w:pgSz w:w="12250" w:h="15850"/>
          <w:pgMar w:top="840" w:bottom="280" w:left="860" w:right="820"/>
        </w:sectPr>
      </w:pPr>
    </w:p>
    <w:p>
      <w:pPr>
        <w:pStyle w:val="ListParagraph"/>
        <w:numPr>
          <w:ilvl w:val="1"/>
          <w:numId w:val="36"/>
        </w:numPr>
        <w:tabs>
          <w:tab w:pos="1675" w:val="left" w:leader="none"/>
        </w:tabs>
        <w:spacing w:line="240" w:lineRule="auto" w:before="0" w:after="0"/>
        <w:ind w:left="1674" w:right="38" w:hanging="360"/>
        <w:jc w:val="both"/>
        <w:rPr>
          <w:sz w:val="24"/>
        </w:rPr>
      </w:pPr>
      <w:r>
        <w:rPr>
          <w:sz w:val="24"/>
        </w:rPr>
        <w:t>Rectificación y/o  modificación de actas del registro civil, por resolución</w:t>
      </w:r>
      <w:r>
        <w:rPr>
          <w:spacing w:val="-1"/>
          <w:sz w:val="24"/>
        </w:rPr>
        <w:t> </w:t>
      </w:r>
      <w:r>
        <w:rPr>
          <w:sz w:val="24"/>
        </w:rPr>
        <w:t>judicial</w:t>
      </w:r>
    </w:p>
    <w:p>
      <w:pPr>
        <w:pStyle w:val="ListParagraph"/>
        <w:numPr>
          <w:ilvl w:val="1"/>
          <w:numId w:val="36"/>
        </w:numPr>
        <w:tabs>
          <w:tab w:pos="1675" w:val="left" w:leader="none"/>
          <w:tab w:pos="2893" w:val="left" w:leader="none"/>
          <w:tab w:pos="4299" w:val="left" w:leader="none"/>
        </w:tabs>
        <w:spacing w:line="240" w:lineRule="auto" w:before="0" w:after="0"/>
        <w:ind w:left="1674" w:right="41" w:hanging="360"/>
        <w:jc w:val="both"/>
        <w:rPr>
          <w:sz w:val="24"/>
        </w:rPr>
      </w:pPr>
      <w:r>
        <w:rPr>
          <w:sz w:val="24"/>
        </w:rPr>
        <w:t>Aclaración de actas del registro civil,</w:t>
        <w:tab/>
        <w:t>previo</w:t>
        <w:tab/>
      </w:r>
      <w:r>
        <w:rPr>
          <w:spacing w:val="-4"/>
          <w:sz w:val="24"/>
        </w:rPr>
        <w:t>proceso </w:t>
      </w:r>
      <w:r>
        <w:rPr>
          <w:sz w:val="24"/>
        </w:rPr>
        <w:t>administrativo</w:t>
      </w:r>
    </w:p>
    <w:p>
      <w:pPr>
        <w:pStyle w:val="ListParagraph"/>
        <w:numPr>
          <w:ilvl w:val="1"/>
          <w:numId w:val="36"/>
        </w:numPr>
        <w:tabs>
          <w:tab w:pos="1675" w:val="left" w:leader="none"/>
        </w:tabs>
        <w:spacing w:line="240" w:lineRule="auto" w:before="0" w:after="0"/>
        <w:ind w:left="1674" w:right="43" w:hanging="360"/>
        <w:jc w:val="both"/>
        <w:rPr>
          <w:sz w:val="24"/>
        </w:rPr>
      </w:pPr>
      <w:r>
        <w:rPr>
          <w:sz w:val="24"/>
        </w:rPr>
        <w:t>Localización de datos en libros y archivos del registro</w:t>
      </w:r>
      <w:r>
        <w:rPr>
          <w:spacing w:val="-1"/>
          <w:sz w:val="24"/>
        </w:rPr>
        <w:t> </w:t>
      </w:r>
      <w:r>
        <w:rPr>
          <w:sz w:val="24"/>
        </w:rPr>
        <w:t>civil</w:t>
      </w:r>
    </w:p>
    <w:p>
      <w:pPr>
        <w:pStyle w:val="ListParagraph"/>
        <w:numPr>
          <w:ilvl w:val="1"/>
          <w:numId w:val="36"/>
        </w:numPr>
        <w:tabs>
          <w:tab w:pos="1675" w:val="left" w:leader="none"/>
        </w:tabs>
        <w:spacing w:line="240" w:lineRule="auto" w:before="0" w:after="0"/>
        <w:ind w:left="1674" w:right="39" w:hanging="360"/>
        <w:jc w:val="both"/>
        <w:rPr>
          <w:sz w:val="24"/>
        </w:rPr>
      </w:pPr>
      <w:r>
        <w:rPr>
          <w:sz w:val="24"/>
        </w:rPr>
        <w:t>Fotocopias certificadas de documentos del archivo del registro civil, por cada</w:t>
      </w:r>
      <w:r>
        <w:rPr>
          <w:spacing w:val="-6"/>
          <w:sz w:val="24"/>
        </w:rPr>
        <w:t> </w:t>
      </w:r>
      <w:r>
        <w:rPr>
          <w:sz w:val="24"/>
        </w:rPr>
        <w:t>hoja</w:t>
      </w:r>
    </w:p>
    <w:p>
      <w:pPr>
        <w:pStyle w:val="ListParagraph"/>
        <w:numPr>
          <w:ilvl w:val="1"/>
          <w:numId w:val="36"/>
        </w:numPr>
        <w:tabs>
          <w:tab w:pos="1675" w:val="left" w:leader="none"/>
        </w:tabs>
        <w:spacing w:line="240" w:lineRule="auto" w:before="0" w:after="0"/>
        <w:ind w:left="1674" w:right="40" w:hanging="360"/>
        <w:jc w:val="both"/>
        <w:rPr>
          <w:sz w:val="24"/>
        </w:rPr>
      </w:pPr>
      <w:r>
        <w:rPr>
          <w:sz w:val="24"/>
        </w:rPr>
        <w:t>Certificaciones de inexistencia de actas del registro</w:t>
      </w:r>
      <w:r>
        <w:rPr>
          <w:spacing w:val="-6"/>
          <w:sz w:val="24"/>
        </w:rPr>
        <w:t> </w:t>
      </w:r>
      <w:r>
        <w:rPr>
          <w:sz w:val="24"/>
        </w:rPr>
        <w:t>civil</w:t>
      </w:r>
    </w:p>
    <w:p>
      <w:pPr>
        <w:pStyle w:val="ListParagraph"/>
        <w:numPr>
          <w:ilvl w:val="1"/>
          <w:numId w:val="36"/>
        </w:numPr>
        <w:tabs>
          <w:tab w:pos="1675" w:val="left" w:leader="none"/>
        </w:tabs>
        <w:spacing w:line="240" w:lineRule="auto" w:before="0" w:after="0"/>
        <w:ind w:left="1674" w:right="41" w:hanging="360"/>
        <w:jc w:val="both"/>
        <w:rPr>
          <w:sz w:val="24"/>
        </w:rPr>
      </w:pPr>
      <w:r>
        <w:rPr>
          <w:sz w:val="24"/>
        </w:rPr>
        <w:t>Anotación marginal en acta de nacimiento</w:t>
      </w:r>
    </w:p>
    <w:p>
      <w:pPr>
        <w:pStyle w:val="ListParagraph"/>
        <w:numPr>
          <w:ilvl w:val="1"/>
          <w:numId w:val="36"/>
        </w:numPr>
        <w:tabs>
          <w:tab w:pos="1675" w:val="left" w:leader="none"/>
        </w:tabs>
        <w:spacing w:line="240" w:lineRule="auto" w:before="0" w:after="0"/>
        <w:ind w:left="1674" w:right="42" w:hanging="360"/>
        <w:jc w:val="both"/>
        <w:rPr>
          <w:sz w:val="24"/>
        </w:rPr>
      </w:pPr>
      <w:r>
        <w:rPr>
          <w:sz w:val="24"/>
        </w:rPr>
        <w:t>Por cada certificación de acta del registro civil enviada a domicilio, más gastos de envío, según la localidad y el modo de envío (correo o</w:t>
      </w:r>
      <w:r>
        <w:rPr>
          <w:spacing w:val="-5"/>
          <w:sz w:val="24"/>
        </w:rPr>
        <w:t> </w:t>
      </w:r>
      <w:r>
        <w:rPr>
          <w:sz w:val="24"/>
        </w:rPr>
        <w:t>paquetería).</w:t>
      </w:r>
    </w:p>
    <w:p>
      <w:pPr>
        <w:pStyle w:val="ListParagraph"/>
        <w:numPr>
          <w:ilvl w:val="1"/>
          <w:numId w:val="36"/>
        </w:numPr>
        <w:tabs>
          <w:tab w:pos="1675" w:val="left" w:leader="none"/>
        </w:tabs>
        <w:spacing w:line="240" w:lineRule="auto" w:before="0" w:after="0"/>
        <w:ind w:left="1674" w:right="42" w:hanging="360"/>
        <w:jc w:val="both"/>
        <w:rPr>
          <w:sz w:val="24"/>
        </w:rPr>
      </w:pPr>
      <w:r>
        <w:rPr>
          <w:sz w:val="24"/>
        </w:rPr>
        <w:t>Fotocopias certificadas de capitulaciones</w:t>
      </w:r>
      <w:r>
        <w:rPr>
          <w:spacing w:val="-3"/>
          <w:sz w:val="24"/>
        </w:rPr>
        <w:t> </w:t>
      </w:r>
      <w:r>
        <w:rPr>
          <w:sz w:val="24"/>
        </w:rPr>
        <w:t>matrimoniales.</w:t>
      </w:r>
    </w:p>
    <w:p>
      <w:pPr>
        <w:pStyle w:val="BodyText"/>
        <w:ind w:right="992"/>
        <w:jc w:val="right"/>
      </w:pPr>
      <w:r>
        <w:rPr/>
        <w:br w:type="column"/>
      </w:r>
      <w:r>
        <w:rPr>
          <w:spacing w:val="-1"/>
        </w:rPr>
        <w:t>292.86</w:t>
      </w:r>
    </w:p>
    <w:p>
      <w:pPr>
        <w:pStyle w:val="BodyText"/>
        <w:rPr>
          <w:sz w:val="26"/>
        </w:rPr>
      </w:pPr>
    </w:p>
    <w:p>
      <w:pPr>
        <w:pStyle w:val="BodyText"/>
        <w:rPr>
          <w:sz w:val="22"/>
        </w:rPr>
      </w:pPr>
    </w:p>
    <w:p>
      <w:pPr>
        <w:pStyle w:val="BodyText"/>
        <w:ind w:right="992"/>
        <w:jc w:val="right"/>
      </w:pPr>
      <w:r>
        <w:rPr>
          <w:spacing w:val="-1"/>
        </w:rPr>
        <w:t>292.86</w:t>
      </w:r>
    </w:p>
    <w:p>
      <w:pPr>
        <w:pStyle w:val="BodyText"/>
        <w:rPr>
          <w:sz w:val="26"/>
        </w:rPr>
      </w:pPr>
    </w:p>
    <w:p>
      <w:pPr>
        <w:pStyle w:val="BodyText"/>
        <w:rPr>
          <w:sz w:val="22"/>
        </w:rPr>
      </w:pPr>
    </w:p>
    <w:p>
      <w:pPr>
        <w:pStyle w:val="BodyText"/>
        <w:ind w:right="991"/>
        <w:jc w:val="right"/>
      </w:pPr>
      <w:r>
        <w:rPr>
          <w:spacing w:val="-1"/>
        </w:rPr>
        <w:t>97.32</w:t>
      </w:r>
    </w:p>
    <w:p>
      <w:pPr>
        <w:pStyle w:val="BodyText"/>
      </w:pPr>
    </w:p>
    <w:p>
      <w:pPr>
        <w:pStyle w:val="BodyText"/>
        <w:ind w:right="991"/>
        <w:jc w:val="right"/>
      </w:pPr>
      <w:r>
        <w:rPr>
          <w:spacing w:val="-1"/>
        </w:rPr>
        <w:t>48.21</w:t>
      </w:r>
    </w:p>
    <w:p>
      <w:pPr>
        <w:pStyle w:val="BodyText"/>
        <w:rPr>
          <w:sz w:val="26"/>
        </w:rPr>
      </w:pPr>
    </w:p>
    <w:p>
      <w:pPr>
        <w:pStyle w:val="BodyText"/>
        <w:rPr>
          <w:sz w:val="22"/>
        </w:rPr>
      </w:pPr>
    </w:p>
    <w:p>
      <w:pPr>
        <w:pStyle w:val="BodyText"/>
        <w:ind w:right="991"/>
        <w:jc w:val="right"/>
      </w:pPr>
      <w:r>
        <w:rPr>
          <w:spacing w:val="-1"/>
        </w:rPr>
        <w:t>87.50</w:t>
      </w:r>
    </w:p>
    <w:p>
      <w:pPr>
        <w:pStyle w:val="BodyText"/>
        <w:spacing w:before="9"/>
        <w:rPr>
          <w:sz w:val="23"/>
        </w:rPr>
      </w:pPr>
    </w:p>
    <w:p>
      <w:pPr>
        <w:pStyle w:val="BodyText"/>
        <w:spacing w:before="1"/>
        <w:ind w:right="992"/>
        <w:jc w:val="right"/>
      </w:pPr>
      <w:r>
        <w:rPr>
          <w:spacing w:val="-1"/>
        </w:rPr>
        <w:t>242.86</w:t>
      </w:r>
    </w:p>
    <w:p>
      <w:pPr>
        <w:pStyle w:val="BodyText"/>
        <w:spacing w:before="11"/>
        <w:rPr>
          <w:sz w:val="23"/>
        </w:rPr>
      </w:pPr>
    </w:p>
    <w:p>
      <w:pPr>
        <w:pStyle w:val="BodyText"/>
        <w:ind w:right="991"/>
        <w:jc w:val="right"/>
      </w:pPr>
      <w:r>
        <w:rPr>
          <w:spacing w:val="-1"/>
        </w:rPr>
        <w:t>97.32</w:t>
      </w:r>
    </w:p>
    <w:p>
      <w:pPr>
        <w:pStyle w:val="BodyText"/>
        <w:rPr>
          <w:sz w:val="26"/>
        </w:rPr>
      </w:pPr>
    </w:p>
    <w:p>
      <w:pPr>
        <w:pStyle w:val="BodyText"/>
        <w:rPr>
          <w:sz w:val="26"/>
        </w:rPr>
      </w:pPr>
    </w:p>
    <w:p>
      <w:pPr>
        <w:pStyle w:val="BodyText"/>
        <w:rPr>
          <w:sz w:val="26"/>
        </w:rPr>
      </w:pPr>
    </w:p>
    <w:p>
      <w:pPr>
        <w:pStyle w:val="BodyText"/>
        <w:spacing w:before="208"/>
        <w:ind w:right="992"/>
        <w:jc w:val="right"/>
      </w:pPr>
      <w:r>
        <w:rPr>
          <w:spacing w:val="-1"/>
        </w:rPr>
        <w:t>116.96</w:t>
      </w:r>
    </w:p>
    <w:p>
      <w:pPr>
        <w:spacing w:after="0"/>
        <w:jc w:val="right"/>
        <w:sectPr>
          <w:type w:val="continuous"/>
          <w:pgSz w:w="12250" w:h="15850"/>
          <w:pgMar w:top="840" w:bottom="280" w:left="860" w:right="820"/>
          <w:cols w:num="2" w:equalWidth="0">
            <w:col w:w="5197" w:space="2321"/>
            <w:col w:w="3052"/>
          </w:cols>
        </w:sectPr>
      </w:pPr>
    </w:p>
    <w:p>
      <w:pPr>
        <w:pStyle w:val="ListParagraph"/>
        <w:numPr>
          <w:ilvl w:val="1"/>
          <w:numId w:val="36"/>
        </w:numPr>
        <w:tabs>
          <w:tab w:pos="1675" w:val="left" w:leader="none"/>
          <w:tab w:pos="9568" w:val="right" w:leader="none"/>
        </w:tabs>
        <w:spacing w:line="275" w:lineRule="exact" w:before="0" w:after="0"/>
        <w:ind w:left="1674" w:right="0" w:hanging="361"/>
        <w:jc w:val="left"/>
        <w:rPr>
          <w:sz w:val="24"/>
        </w:rPr>
      </w:pPr>
      <w:r>
        <w:rPr>
          <w:sz w:val="24"/>
        </w:rPr>
        <w:t>Fotocopia simple</w:t>
      </w:r>
      <w:r>
        <w:rPr>
          <w:spacing w:val="-3"/>
          <w:sz w:val="24"/>
        </w:rPr>
        <w:t> </w:t>
      </w:r>
      <w:r>
        <w:rPr>
          <w:sz w:val="24"/>
        </w:rPr>
        <w:t>de</w:t>
      </w:r>
      <w:r>
        <w:rPr>
          <w:spacing w:val="-2"/>
          <w:sz w:val="24"/>
        </w:rPr>
        <w:t> </w:t>
      </w:r>
      <w:r>
        <w:rPr>
          <w:sz w:val="24"/>
        </w:rPr>
        <w:t>acta</w:t>
        <w:tab/>
        <w:t>18.75</w:t>
      </w:r>
    </w:p>
    <w:p>
      <w:pPr>
        <w:spacing w:after="0" w:line="275" w:lineRule="exact"/>
        <w:jc w:val="left"/>
        <w:rPr>
          <w:sz w:val="24"/>
        </w:rPr>
        <w:sectPr>
          <w:type w:val="continuous"/>
          <w:pgSz w:w="12250" w:h="15850"/>
          <w:pgMar w:top="840" w:bottom="280" w:left="860" w:right="820"/>
        </w:sectPr>
      </w:pPr>
    </w:p>
    <w:p>
      <w:pPr>
        <w:pStyle w:val="ListParagraph"/>
        <w:numPr>
          <w:ilvl w:val="1"/>
          <w:numId w:val="36"/>
        </w:numPr>
        <w:tabs>
          <w:tab w:pos="1674" w:val="left" w:leader="none"/>
          <w:tab w:pos="1675" w:val="left" w:leader="none"/>
        </w:tabs>
        <w:spacing w:line="240" w:lineRule="auto" w:before="0" w:after="0"/>
        <w:ind w:left="1674" w:right="39" w:hanging="360"/>
        <w:jc w:val="left"/>
        <w:rPr>
          <w:sz w:val="24"/>
        </w:rPr>
      </w:pPr>
      <w:r>
        <w:rPr>
          <w:sz w:val="24"/>
        </w:rPr>
        <w:t>Nulidad de actas de estado civil por resolución</w:t>
      </w:r>
      <w:r>
        <w:rPr>
          <w:spacing w:val="-1"/>
          <w:sz w:val="24"/>
        </w:rPr>
        <w:t> </w:t>
      </w:r>
      <w:r>
        <w:rPr>
          <w:sz w:val="24"/>
        </w:rPr>
        <w:t>judicial</w:t>
      </w:r>
    </w:p>
    <w:p>
      <w:pPr>
        <w:pStyle w:val="ListParagraph"/>
        <w:numPr>
          <w:ilvl w:val="1"/>
          <w:numId w:val="36"/>
        </w:numPr>
        <w:tabs>
          <w:tab w:pos="1675" w:val="left" w:leader="none"/>
        </w:tabs>
        <w:spacing w:line="240" w:lineRule="auto" w:before="0" w:after="0"/>
        <w:ind w:left="1674" w:right="38" w:hanging="360"/>
        <w:jc w:val="left"/>
        <w:rPr>
          <w:sz w:val="24"/>
        </w:rPr>
      </w:pPr>
      <w:r>
        <w:rPr>
          <w:sz w:val="24"/>
        </w:rPr>
        <w:t>Certificación de documentos en horas</w:t>
      </w:r>
      <w:r>
        <w:rPr>
          <w:spacing w:val="-1"/>
          <w:sz w:val="24"/>
        </w:rPr>
        <w:t> </w:t>
      </w:r>
      <w:r>
        <w:rPr>
          <w:sz w:val="24"/>
        </w:rPr>
        <w:t>extraordinarias</w:t>
      </w:r>
    </w:p>
    <w:p>
      <w:pPr>
        <w:pStyle w:val="ListParagraph"/>
        <w:numPr>
          <w:ilvl w:val="1"/>
          <w:numId w:val="36"/>
        </w:numPr>
        <w:tabs>
          <w:tab w:pos="1675" w:val="left" w:leader="none"/>
        </w:tabs>
        <w:spacing w:line="240" w:lineRule="auto" w:before="0" w:after="0"/>
        <w:ind w:left="1674" w:right="40" w:hanging="360"/>
        <w:jc w:val="left"/>
        <w:rPr>
          <w:sz w:val="24"/>
        </w:rPr>
      </w:pPr>
      <w:r>
        <w:rPr>
          <w:sz w:val="24"/>
        </w:rPr>
        <w:t>Servicio de registro civil fuera de la oficina en horario</w:t>
      </w:r>
      <w:r>
        <w:rPr>
          <w:spacing w:val="-7"/>
          <w:sz w:val="24"/>
        </w:rPr>
        <w:t> </w:t>
      </w:r>
      <w:r>
        <w:rPr>
          <w:sz w:val="24"/>
        </w:rPr>
        <w:t>ordinario</w:t>
      </w:r>
    </w:p>
    <w:p>
      <w:pPr>
        <w:pStyle w:val="BodyText"/>
        <w:ind w:right="992"/>
        <w:jc w:val="right"/>
      </w:pPr>
      <w:r>
        <w:rPr/>
        <w:br w:type="column"/>
      </w:r>
      <w:r>
        <w:rPr>
          <w:spacing w:val="-1"/>
        </w:rPr>
        <w:t>390.18</w:t>
      </w:r>
    </w:p>
    <w:p>
      <w:pPr>
        <w:pStyle w:val="BodyText"/>
        <w:spacing w:before="11"/>
        <w:rPr>
          <w:sz w:val="23"/>
        </w:rPr>
      </w:pPr>
    </w:p>
    <w:p>
      <w:pPr>
        <w:pStyle w:val="BodyText"/>
        <w:ind w:right="991"/>
        <w:jc w:val="right"/>
      </w:pPr>
      <w:r>
        <w:rPr>
          <w:spacing w:val="-1"/>
        </w:rPr>
        <w:t>97.32</w:t>
      </w:r>
    </w:p>
    <w:p>
      <w:pPr>
        <w:pStyle w:val="BodyText"/>
      </w:pPr>
    </w:p>
    <w:p>
      <w:pPr>
        <w:pStyle w:val="BodyText"/>
        <w:ind w:right="992"/>
        <w:jc w:val="right"/>
      </w:pPr>
      <w:r>
        <w:rPr>
          <w:spacing w:val="-1"/>
        </w:rPr>
        <w:t>487.50</w:t>
      </w:r>
    </w:p>
    <w:p>
      <w:pPr>
        <w:spacing w:after="0"/>
        <w:jc w:val="right"/>
        <w:sectPr>
          <w:type w:val="continuous"/>
          <w:pgSz w:w="12250" w:h="15850"/>
          <w:pgMar w:top="840" w:bottom="280" w:left="860" w:right="820"/>
          <w:cols w:num="2" w:equalWidth="0">
            <w:col w:w="5194" w:space="2324"/>
            <w:col w:w="3052"/>
          </w:cols>
        </w:sectPr>
      </w:pPr>
    </w:p>
    <w:p>
      <w:pPr>
        <w:pStyle w:val="Heading1"/>
        <w:tabs>
          <w:tab w:pos="8487" w:val="left" w:leader="none"/>
        </w:tabs>
        <w:spacing w:before="183"/>
        <w:ind w:left="2500"/>
      </w:pPr>
      <w:r>
        <w:rPr/>
        <w:t>Concepto</w:t>
        <w:tab/>
        <w:t>Importe</w:t>
      </w:r>
      <w:r>
        <w:rPr>
          <w:spacing w:val="1"/>
        </w:rPr>
        <w:t> </w:t>
      </w:r>
      <w:r>
        <w:rPr/>
        <w:t>$</w:t>
      </w:r>
    </w:p>
    <w:p>
      <w:pPr>
        <w:pStyle w:val="BodyText"/>
        <w:rPr>
          <w:b/>
          <w:sz w:val="16"/>
        </w:rPr>
      </w:pPr>
    </w:p>
    <w:p>
      <w:pPr>
        <w:spacing w:after="0"/>
        <w:rPr>
          <w:sz w:val="16"/>
        </w:rPr>
        <w:sectPr>
          <w:pgSz w:w="12250" w:h="15850"/>
          <w:pgMar w:header="730" w:footer="0" w:top="1000" w:bottom="280" w:left="860" w:right="820"/>
        </w:sectPr>
      </w:pPr>
    </w:p>
    <w:p>
      <w:pPr>
        <w:pStyle w:val="ListParagraph"/>
        <w:numPr>
          <w:ilvl w:val="1"/>
          <w:numId w:val="36"/>
        </w:numPr>
        <w:tabs>
          <w:tab w:pos="1675" w:val="left" w:leader="none"/>
        </w:tabs>
        <w:spacing w:line="240" w:lineRule="auto" w:before="92" w:after="0"/>
        <w:ind w:left="1674" w:right="40" w:hanging="360"/>
        <w:jc w:val="both"/>
        <w:rPr>
          <w:sz w:val="24"/>
        </w:rPr>
      </w:pPr>
      <w:r>
        <w:rPr>
          <w:sz w:val="24"/>
        </w:rPr>
        <w:t>Servicio de registro civil fuera de la oficina en </w:t>
      </w:r>
      <w:r>
        <w:rPr>
          <w:spacing w:val="-3"/>
          <w:sz w:val="24"/>
        </w:rPr>
        <w:t>horario </w:t>
      </w:r>
      <w:r>
        <w:rPr>
          <w:sz w:val="24"/>
        </w:rPr>
        <w:t>extraordinario</w:t>
      </w:r>
    </w:p>
    <w:p>
      <w:pPr>
        <w:pStyle w:val="ListParagraph"/>
        <w:numPr>
          <w:ilvl w:val="1"/>
          <w:numId w:val="36"/>
        </w:numPr>
        <w:tabs>
          <w:tab w:pos="1675" w:val="left" w:leader="none"/>
        </w:tabs>
        <w:spacing w:line="240" w:lineRule="auto" w:before="0" w:after="0"/>
        <w:ind w:left="1674" w:right="38" w:hanging="360"/>
        <w:jc w:val="both"/>
        <w:rPr>
          <w:sz w:val="24"/>
        </w:rPr>
      </w:pPr>
      <w:r>
        <w:rPr/>
        <w:drawing>
          <wp:anchor distT="0" distB="0" distL="0" distR="0" allowOverlap="1" layoutInCell="1" locked="0" behindDoc="1" simplePos="0" relativeHeight="227506176">
            <wp:simplePos x="0" y="0"/>
            <wp:positionH relativeFrom="page">
              <wp:posOffset>1239220</wp:posOffset>
            </wp:positionH>
            <wp:positionV relativeFrom="paragraph">
              <wp:posOffset>417777</wp:posOffset>
            </wp:positionV>
            <wp:extent cx="5022641" cy="5144769"/>
            <wp:effectExtent l="0" t="0" r="0" b="0"/>
            <wp:wrapNone/>
            <wp:docPr id="75" name="image33.png"/>
            <wp:cNvGraphicFramePr>
              <a:graphicFrameLocks noChangeAspect="1"/>
            </wp:cNvGraphicFramePr>
            <a:graphic>
              <a:graphicData uri="http://schemas.openxmlformats.org/drawingml/2006/picture">
                <pic:pic>
                  <pic:nvPicPr>
                    <pic:cNvPr id="76" name="image33.png"/>
                    <pic:cNvPicPr/>
                  </pic:nvPicPr>
                  <pic:blipFill>
                    <a:blip r:embed="rId43" cstate="print"/>
                    <a:stretch>
                      <a:fillRect/>
                    </a:stretch>
                  </pic:blipFill>
                  <pic:spPr>
                    <a:xfrm>
                      <a:off x="0" y="0"/>
                      <a:ext cx="5022641" cy="5144769"/>
                    </a:xfrm>
                    <a:prstGeom prst="rect">
                      <a:avLst/>
                    </a:prstGeom>
                  </pic:spPr>
                </pic:pic>
              </a:graphicData>
            </a:graphic>
          </wp:anchor>
        </w:drawing>
      </w:r>
      <w:r>
        <w:rPr>
          <w:sz w:val="24"/>
        </w:rPr>
        <w:t>Servicio de registro civil en oficina en horario extraordinario para trámites</w:t>
      </w:r>
      <w:r>
        <w:rPr>
          <w:spacing w:val="-4"/>
          <w:sz w:val="24"/>
        </w:rPr>
        <w:t> </w:t>
      </w:r>
      <w:r>
        <w:rPr>
          <w:sz w:val="24"/>
        </w:rPr>
        <w:t>exentos.</w:t>
      </w:r>
    </w:p>
    <w:p>
      <w:pPr>
        <w:pStyle w:val="ListParagraph"/>
        <w:numPr>
          <w:ilvl w:val="1"/>
          <w:numId w:val="36"/>
        </w:numPr>
        <w:tabs>
          <w:tab w:pos="1675" w:val="left" w:leader="none"/>
        </w:tabs>
        <w:spacing w:line="240" w:lineRule="auto" w:before="0" w:after="0"/>
        <w:ind w:left="1674" w:right="40" w:hanging="360"/>
        <w:jc w:val="both"/>
        <w:rPr>
          <w:sz w:val="24"/>
        </w:rPr>
      </w:pPr>
      <w:r>
        <w:rPr>
          <w:sz w:val="24"/>
        </w:rPr>
        <w:t>Certificación de actas  </w:t>
      </w:r>
      <w:r>
        <w:rPr>
          <w:spacing w:val="-7"/>
          <w:sz w:val="24"/>
        </w:rPr>
        <w:t>de </w:t>
      </w:r>
      <w:r>
        <w:rPr>
          <w:sz w:val="24"/>
        </w:rPr>
        <w:t>registro</w:t>
      </w:r>
      <w:r>
        <w:rPr>
          <w:spacing w:val="-1"/>
          <w:sz w:val="24"/>
        </w:rPr>
        <w:t> </w:t>
      </w:r>
      <w:r>
        <w:rPr>
          <w:sz w:val="24"/>
        </w:rPr>
        <w:t>civil</w:t>
      </w:r>
    </w:p>
    <w:p>
      <w:pPr>
        <w:pStyle w:val="ListParagraph"/>
        <w:numPr>
          <w:ilvl w:val="1"/>
          <w:numId w:val="36"/>
        </w:numPr>
        <w:tabs>
          <w:tab w:pos="1675" w:val="left" w:leader="none"/>
        </w:tabs>
        <w:spacing w:line="240" w:lineRule="auto" w:before="0" w:after="0"/>
        <w:ind w:left="1674" w:right="41" w:hanging="360"/>
        <w:jc w:val="both"/>
        <w:rPr>
          <w:sz w:val="24"/>
        </w:rPr>
      </w:pPr>
      <w:r>
        <w:rPr>
          <w:sz w:val="24"/>
        </w:rPr>
        <w:t>Constancia de inexistencia de matrimonio</w:t>
      </w:r>
    </w:p>
    <w:p>
      <w:pPr>
        <w:pStyle w:val="ListParagraph"/>
        <w:numPr>
          <w:ilvl w:val="1"/>
          <w:numId w:val="36"/>
        </w:numPr>
        <w:tabs>
          <w:tab w:pos="1675" w:val="left" w:leader="none"/>
        </w:tabs>
        <w:spacing w:line="240" w:lineRule="auto" w:before="1" w:after="0"/>
        <w:ind w:left="1674" w:right="38" w:hanging="360"/>
        <w:jc w:val="both"/>
        <w:rPr>
          <w:sz w:val="24"/>
        </w:rPr>
      </w:pPr>
      <w:r>
        <w:rPr>
          <w:sz w:val="24"/>
        </w:rPr>
        <w:t>Servicio de impresión de actas de</w:t>
      </w:r>
      <w:r>
        <w:rPr>
          <w:spacing w:val="-1"/>
          <w:sz w:val="24"/>
        </w:rPr>
        <w:t> </w:t>
      </w:r>
      <w:r>
        <w:rPr>
          <w:sz w:val="24"/>
        </w:rPr>
        <w:t>Internet</w:t>
      </w:r>
    </w:p>
    <w:p>
      <w:pPr>
        <w:pStyle w:val="ListParagraph"/>
        <w:numPr>
          <w:ilvl w:val="1"/>
          <w:numId w:val="36"/>
        </w:numPr>
        <w:tabs>
          <w:tab w:pos="1675" w:val="left" w:leader="none"/>
        </w:tabs>
        <w:spacing w:line="240" w:lineRule="auto" w:before="0" w:after="0"/>
        <w:ind w:left="1674" w:right="38" w:hanging="360"/>
        <w:jc w:val="both"/>
        <w:rPr>
          <w:sz w:val="22"/>
        </w:rPr>
      </w:pPr>
      <w:r>
        <w:rPr>
          <w:sz w:val="22"/>
        </w:rPr>
        <w:t>Servicio de impresión de la C.U.R.P.</w:t>
      </w:r>
    </w:p>
    <w:p>
      <w:pPr>
        <w:pStyle w:val="ListParagraph"/>
        <w:numPr>
          <w:ilvl w:val="1"/>
          <w:numId w:val="36"/>
        </w:numPr>
        <w:tabs>
          <w:tab w:pos="1675" w:val="left" w:leader="none"/>
          <w:tab w:pos="3353" w:val="left" w:leader="none"/>
          <w:tab w:pos="3967" w:val="left" w:leader="none"/>
          <w:tab w:pos="4886" w:val="left" w:leader="none"/>
        </w:tabs>
        <w:spacing w:line="240" w:lineRule="auto" w:before="1" w:after="0"/>
        <w:ind w:left="1674" w:right="38" w:hanging="360"/>
        <w:jc w:val="left"/>
        <w:rPr>
          <w:sz w:val="24"/>
        </w:rPr>
      </w:pPr>
      <w:r>
        <w:rPr>
          <w:sz w:val="24"/>
        </w:rPr>
        <w:t>Reservación</w:t>
        <w:tab/>
        <w:t>de</w:t>
        <w:tab/>
        <w:t>actas</w:t>
        <w:tab/>
      </w:r>
      <w:r>
        <w:rPr>
          <w:spacing w:val="-9"/>
          <w:sz w:val="24"/>
        </w:rPr>
        <w:t>de </w:t>
      </w:r>
      <w:r>
        <w:rPr>
          <w:sz w:val="24"/>
        </w:rPr>
        <w:t>Registro Civil</w:t>
      </w:r>
    </w:p>
    <w:p>
      <w:pPr>
        <w:pStyle w:val="ListParagraph"/>
        <w:numPr>
          <w:ilvl w:val="1"/>
          <w:numId w:val="36"/>
        </w:numPr>
        <w:tabs>
          <w:tab w:pos="1675" w:val="left" w:leader="none"/>
          <w:tab w:pos="3008" w:val="left" w:leader="none"/>
          <w:tab w:pos="3780" w:val="left" w:leader="none"/>
          <w:tab w:pos="5032" w:val="left" w:leader="none"/>
        </w:tabs>
        <w:spacing w:line="240" w:lineRule="auto" w:before="0" w:after="0"/>
        <w:ind w:left="1674" w:right="39" w:hanging="360"/>
        <w:jc w:val="left"/>
        <w:rPr>
          <w:sz w:val="24"/>
        </w:rPr>
      </w:pPr>
      <w:r>
        <w:rPr>
          <w:sz w:val="24"/>
        </w:rPr>
        <w:t>Cambio</w:t>
        <w:tab/>
        <w:t>de</w:t>
        <w:tab/>
        <w:t>género</w:t>
        <w:tab/>
      </w:r>
      <w:r>
        <w:rPr>
          <w:spacing w:val="-17"/>
          <w:sz w:val="24"/>
        </w:rPr>
        <w:t>y </w:t>
      </w:r>
      <w:r>
        <w:rPr>
          <w:sz w:val="24"/>
        </w:rPr>
        <w:t>reasignación de</w:t>
      </w:r>
      <w:r>
        <w:rPr>
          <w:spacing w:val="-4"/>
          <w:sz w:val="24"/>
        </w:rPr>
        <w:t> </w:t>
      </w:r>
      <w:r>
        <w:rPr>
          <w:sz w:val="24"/>
        </w:rPr>
        <w:t>nombre</w:t>
      </w:r>
    </w:p>
    <w:p>
      <w:pPr>
        <w:pStyle w:val="ListParagraph"/>
        <w:numPr>
          <w:ilvl w:val="1"/>
          <w:numId w:val="36"/>
        </w:numPr>
        <w:tabs>
          <w:tab w:pos="1675" w:val="left" w:leader="none"/>
        </w:tabs>
        <w:spacing w:line="240" w:lineRule="auto" w:before="0" w:after="0"/>
        <w:ind w:left="1674" w:right="41" w:hanging="360"/>
        <w:jc w:val="left"/>
        <w:rPr>
          <w:sz w:val="24"/>
        </w:rPr>
      </w:pPr>
      <w:r>
        <w:rPr>
          <w:sz w:val="24"/>
        </w:rPr>
        <w:t>Solicitud de rectificación de acta de Registro</w:t>
      </w:r>
      <w:r>
        <w:rPr>
          <w:spacing w:val="-1"/>
          <w:sz w:val="24"/>
        </w:rPr>
        <w:t> </w:t>
      </w:r>
      <w:r>
        <w:rPr>
          <w:sz w:val="24"/>
        </w:rPr>
        <w:t>Civil</w:t>
      </w:r>
    </w:p>
    <w:p>
      <w:pPr>
        <w:pStyle w:val="ListParagraph"/>
        <w:numPr>
          <w:ilvl w:val="1"/>
          <w:numId w:val="36"/>
        </w:numPr>
        <w:tabs>
          <w:tab w:pos="1675" w:val="left" w:leader="none"/>
          <w:tab w:pos="3074" w:val="left" w:leader="none"/>
          <w:tab w:pos="3566" w:val="left" w:leader="none"/>
          <w:tab w:pos="4244" w:val="left" w:leader="none"/>
          <w:tab w:pos="4738" w:val="left" w:leader="none"/>
        </w:tabs>
        <w:spacing w:line="240" w:lineRule="auto" w:before="0" w:after="0"/>
        <w:ind w:left="1674" w:right="39" w:hanging="360"/>
        <w:jc w:val="left"/>
        <w:rPr>
          <w:sz w:val="24"/>
        </w:rPr>
      </w:pPr>
      <w:r>
        <w:rPr>
          <w:sz w:val="24"/>
        </w:rPr>
        <w:t>Expedición</w:t>
        <w:tab/>
        <w:t>de</w:t>
        <w:tab/>
        <w:t>acta</w:t>
        <w:tab/>
        <w:t>de</w:t>
        <w:tab/>
      </w:r>
      <w:r>
        <w:rPr>
          <w:spacing w:val="-5"/>
          <w:sz w:val="24"/>
        </w:rPr>
        <w:t>otro </w:t>
      </w:r>
      <w:r>
        <w:rPr>
          <w:sz w:val="24"/>
        </w:rPr>
        <w:t>municipio</w:t>
      </w:r>
    </w:p>
    <w:p>
      <w:pPr>
        <w:pStyle w:val="BodyText"/>
        <w:spacing w:before="92"/>
        <w:ind w:right="992"/>
        <w:jc w:val="right"/>
      </w:pPr>
      <w:r>
        <w:rPr/>
        <w:br w:type="column"/>
      </w:r>
      <w:r>
        <w:rPr>
          <w:spacing w:val="-1"/>
        </w:rPr>
        <w:t>683.04</w:t>
      </w:r>
    </w:p>
    <w:p>
      <w:pPr>
        <w:pStyle w:val="BodyText"/>
        <w:rPr>
          <w:sz w:val="26"/>
        </w:rPr>
      </w:pPr>
    </w:p>
    <w:p>
      <w:pPr>
        <w:pStyle w:val="BodyText"/>
        <w:rPr>
          <w:sz w:val="22"/>
        </w:rPr>
      </w:pPr>
    </w:p>
    <w:p>
      <w:pPr>
        <w:pStyle w:val="BodyText"/>
        <w:ind w:right="991"/>
        <w:jc w:val="right"/>
      </w:pPr>
      <w:r>
        <w:rPr>
          <w:spacing w:val="-1"/>
        </w:rPr>
        <w:t>87.50</w:t>
      </w:r>
    </w:p>
    <w:p>
      <w:pPr>
        <w:pStyle w:val="BodyText"/>
        <w:rPr>
          <w:sz w:val="26"/>
        </w:rPr>
      </w:pPr>
    </w:p>
    <w:p>
      <w:pPr>
        <w:pStyle w:val="BodyText"/>
        <w:rPr>
          <w:sz w:val="22"/>
        </w:rPr>
      </w:pPr>
    </w:p>
    <w:p>
      <w:pPr>
        <w:pStyle w:val="BodyText"/>
        <w:ind w:right="991"/>
        <w:jc w:val="right"/>
      </w:pPr>
      <w:r>
        <w:rPr>
          <w:spacing w:val="-1"/>
        </w:rPr>
        <w:t>48.21</w:t>
      </w:r>
    </w:p>
    <w:p>
      <w:pPr>
        <w:pStyle w:val="BodyText"/>
      </w:pPr>
    </w:p>
    <w:p>
      <w:pPr>
        <w:pStyle w:val="BodyText"/>
        <w:ind w:right="991"/>
        <w:jc w:val="right"/>
      </w:pPr>
      <w:r>
        <w:rPr>
          <w:spacing w:val="-1"/>
        </w:rPr>
        <w:t>86.61</w:t>
      </w:r>
    </w:p>
    <w:p>
      <w:pPr>
        <w:pStyle w:val="BodyText"/>
      </w:pPr>
    </w:p>
    <w:p>
      <w:pPr>
        <w:pStyle w:val="BodyText"/>
        <w:spacing w:before="1"/>
        <w:ind w:right="991"/>
        <w:jc w:val="right"/>
      </w:pPr>
      <w:r>
        <w:rPr>
          <w:spacing w:val="-1"/>
        </w:rPr>
        <w:t>17.86</w:t>
      </w:r>
    </w:p>
    <w:p>
      <w:pPr>
        <w:pStyle w:val="BodyText"/>
      </w:pPr>
    </w:p>
    <w:p>
      <w:pPr>
        <w:pStyle w:val="BodyText"/>
        <w:ind w:right="991"/>
        <w:jc w:val="right"/>
      </w:pPr>
      <w:r>
        <w:rPr/>
        <w:t>4.46</w:t>
      </w:r>
    </w:p>
    <w:p>
      <w:pPr>
        <w:pStyle w:val="BodyText"/>
        <w:spacing w:before="231"/>
        <w:ind w:right="992"/>
        <w:jc w:val="right"/>
      </w:pPr>
      <w:r>
        <w:rPr>
          <w:spacing w:val="-1"/>
        </w:rPr>
        <w:t>378.57</w:t>
      </w:r>
    </w:p>
    <w:p>
      <w:pPr>
        <w:pStyle w:val="BodyText"/>
        <w:spacing w:before="11"/>
        <w:rPr>
          <w:sz w:val="23"/>
        </w:rPr>
      </w:pPr>
    </w:p>
    <w:p>
      <w:pPr>
        <w:pStyle w:val="BodyText"/>
        <w:ind w:right="992"/>
        <w:jc w:val="right"/>
      </w:pPr>
      <w:r>
        <w:rPr>
          <w:spacing w:val="-1"/>
        </w:rPr>
        <w:t>460.71</w:t>
      </w:r>
    </w:p>
    <w:p>
      <w:pPr>
        <w:pStyle w:val="BodyText"/>
      </w:pPr>
    </w:p>
    <w:p>
      <w:pPr>
        <w:pStyle w:val="BodyText"/>
        <w:ind w:right="992"/>
        <w:jc w:val="right"/>
      </w:pPr>
      <w:r>
        <w:rPr>
          <w:spacing w:val="-1"/>
        </w:rPr>
        <w:t>397.32</w:t>
      </w:r>
    </w:p>
    <w:p>
      <w:pPr>
        <w:pStyle w:val="BodyText"/>
      </w:pPr>
    </w:p>
    <w:p>
      <w:pPr>
        <w:pStyle w:val="BodyText"/>
        <w:ind w:right="991"/>
        <w:jc w:val="right"/>
      </w:pPr>
      <w:r>
        <w:rPr>
          <w:spacing w:val="-1"/>
        </w:rPr>
        <w:t>71.43</w:t>
      </w:r>
    </w:p>
    <w:p>
      <w:pPr>
        <w:spacing w:after="0"/>
        <w:jc w:val="right"/>
        <w:sectPr>
          <w:type w:val="continuous"/>
          <w:pgSz w:w="12250" w:h="15850"/>
          <w:pgMar w:top="840" w:bottom="280" w:left="860" w:right="820"/>
          <w:cols w:num="2" w:equalWidth="0">
            <w:col w:w="5195" w:space="2323"/>
            <w:col w:w="3052"/>
          </w:cols>
        </w:sectPr>
      </w:pPr>
    </w:p>
    <w:p>
      <w:pPr>
        <w:pStyle w:val="BodyText"/>
        <w:rPr>
          <w:sz w:val="16"/>
        </w:rPr>
      </w:pPr>
    </w:p>
    <w:p>
      <w:pPr>
        <w:pStyle w:val="Heading1"/>
        <w:spacing w:before="92"/>
        <w:ind w:left="1247" w:right="1281"/>
        <w:jc w:val="center"/>
      </w:pPr>
      <w:r>
        <w:rPr/>
        <w:t>Capítulo Decimo</w:t>
      </w:r>
    </w:p>
    <w:p>
      <w:pPr>
        <w:spacing w:before="0"/>
        <w:ind w:left="446" w:right="480" w:firstLine="0"/>
        <w:jc w:val="center"/>
        <w:rPr>
          <w:b/>
          <w:sz w:val="24"/>
        </w:rPr>
      </w:pPr>
      <w:r>
        <w:rPr>
          <w:b/>
          <w:sz w:val="24"/>
        </w:rPr>
        <w:t>Constancias, Legalizaciones, Certificaciones, Servicios Médicos y de Protección Civil</w:t>
      </w:r>
    </w:p>
    <w:p>
      <w:pPr>
        <w:pStyle w:val="BodyText"/>
        <w:rPr>
          <w:b/>
        </w:rPr>
      </w:pPr>
    </w:p>
    <w:p>
      <w:pPr>
        <w:pStyle w:val="BodyText"/>
        <w:ind w:left="400"/>
      </w:pPr>
      <w:r>
        <w:rPr>
          <w:b/>
        </w:rPr>
        <w:t>Artículo 22.- </w:t>
      </w:r>
      <w:r>
        <w:rPr/>
        <w:t>Los derechos por servicios de expedición de constancias, legalizaciones y certificaciones, se causarán conforme a las cuotas siguientes:</w:t>
      </w:r>
    </w:p>
    <w:p>
      <w:pPr>
        <w:pStyle w:val="Heading1"/>
        <w:numPr>
          <w:ilvl w:val="0"/>
          <w:numId w:val="39"/>
        </w:numPr>
        <w:tabs>
          <w:tab w:pos="1393" w:val="left" w:leader="none"/>
          <w:tab w:pos="1394" w:val="left" w:leader="none"/>
        </w:tabs>
        <w:spacing w:line="240" w:lineRule="auto" w:before="231" w:after="0"/>
        <w:ind w:left="1394" w:right="0" w:hanging="540"/>
        <w:jc w:val="left"/>
      </w:pPr>
      <w:r>
        <w:rPr/>
        <w:t>Secretaría del</w:t>
      </w:r>
      <w:r>
        <w:rPr>
          <w:spacing w:val="-1"/>
        </w:rPr>
        <w:t> </w:t>
      </w:r>
      <w:r>
        <w:rPr/>
        <w:t>Ayuntamiento</w:t>
      </w:r>
    </w:p>
    <w:p>
      <w:pPr>
        <w:pStyle w:val="BodyText"/>
        <w:spacing w:before="5" w:after="1"/>
        <w:rPr>
          <w:b/>
          <w:sz w:val="20"/>
        </w:rPr>
      </w:pPr>
    </w:p>
    <w:tbl>
      <w:tblPr>
        <w:tblW w:w="0" w:type="auto"/>
        <w:jc w:val="left"/>
        <w:tblInd w:w="2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6"/>
        <w:gridCol w:w="594"/>
        <w:gridCol w:w="1109"/>
      </w:tblGrid>
      <w:tr>
        <w:trPr>
          <w:trHeight w:val="272" w:hRule="atLeast"/>
        </w:trPr>
        <w:tc>
          <w:tcPr>
            <w:tcW w:w="6196" w:type="dxa"/>
          </w:tcPr>
          <w:p>
            <w:pPr>
              <w:pStyle w:val="TableParagraph"/>
              <w:spacing w:line="252" w:lineRule="exact"/>
              <w:ind w:left="2206" w:right="2922"/>
              <w:jc w:val="center"/>
              <w:rPr>
                <w:sz w:val="24"/>
              </w:rPr>
            </w:pPr>
            <w:r>
              <w:rPr>
                <w:sz w:val="24"/>
              </w:rPr>
              <w:t>Concepto</w:t>
            </w:r>
          </w:p>
        </w:tc>
        <w:tc>
          <w:tcPr>
            <w:tcW w:w="594" w:type="dxa"/>
          </w:tcPr>
          <w:p>
            <w:pPr>
              <w:pStyle w:val="TableParagraph"/>
              <w:rPr>
                <w:rFonts w:ascii="Times New Roman"/>
                <w:sz w:val="20"/>
              </w:rPr>
            </w:pPr>
          </w:p>
        </w:tc>
        <w:tc>
          <w:tcPr>
            <w:tcW w:w="1109" w:type="dxa"/>
          </w:tcPr>
          <w:p>
            <w:pPr>
              <w:pStyle w:val="TableParagraph"/>
              <w:spacing w:line="252" w:lineRule="exact"/>
              <w:ind w:right="46"/>
              <w:jc w:val="right"/>
              <w:rPr>
                <w:sz w:val="24"/>
              </w:rPr>
            </w:pPr>
            <w:r>
              <w:rPr>
                <w:w w:val="95"/>
                <w:sz w:val="24"/>
              </w:rPr>
              <w:t>Pesos</w:t>
            </w:r>
          </w:p>
        </w:tc>
      </w:tr>
      <w:tr>
        <w:trPr>
          <w:trHeight w:val="276" w:hRule="atLeast"/>
        </w:trPr>
        <w:tc>
          <w:tcPr>
            <w:tcW w:w="6196" w:type="dxa"/>
          </w:tcPr>
          <w:p>
            <w:pPr>
              <w:pStyle w:val="TableParagraph"/>
              <w:spacing w:line="256" w:lineRule="exact"/>
              <w:ind w:left="50"/>
              <w:rPr>
                <w:sz w:val="24"/>
              </w:rPr>
            </w:pPr>
            <w:r>
              <w:rPr>
                <w:sz w:val="24"/>
              </w:rPr>
              <w:t>1. Por cada constancia de ingresos</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52.68</w:t>
            </w:r>
          </w:p>
        </w:tc>
      </w:tr>
      <w:tr>
        <w:trPr>
          <w:trHeight w:val="276" w:hRule="atLeast"/>
        </w:trPr>
        <w:tc>
          <w:tcPr>
            <w:tcW w:w="6196" w:type="dxa"/>
          </w:tcPr>
          <w:p>
            <w:pPr>
              <w:pStyle w:val="TableParagraph"/>
              <w:spacing w:line="256" w:lineRule="exact"/>
              <w:ind w:left="50"/>
              <w:rPr>
                <w:sz w:val="24"/>
              </w:rPr>
            </w:pPr>
            <w:r>
              <w:rPr>
                <w:sz w:val="24"/>
              </w:rPr>
              <w:t>2. Por cada constancia de dependencia económica</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75.89</w:t>
            </w:r>
          </w:p>
        </w:tc>
      </w:tr>
      <w:tr>
        <w:trPr>
          <w:trHeight w:val="276" w:hRule="atLeast"/>
        </w:trPr>
        <w:tc>
          <w:tcPr>
            <w:tcW w:w="6196" w:type="dxa"/>
          </w:tcPr>
          <w:p>
            <w:pPr>
              <w:pStyle w:val="TableParagraph"/>
              <w:spacing w:line="256" w:lineRule="exact"/>
              <w:ind w:left="50"/>
              <w:rPr>
                <w:sz w:val="24"/>
              </w:rPr>
            </w:pPr>
            <w:r>
              <w:rPr>
                <w:sz w:val="24"/>
              </w:rPr>
              <w:t>3. Por cada certificación de firmas, como máximo dos</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48.21</w:t>
            </w:r>
          </w:p>
        </w:tc>
      </w:tr>
      <w:tr>
        <w:trPr>
          <w:trHeight w:val="275" w:hRule="atLeast"/>
        </w:trPr>
        <w:tc>
          <w:tcPr>
            <w:tcW w:w="6196" w:type="dxa"/>
          </w:tcPr>
          <w:p>
            <w:pPr>
              <w:pStyle w:val="TableParagraph"/>
              <w:spacing w:line="256" w:lineRule="exact"/>
              <w:ind w:left="50"/>
              <w:rPr>
                <w:sz w:val="24"/>
              </w:rPr>
            </w:pPr>
            <w:r>
              <w:rPr>
                <w:sz w:val="24"/>
              </w:rPr>
              <w:t>4. Por cada firma excedente</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37.50</w:t>
            </w:r>
          </w:p>
        </w:tc>
      </w:tr>
      <w:tr>
        <w:trPr>
          <w:trHeight w:val="275" w:hRule="atLeast"/>
        </w:trPr>
        <w:tc>
          <w:tcPr>
            <w:tcW w:w="6196" w:type="dxa"/>
          </w:tcPr>
          <w:p>
            <w:pPr>
              <w:pStyle w:val="TableParagraph"/>
              <w:tabs>
                <w:tab w:pos="459" w:val="left" w:leader="none"/>
                <w:tab w:pos="1507" w:val="left" w:leader="none"/>
                <w:tab w:pos="1901" w:val="left" w:leader="none"/>
                <w:tab w:pos="3376" w:val="left" w:leader="none"/>
                <w:tab w:pos="4462" w:val="left" w:leader="none"/>
                <w:tab w:pos="4935" w:val="left" w:leader="none"/>
              </w:tabs>
              <w:spacing w:line="256" w:lineRule="exact"/>
              <w:ind w:left="50"/>
              <w:rPr>
                <w:sz w:val="24"/>
              </w:rPr>
            </w:pPr>
            <w:r>
              <w:rPr>
                <w:sz w:val="24"/>
              </w:rPr>
              <w:t>5.</w:t>
              <w:tab/>
              <w:t>Cuando</w:t>
              <w:tab/>
              <w:t>la</w:t>
              <w:tab/>
              <w:t>certificación</w:t>
              <w:tab/>
              <w:t>requiera</w:t>
              <w:tab/>
              <w:t>de</w:t>
              <w:tab/>
              <w:t>búsqueda</w:t>
            </w:r>
          </w:p>
        </w:tc>
        <w:tc>
          <w:tcPr>
            <w:tcW w:w="594" w:type="dxa"/>
          </w:tcPr>
          <w:p>
            <w:pPr>
              <w:pStyle w:val="TableParagraph"/>
              <w:spacing w:line="256" w:lineRule="exact"/>
              <w:ind w:right="324"/>
              <w:jc w:val="right"/>
              <w:rPr>
                <w:sz w:val="24"/>
              </w:rPr>
            </w:pPr>
            <w:r>
              <w:rPr>
                <w:w w:val="95"/>
                <w:sz w:val="24"/>
              </w:rPr>
              <w:t>de</w:t>
            </w:r>
          </w:p>
        </w:tc>
        <w:tc>
          <w:tcPr>
            <w:tcW w:w="1109" w:type="dxa"/>
          </w:tcPr>
          <w:p>
            <w:pPr>
              <w:pStyle w:val="TableParagraph"/>
              <w:rPr>
                <w:rFonts w:ascii="Times New Roman"/>
                <w:sz w:val="20"/>
              </w:rPr>
            </w:pPr>
          </w:p>
        </w:tc>
      </w:tr>
      <w:tr>
        <w:trPr>
          <w:trHeight w:val="276" w:hRule="atLeast"/>
        </w:trPr>
        <w:tc>
          <w:tcPr>
            <w:tcW w:w="6196" w:type="dxa"/>
          </w:tcPr>
          <w:p>
            <w:pPr>
              <w:pStyle w:val="TableParagraph"/>
              <w:spacing w:line="256" w:lineRule="exact"/>
              <w:ind w:left="410"/>
              <w:rPr>
                <w:sz w:val="24"/>
              </w:rPr>
            </w:pPr>
            <w:r>
              <w:rPr>
                <w:sz w:val="24"/>
              </w:rPr>
              <w:t>antecedentes, adicionalmente</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75.89</w:t>
            </w:r>
          </w:p>
        </w:tc>
      </w:tr>
      <w:tr>
        <w:trPr>
          <w:trHeight w:val="276" w:hRule="atLeast"/>
        </w:trPr>
        <w:tc>
          <w:tcPr>
            <w:tcW w:w="6196" w:type="dxa"/>
          </w:tcPr>
          <w:p>
            <w:pPr>
              <w:pStyle w:val="TableParagraph"/>
              <w:tabs>
                <w:tab w:pos="481" w:val="left" w:leader="none"/>
                <w:tab w:pos="1085" w:val="left" w:leader="none"/>
                <w:tab w:pos="2462" w:val="left" w:leader="none"/>
                <w:tab w:pos="2812" w:val="left" w:leader="none"/>
                <w:tab w:pos="4311" w:val="left" w:leader="none"/>
                <w:tab w:pos="4808" w:val="left" w:leader="none"/>
              </w:tabs>
              <w:spacing w:line="256" w:lineRule="exact"/>
              <w:ind w:left="50"/>
              <w:rPr>
                <w:sz w:val="24"/>
              </w:rPr>
            </w:pPr>
            <w:r>
              <w:rPr>
                <w:sz w:val="24"/>
              </w:rPr>
              <w:t>6.</w:t>
              <w:tab/>
              <w:t>Por</w:t>
              <w:tab/>
              <w:t>constancia</w:t>
              <w:tab/>
              <w:t>y</w:t>
              <w:tab/>
              <w:t>certificación</w:t>
              <w:tab/>
              <w:t>de</w:t>
              <w:tab/>
              <w:t>residencia,</w:t>
            </w:r>
          </w:p>
        </w:tc>
        <w:tc>
          <w:tcPr>
            <w:tcW w:w="594" w:type="dxa"/>
          </w:tcPr>
          <w:p>
            <w:pPr>
              <w:pStyle w:val="TableParagraph"/>
              <w:spacing w:line="256" w:lineRule="exact"/>
              <w:ind w:right="321"/>
              <w:jc w:val="right"/>
              <w:rPr>
                <w:sz w:val="24"/>
              </w:rPr>
            </w:pPr>
            <w:r>
              <w:rPr>
                <w:w w:val="95"/>
                <w:sz w:val="24"/>
              </w:rPr>
              <w:t>no</w:t>
            </w:r>
          </w:p>
        </w:tc>
        <w:tc>
          <w:tcPr>
            <w:tcW w:w="1109" w:type="dxa"/>
          </w:tcPr>
          <w:p>
            <w:pPr>
              <w:pStyle w:val="TableParagraph"/>
              <w:rPr>
                <w:rFonts w:ascii="Times New Roman"/>
                <w:sz w:val="20"/>
              </w:rPr>
            </w:pPr>
          </w:p>
        </w:tc>
      </w:tr>
      <w:tr>
        <w:trPr>
          <w:trHeight w:val="276" w:hRule="atLeast"/>
        </w:trPr>
        <w:tc>
          <w:tcPr>
            <w:tcW w:w="6196" w:type="dxa"/>
          </w:tcPr>
          <w:p>
            <w:pPr>
              <w:pStyle w:val="TableParagraph"/>
              <w:spacing w:line="256" w:lineRule="exact"/>
              <w:ind w:left="410"/>
              <w:rPr>
                <w:sz w:val="24"/>
              </w:rPr>
            </w:pPr>
            <w:r>
              <w:rPr>
                <w:sz w:val="24"/>
              </w:rPr>
              <w:t>residencia y concubinato</w:t>
            </w:r>
          </w:p>
        </w:tc>
        <w:tc>
          <w:tcPr>
            <w:tcW w:w="594" w:type="dxa"/>
          </w:tcPr>
          <w:p>
            <w:pPr>
              <w:pStyle w:val="TableParagraph"/>
              <w:rPr>
                <w:rFonts w:ascii="Times New Roman"/>
                <w:sz w:val="20"/>
              </w:rPr>
            </w:pPr>
          </w:p>
        </w:tc>
        <w:tc>
          <w:tcPr>
            <w:tcW w:w="1109" w:type="dxa"/>
          </w:tcPr>
          <w:p>
            <w:pPr>
              <w:pStyle w:val="TableParagraph"/>
              <w:spacing w:line="256" w:lineRule="exact"/>
              <w:ind w:right="47"/>
              <w:jc w:val="right"/>
              <w:rPr>
                <w:sz w:val="24"/>
              </w:rPr>
            </w:pPr>
            <w:r>
              <w:rPr>
                <w:sz w:val="24"/>
              </w:rPr>
              <w:t>271.43</w:t>
            </w:r>
          </w:p>
        </w:tc>
      </w:tr>
      <w:tr>
        <w:trPr>
          <w:trHeight w:val="275" w:hRule="atLeast"/>
        </w:trPr>
        <w:tc>
          <w:tcPr>
            <w:tcW w:w="6196" w:type="dxa"/>
          </w:tcPr>
          <w:p>
            <w:pPr>
              <w:pStyle w:val="TableParagraph"/>
              <w:spacing w:line="256" w:lineRule="exact"/>
              <w:ind w:left="50"/>
              <w:rPr>
                <w:sz w:val="24"/>
              </w:rPr>
            </w:pPr>
            <w:r>
              <w:rPr>
                <w:sz w:val="24"/>
              </w:rPr>
              <w:t>7. Por certificación o constancia de propiedad o</w:t>
            </w:r>
          </w:p>
        </w:tc>
        <w:tc>
          <w:tcPr>
            <w:tcW w:w="594" w:type="dxa"/>
          </w:tcPr>
          <w:p>
            <w:pPr>
              <w:pStyle w:val="TableParagraph"/>
              <w:spacing w:line="256" w:lineRule="exact"/>
              <w:ind w:right="324"/>
              <w:jc w:val="right"/>
              <w:rPr>
                <w:sz w:val="24"/>
              </w:rPr>
            </w:pPr>
            <w:r>
              <w:rPr>
                <w:w w:val="95"/>
                <w:sz w:val="24"/>
              </w:rPr>
              <w:t>no</w:t>
            </w:r>
          </w:p>
        </w:tc>
        <w:tc>
          <w:tcPr>
            <w:tcW w:w="1109" w:type="dxa"/>
          </w:tcPr>
          <w:p>
            <w:pPr>
              <w:pStyle w:val="TableParagraph"/>
              <w:rPr>
                <w:rFonts w:ascii="Times New Roman"/>
                <w:sz w:val="20"/>
              </w:rPr>
            </w:pPr>
          </w:p>
        </w:tc>
      </w:tr>
      <w:tr>
        <w:trPr>
          <w:trHeight w:val="276" w:hRule="atLeast"/>
        </w:trPr>
        <w:tc>
          <w:tcPr>
            <w:tcW w:w="6196" w:type="dxa"/>
          </w:tcPr>
          <w:p>
            <w:pPr>
              <w:pStyle w:val="TableParagraph"/>
              <w:spacing w:line="256" w:lineRule="exact"/>
              <w:ind w:left="410" w:right="-15"/>
              <w:rPr>
                <w:sz w:val="24"/>
              </w:rPr>
            </w:pPr>
            <w:r>
              <w:rPr>
                <w:sz w:val="24"/>
              </w:rPr>
              <w:t>propiedad del Fundo municipal, por copias</w:t>
            </w:r>
            <w:r>
              <w:rPr>
                <w:spacing w:val="35"/>
                <w:sz w:val="24"/>
              </w:rPr>
              <w:t> </w:t>
            </w:r>
            <w:r>
              <w:rPr>
                <w:sz w:val="24"/>
              </w:rPr>
              <w:t>simples</w:t>
            </w:r>
          </w:p>
        </w:tc>
        <w:tc>
          <w:tcPr>
            <w:tcW w:w="594" w:type="dxa"/>
          </w:tcPr>
          <w:p>
            <w:pPr>
              <w:pStyle w:val="TableParagraph"/>
              <w:spacing w:line="256" w:lineRule="exact"/>
              <w:ind w:right="326"/>
              <w:jc w:val="right"/>
              <w:rPr>
                <w:sz w:val="24"/>
              </w:rPr>
            </w:pPr>
            <w:r>
              <w:rPr>
                <w:w w:val="99"/>
                <w:sz w:val="24"/>
              </w:rPr>
              <w:t>o</w:t>
            </w:r>
          </w:p>
        </w:tc>
        <w:tc>
          <w:tcPr>
            <w:tcW w:w="1109" w:type="dxa"/>
          </w:tcPr>
          <w:p>
            <w:pPr>
              <w:pStyle w:val="TableParagraph"/>
              <w:rPr>
                <w:rFonts w:ascii="Times New Roman"/>
                <w:sz w:val="20"/>
              </w:rPr>
            </w:pPr>
          </w:p>
        </w:tc>
      </w:tr>
      <w:tr>
        <w:trPr>
          <w:trHeight w:val="275" w:hRule="atLeast"/>
        </w:trPr>
        <w:tc>
          <w:tcPr>
            <w:tcW w:w="6196" w:type="dxa"/>
          </w:tcPr>
          <w:p>
            <w:pPr>
              <w:pStyle w:val="TableParagraph"/>
              <w:spacing w:line="256" w:lineRule="exact"/>
              <w:ind w:left="410"/>
              <w:rPr>
                <w:sz w:val="24"/>
              </w:rPr>
            </w:pPr>
            <w:r>
              <w:rPr>
                <w:sz w:val="24"/>
              </w:rPr>
              <w:t>certificadas de escrituras del Fundo Municipal.</w:t>
            </w:r>
          </w:p>
        </w:tc>
        <w:tc>
          <w:tcPr>
            <w:tcW w:w="594" w:type="dxa"/>
          </w:tcPr>
          <w:p>
            <w:pPr>
              <w:pStyle w:val="TableParagraph"/>
              <w:rPr>
                <w:rFonts w:ascii="Times New Roman"/>
                <w:sz w:val="20"/>
              </w:rPr>
            </w:pPr>
          </w:p>
        </w:tc>
        <w:tc>
          <w:tcPr>
            <w:tcW w:w="1109" w:type="dxa"/>
          </w:tcPr>
          <w:p>
            <w:pPr>
              <w:pStyle w:val="TableParagraph"/>
              <w:spacing w:line="256" w:lineRule="exact"/>
              <w:ind w:right="47"/>
              <w:jc w:val="right"/>
              <w:rPr>
                <w:sz w:val="24"/>
              </w:rPr>
            </w:pPr>
            <w:r>
              <w:rPr>
                <w:sz w:val="24"/>
              </w:rPr>
              <w:t>152.68</w:t>
            </w:r>
          </w:p>
        </w:tc>
      </w:tr>
      <w:tr>
        <w:trPr>
          <w:trHeight w:val="275" w:hRule="atLeast"/>
        </w:trPr>
        <w:tc>
          <w:tcPr>
            <w:tcW w:w="6196" w:type="dxa"/>
          </w:tcPr>
          <w:p>
            <w:pPr>
              <w:pStyle w:val="TableParagraph"/>
              <w:spacing w:line="256" w:lineRule="exact"/>
              <w:ind w:left="50"/>
              <w:rPr>
                <w:sz w:val="24"/>
              </w:rPr>
            </w:pPr>
            <w:r>
              <w:rPr>
                <w:sz w:val="24"/>
              </w:rPr>
              <w:t>8. Por constancia de Buena Conducta</w:t>
            </w:r>
          </w:p>
        </w:tc>
        <w:tc>
          <w:tcPr>
            <w:tcW w:w="594" w:type="dxa"/>
          </w:tcPr>
          <w:p>
            <w:pPr>
              <w:pStyle w:val="TableParagraph"/>
              <w:rPr>
                <w:rFonts w:ascii="Times New Roman"/>
                <w:sz w:val="20"/>
              </w:rPr>
            </w:pPr>
          </w:p>
        </w:tc>
        <w:tc>
          <w:tcPr>
            <w:tcW w:w="1109" w:type="dxa"/>
          </w:tcPr>
          <w:p>
            <w:pPr>
              <w:pStyle w:val="TableParagraph"/>
              <w:spacing w:line="256" w:lineRule="exact"/>
              <w:ind w:right="46"/>
              <w:jc w:val="right"/>
              <w:rPr>
                <w:sz w:val="24"/>
              </w:rPr>
            </w:pPr>
            <w:r>
              <w:rPr>
                <w:sz w:val="24"/>
              </w:rPr>
              <w:t>75.89</w:t>
            </w:r>
          </w:p>
        </w:tc>
      </w:tr>
      <w:tr>
        <w:trPr>
          <w:trHeight w:val="275" w:hRule="atLeast"/>
        </w:trPr>
        <w:tc>
          <w:tcPr>
            <w:tcW w:w="6196" w:type="dxa"/>
          </w:tcPr>
          <w:p>
            <w:pPr>
              <w:pStyle w:val="TableParagraph"/>
              <w:spacing w:line="256" w:lineRule="exact"/>
              <w:ind w:left="50"/>
              <w:rPr>
                <w:sz w:val="24"/>
              </w:rPr>
            </w:pPr>
            <w:r>
              <w:rPr>
                <w:sz w:val="24"/>
              </w:rPr>
              <w:t>9. Por constancia de Modo Honesto de Vivir</w:t>
            </w:r>
          </w:p>
        </w:tc>
        <w:tc>
          <w:tcPr>
            <w:tcW w:w="594" w:type="dxa"/>
          </w:tcPr>
          <w:p>
            <w:pPr>
              <w:pStyle w:val="TableParagraph"/>
              <w:rPr>
                <w:rFonts w:ascii="Times New Roman"/>
                <w:sz w:val="20"/>
              </w:rPr>
            </w:pPr>
          </w:p>
        </w:tc>
        <w:tc>
          <w:tcPr>
            <w:tcW w:w="1109" w:type="dxa"/>
          </w:tcPr>
          <w:p>
            <w:pPr>
              <w:pStyle w:val="TableParagraph"/>
              <w:spacing w:line="256" w:lineRule="exact"/>
              <w:ind w:right="47"/>
              <w:jc w:val="right"/>
              <w:rPr>
                <w:sz w:val="24"/>
              </w:rPr>
            </w:pPr>
            <w:r>
              <w:rPr>
                <w:sz w:val="24"/>
              </w:rPr>
              <w:t>152.68</w:t>
            </w:r>
          </w:p>
        </w:tc>
      </w:tr>
      <w:tr>
        <w:trPr>
          <w:trHeight w:val="276" w:hRule="atLeast"/>
        </w:trPr>
        <w:tc>
          <w:tcPr>
            <w:tcW w:w="6196" w:type="dxa"/>
          </w:tcPr>
          <w:p>
            <w:pPr>
              <w:pStyle w:val="TableParagraph"/>
              <w:spacing w:line="256" w:lineRule="exact"/>
              <w:ind w:left="50"/>
              <w:rPr>
                <w:sz w:val="24"/>
              </w:rPr>
            </w:pPr>
            <w:r>
              <w:rPr>
                <w:sz w:val="24"/>
              </w:rPr>
              <w:t>10. Por constancia de Identidad</w:t>
            </w:r>
          </w:p>
        </w:tc>
        <w:tc>
          <w:tcPr>
            <w:tcW w:w="594" w:type="dxa"/>
          </w:tcPr>
          <w:p>
            <w:pPr>
              <w:pStyle w:val="TableParagraph"/>
              <w:rPr>
                <w:rFonts w:ascii="Times New Roman"/>
                <w:sz w:val="20"/>
              </w:rPr>
            </w:pPr>
          </w:p>
        </w:tc>
        <w:tc>
          <w:tcPr>
            <w:tcW w:w="1109" w:type="dxa"/>
          </w:tcPr>
          <w:p>
            <w:pPr>
              <w:pStyle w:val="TableParagraph"/>
              <w:spacing w:line="256" w:lineRule="exact"/>
              <w:ind w:right="47"/>
              <w:jc w:val="right"/>
              <w:rPr>
                <w:sz w:val="24"/>
              </w:rPr>
            </w:pPr>
            <w:r>
              <w:rPr>
                <w:sz w:val="24"/>
              </w:rPr>
              <w:t>271.43</w:t>
            </w:r>
          </w:p>
        </w:tc>
      </w:tr>
      <w:tr>
        <w:trPr>
          <w:trHeight w:val="272" w:hRule="atLeast"/>
        </w:trPr>
        <w:tc>
          <w:tcPr>
            <w:tcW w:w="6196" w:type="dxa"/>
          </w:tcPr>
          <w:p>
            <w:pPr>
              <w:pStyle w:val="TableParagraph"/>
              <w:spacing w:line="252" w:lineRule="exact"/>
              <w:ind w:left="50"/>
              <w:rPr>
                <w:sz w:val="24"/>
              </w:rPr>
            </w:pPr>
            <w:r>
              <w:rPr>
                <w:sz w:val="24"/>
              </w:rPr>
              <w:t>11. Por constancia de No Registro del S.M.N.</w:t>
            </w:r>
          </w:p>
        </w:tc>
        <w:tc>
          <w:tcPr>
            <w:tcW w:w="594" w:type="dxa"/>
          </w:tcPr>
          <w:p>
            <w:pPr>
              <w:pStyle w:val="TableParagraph"/>
              <w:rPr>
                <w:rFonts w:ascii="Times New Roman"/>
                <w:sz w:val="20"/>
              </w:rPr>
            </w:pPr>
          </w:p>
        </w:tc>
        <w:tc>
          <w:tcPr>
            <w:tcW w:w="1109" w:type="dxa"/>
          </w:tcPr>
          <w:p>
            <w:pPr>
              <w:pStyle w:val="TableParagraph"/>
              <w:spacing w:line="252" w:lineRule="exact"/>
              <w:ind w:right="46"/>
              <w:jc w:val="right"/>
              <w:rPr>
                <w:sz w:val="24"/>
              </w:rPr>
            </w:pPr>
            <w:r>
              <w:rPr>
                <w:sz w:val="24"/>
              </w:rPr>
              <w:t>27.68</w:t>
            </w:r>
          </w:p>
        </w:tc>
      </w:tr>
    </w:tbl>
    <w:p>
      <w:pPr>
        <w:spacing w:after="0" w:line="252" w:lineRule="exact"/>
        <w:jc w:val="right"/>
        <w:rPr>
          <w:sz w:val="24"/>
        </w:rPr>
        <w:sectPr>
          <w:type w:val="continuous"/>
          <w:pgSz w:w="12250" w:h="15850"/>
          <w:pgMar w:top="840" w:bottom="280" w:left="860" w:right="820"/>
        </w:sectPr>
      </w:pPr>
    </w:p>
    <w:p>
      <w:pPr>
        <w:pStyle w:val="BodyText"/>
        <w:spacing w:before="1"/>
        <w:rPr>
          <w:b/>
          <w:sz w:val="9"/>
        </w:rPr>
      </w:pPr>
    </w:p>
    <w:p>
      <w:pPr>
        <w:pStyle w:val="ListParagraph"/>
        <w:numPr>
          <w:ilvl w:val="0"/>
          <w:numId w:val="39"/>
        </w:numPr>
        <w:tabs>
          <w:tab w:pos="1253" w:val="left" w:leader="none"/>
          <w:tab w:pos="2820" w:val="left" w:leader="none"/>
          <w:tab w:pos="4454" w:val="left" w:leader="none"/>
          <w:tab w:pos="6447" w:val="left" w:leader="none"/>
          <w:tab w:pos="7761" w:val="left" w:leader="none"/>
          <w:tab w:pos="8140" w:val="left" w:leader="none"/>
          <w:tab w:pos="9840" w:val="left" w:leader="none"/>
        </w:tabs>
        <w:spacing w:line="240" w:lineRule="auto" w:before="93" w:after="0"/>
        <w:ind w:left="1252" w:right="439" w:hanging="286"/>
        <w:jc w:val="left"/>
        <w:rPr>
          <w:b/>
          <w:sz w:val="24"/>
        </w:rPr>
      </w:pPr>
      <w:r>
        <w:rPr>
          <w:b/>
          <w:sz w:val="24"/>
        </w:rPr>
        <w:t>Inspección,</w:t>
        <w:tab/>
        <w:t>dictámenes,</w:t>
        <w:tab/>
        <w:t>autorizaciones,</w:t>
        <w:tab/>
        <w:t>permisos</w:t>
        <w:tab/>
        <w:t>y</w:t>
        <w:tab/>
        <w:t>capacitación</w:t>
        <w:tab/>
      </w:r>
      <w:r>
        <w:rPr>
          <w:b/>
          <w:spacing w:val="-9"/>
          <w:sz w:val="24"/>
        </w:rPr>
        <w:t>de </w:t>
      </w:r>
      <w:r>
        <w:rPr>
          <w:b/>
          <w:sz w:val="24"/>
        </w:rPr>
        <w:t>Protección</w:t>
      </w:r>
      <w:r>
        <w:rPr>
          <w:b/>
          <w:spacing w:val="-1"/>
          <w:sz w:val="24"/>
        </w:rPr>
        <w:t> </w:t>
      </w:r>
      <w:r>
        <w:rPr>
          <w:b/>
          <w:sz w:val="24"/>
        </w:rPr>
        <w:t>Civil</w:t>
      </w:r>
    </w:p>
    <w:p>
      <w:pPr>
        <w:pStyle w:val="BodyText"/>
        <w:rPr>
          <w:b/>
        </w:rPr>
      </w:pPr>
    </w:p>
    <w:p>
      <w:pPr>
        <w:pStyle w:val="ListParagraph"/>
        <w:numPr>
          <w:ilvl w:val="1"/>
          <w:numId w:val="39"/>
        </w:numPr>
        <w:tabs>
          <w:tab w:pos="1889" w:val="left" w:leader="none"/>
        </w:tabs>
        <w:spacing w:line="240" w:lineRule="auto" w:before="0" w:after="8"/>
        <w:ind w:left="1888" w:right="680" w:hanging="360"/>
        <w:jc w:val="both"/>
        <w:rPr>
          <w:sz w:val="24"/>
        </w:rPr>
      </w:pPr>
      <w:r>
        <w:rPr/>
        <w:drawing>
          <wp:anchor distT="0" distB="0" distL="0" distR="0" allowOverlap="1" layoutInCell="1" locked="0" behindDoc="1" simplePos="0" relativeHeight="227507200">
            <wp:simplePos x="0" y="0"/>
            <wp:positionH relativeFrom="page">
              <wp:posOffset>1252555</wp:posOffset>
            </wp:positionH>
            <wp:positionV relativeFrom="paragraph">
              <wp:posOffset>759153</wp:posOffset>
            </wp:positionV>
            <wp:extent cx="5021401" cy="5143500"/>
            <wp:effectExtent l="0" t="0" r="0" b="0"/>
            <wp:wrapNone/>
            <wp:docPr id="77" name="image34.png"/>
            <wp:cNvGraphicFramePr>
              <a:graphicFrameLocks noChangeAspect="1"/>
            </wp:cNvGraphicFramePr>
            <a:graphic>
              <a:graphicData uri="http://schemas.openxmlformats.org/drawingml/2006/picture">
                <pic:pic>
                  <pic:nvPicPr>
                    <pic:cNvPr id="78" name="image34.png"/>
                    <pic:cNvPicPr/>
                  </pic:nvPicPr>
                  <pic:blipFill>
                    <a:blip r:embed="rId44" cstate="print"/>
                    <a:stretch>
                      <a:fillRect/>
                    </a:stretch>
                  </pic:blipFill>
                  <pic:spPr>
                    <a:xfrm>
                      <a:off x="0" y="0"/>
                      <a:ext cx="5021401" cy="5143500"/>
                    </a:xfrm>
                    <a:prstGeom prst="rect">
                      <a:avLst/>
                    </a:prstGeom>
                  </pic:spPr>
                </pic:pic>
              </a:graphicData>
            </a:graphic>
          </wp:anchor>
        </w:drawing>
      </w:r>
      <w:r>
        <w:rPr>
          <w:sz w:val="24"/>
        </w:rPr>
        <w:t>Empresas comerciales y de servicios, se clasificarán de conformidad al Reglamento Interno de Protección Civil en su artículo 20 en cuanto a tipo de</w:t>
      </w:r>
      <w:r>
        <w:rPr>
          <w:spacing w:val="19"/>
          <w:sz w:val="24"/>
        </w:rPr>
        <w:t> </w:t>
      </w:r>
      <w:r>
        <w:rPr>
          <w:sz w:val="24"/>
        </w:rPr>
        <w:t>riesgo,</w:t>
      </w:r>
      <w:r>
        <w:rPr>
          <w:spacing w:val="20"/>
          <w:sz w:val="24"/>
        </w:rPr>
        <w:t> </w:t>
      </w:r>
      <w:r>
        <w:rPr>
          <w:sz w:val="24"/>
        </w:rPr>
        <w:t>conforme</w:t>
      </w:r>
      <w:r>
        <w:rPr>
          <w:spacing w:val="20"/>
          <w:sz w:val="24"/>
        </w:rPr>
        <w:t> </w:t>
      </w:r>
      <w:r>
        <w:rPr>
          <w:sz w:val="24"/>
        </w:rPr>
        <w:t>lo</w:t>
      </w:r>
      <w:r>
        <w:rPr>
          <w:spacing w:val="17"/>
          <w:sz w:val="24"/>
        </w:rPr>
        <w:t> </w:t>
      </w:r>
      <w:r>
        <w:rPr>
          <w:sz w:val="24"/>
        </w:rPr>
        <w:t>establece</w:t>
      </w:r>
      <w:r>
        <w:rPr>
          <w:spacing w:val="20"/>
          <w:sz w:val="24"/>
        </w:rPr>
        <w:t> </w:t>
      </w:r>
      <w:r>
        <w:rPr>
          <w:sz w:val="24"/>
        </w:rPr>
        <w:t>en</w:t>
      </w:r>
      <w:r>
        <w:rPr>
          <w:spacing w:val="20"/>
          <w:sz w:val="24"/>
        </w:rPr>
        <w:t> </w:t>
      </w:r>
      <w:r>
        <w:rPr>
          <w:sz w:val="24"/>
        </w:rPr>
        <w:t>los</w:t>
      </w:r>
      <w:r>
        <w:rPr>
          <w:spacing w:val="20"/>
          <w:sz w:val="24"/>
        </w:rPr>
        <w:t> </w:t>
      </w:r>
      <w:r>
        <w:rPr>
          <w:sz w:val="24"/>
        </w:rPr>
        <w:t>siguientes</w:t>
      </w:r>
      <w:r>
        <w:rPr>
          <w:spacing w:val="19"/>
          <w:sz w:val="24"/>
        </w:rPr>
        <w:t> </w:t>
      </w:r>
      <w:r>
        <w:rPr>
          <w:sz w:val="24"/>
        </w:rPr>
        <w:t>rangos,</w:t>
      </w:r>
      <w:r>
        <w:rPr>
          <w:spacing w:val="19"/>
          <w:sz w:val="24"/>
        </w:rPr>
        <w:t> </w:t>
      </w:r>
      <w:r>
        <w:rPr>
          <w:sz w:val="24"/>
        </w:rPr>
        <w:t>según</w:t>
      </w:r>
      <w:r>
        <w:rPr>
          <w:spacing w:val="20"/>
          <w:sz w:val="24"/>
        </w:rPr>
        <w:t> </w:t>
      </w:r>
      <w:r>
        <w:rPr>
          <w:sz w:val="24"/>
        </w:rPr>
        <w:t>la</w:t>
      </w:r>
      <w:r>
        <w:rPr>
          <w:spacing w:val="20"/>
          <w:sz w:val="24"/>
        </w:rPr>
        <w:t> </w:t>
      </w:r>
      <w:r>
        <w:rPr>
          <w:sz w:val="24"/>
        </w:rPr>
        <w:t>tabla</w:t>
      </w:r>
    </w:p>
    <w:tbl>
      <w:tblPr>
        <w:tblW w:w="0" w:type="auto"/>
        <w:jc w:val="left"/>
        <w:tblInd w:w="1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5"/>
        <w:gridCol w:w="1759"/>
      </w:tblGrid>
      <w:tr>
        <w:trPr>
          <w:trHeight w:val="275" w:hRule="atLeast"/>
        </w:trPr>
        <w:tc>
          <w:tcPr>
            <w:tcW w:w="6695" w:type="dxa"/>
          </w:tcPr>
          <w:p>
            <w:pPr>
              <w:pStyle w:val="TableParagraph"/>
              <w:spacing w:line="256" w:lineRule="exact"/>
              <w:ind w:left="409"/>
              <w:rPr>
                <w:sz w:val="24"/>
              </w:rPr>
            </w:pPr>
            <w:r>
              <w:rPr>
                <w:sz w:val="24"/>
              </w:rPr>
              <w:t>de clasificación de giros, anexa a esta Ley de Ingresos.</w:t>
            </w:r>
          </w:p>
        </w:tc>
        <w:tc>
          <w:tcPr>
            <w:tcW w:w="1759" w:type="dxa"/>
          </w:tcPr>
          <w:p>
            <w:pPr>
              <w:pStyle w:val="TableParagraph"/>
              <w:rPr>
                <w:rFonts w:ascii="Times New Roman"/>
                <w:sz w:val="20"/>
              </w:rPr>
            </w:pPr>
          </w:p>
        </w:tc>
      </w:tr>
      <w:tr>
        <w:trPr>
          <w:trHeight w:val="272" w:hRule="atLeast"/>
        </w:trPr>
        <w:tc>
          <w:tcPr>
            <w:tcW w:w="6695" w:type="dxa"/>
          </w:tcPr>
          <w:p>
            <w:pPr>
              <w:pStyle w:val="TableParagraph"/>
              <w:tabs>
                <w:tab w:pos="1206" w:val="left" w:leader="none"/>
              </w:tabs>
              <w:spacing w:line="252" w:lineRule="exact"/>
              <w:ind w:left="681"/>
              <w:rPr>
                <w:sz w:val="24"/>
              </w:rPr>
            </w:pPr>
            <w:r>
              <w:rPr>
                <w:spacing w:val="-12"/>
                <w:sz w:val="24"/>
              </w:rPr>
              <w:t>a)</w:t>
              <w:tab/>
            </w:r>
            <w:r>
              <w:rPr>
                <w:sz w:val="24"/>
              </w:rPr>
              <w:t>Bajo</w:t>
            </w:r>
          </w:p>
        </w:tc>
        <w:tc>
          <w:tcPr>
            <w:tcW w:w="1759" w:type="dxa"/>
          </w:tcPr>
          <w:p>
            <w:pPr>
              <w:pStyle w:val="TableParagraph"/>
              <w:spacing w:line="252" w:lineRule="exact"/>
              <w:ind w:right="47"/>
              <w:jc w:val="right"/>
              <w:rPr>
                <w:sz w:val="24"/>
              </w:rPr>
            </w:pPr>
            <w:r>
              <w:rPr>
                <w:sz w:val="24"/>
              </w:rPr>
              <w:t>183.93</w:t>
            </w:r>
          </w:p>
        </w:tc>
      </w:tr>
      <w:tr>
        <w:trPr>
          <w:trHeight w:val="275" w:hRule="atLeast"/>
        </w:trPr>
        <w:tc>
          <w:tcPr>
            <w:tcW w:w="6695" w:type="dxa"/>
          </w:tcPr>
          <w:p>
            <w:pPr>
              <w:pStyle w:val="TableParagraph"/>
              <w:tabs>
                <w:tab w:pos="1206" w:val="left" w:leader="none"/>
              </w:tabs>
              <w:spacing w:line="256" w:lineRule="exact"/>
              <w:ind w:left="681"/>
              <w:rPr>
                <w:sz w:val="24"/>
              </w:rPr>
            </w:pPr>
            <w:r>
              <w:rPr>
                <w:spacing w:val="-12"/>
                <w:sz w:val="24"/>
              </w:rPr>
              <w:t>b)</w:t>
              <w:tab/>
            </w:r>
            <w:r>
              <w:rPr>
                <w:sz w:val="24"/>
              </w:rPr>
              <w:t>Medio</w:t>
            </w:r>
          </w:p>
        </w:tc>
        <w:tc>
          <w:tcPr>
            <w:tcW w:w="1759" w:type="dxa"/>
          </w:tcPr>
          <w:p>
            <w:pPr>
              <w:pStyle w:val="TableParagraph"/>
              <w:spacing w:line="256" w:lineRule="exact"/>
              <w:ind w:right="47"/>
              <w:jc w:val="right"/>
              <w:rPr>
                <w:sz w:val="24"/>
              </w:rPr>
            </w:pPr>
            <w:r>
              <w:rPr>
                <w:sz w:val="24"/>
              </w:rPr>
              <w:t>367.86</w:t>
            </w:r>
          </w:p>
        </w:tc>
      </w:tr>
      <w:tr>
        <w:trPr>
          <w:trHeight w:val="276" w:hRule="atLeast"/>
        </w:trPr>
        <w:tc>
          <w:tcPr>
            <w:tcW w:w="6695" w:type="dxa"/>
          </w:tcPr>
          <w:p>
            <w:pPr>
              <w:pStyle w:val="TableParagraph"/>
              <w:tabs>
                <w:tab w:pos="1206" w:val="left" w:leader="none"/>
              </w:tabs>
              <w:spacing w:line="256" w:lineRule="exact"/>
              <w:ind w:left="681"/>
              <w:rPr>
                <w:sz w:val="24"/>
              </w:rPr>
            </w:pPr>
            <w:r>
              <w:rPr>
                <w:spacing w:val="-12"/>
                <w:sz w:val="24"/>
              </w:rPr>
              <w:t>c)</w:t>
              <w:tab/>
            </w:r>
            <w:r>
              <w:rPr>
                <w:sz w:val="24"/>
              </w:rPr>
              <w:t>Alto</w:t>
            </w:r>
          </w:p>
        </w:tc>
        <w:tc>
          <w:tcPr>
            <w:tcW w:w="1759" w:type="dxa"/>
          </w:tcPr>
          <w:p>
            <w:pPr>
              <w:pStyle w:val="TableParagraph"/>
              <w:spacing w:line="256" w:lineRule="exact"/>
              <w:ind w:right="47"/>
              <w:jc w:val="right"/>
              <w:rPr>
                <w:sz w:val="24"/>
              </w:rPr>
            </w:pPr>
            <w:r>
              <w:rPr>
                <w:sz w:val="24"/>
              </w:rPr>
              <w:t>552.68</w:t>
            </w:r>
          </w:p>
        </w:tc>
      </w:tr>
      <w:tr>
        <w:trPr>
          <w:trHeight w:val="276" w:hRule="atLeast"/>
        </w:trPr>
        <w:tc>
          <w:tcPr>
            <w:tcW w:w="6695" w:type="dxa"/>
          </w:tcPr>
          <w:p>
            <w:pPr>
              <w:pStyle w:val="TableParagraph"/>
              <w:tabs>
                <w:tab w:pos="1206" w:val="left" w:leader="none"/>
              </w:tabs>
              <w:spacing w:line="256" w:lineRule="exact"/>
              <w:ind w:left="678"/>
              <w:rPr>
                <w:sz w:val="24"/>
              </w:rPr>
            </w:pPr>
            <w:r>
              <w:rPr>
                <w:spacing w:val="-12"/>
                <w:sz w:val="24"/>
              </w:rPr>
              <w:t>d)</w:t>
              <w:tab/>
            </w:r>
            <w:r>
              <w:rPr>
                <w:sz w:val="24"/>
              </w:rPr>
              <w:t>Ordinario Especifico</w:t>
            </w:r>
            <w:r>
              <w:rPr>
                <w:spacing w:val="-2"/>
                <w:sz w:val="24"/>
              </w:rPr>
              <w:t> </w:t>
            </w:r>
            <w:r>
              <w:rPr>
                <w:sz w:val="24"/>
              </w:rPr>
              <w:t>NOM-002-STPS-2010</w:t>
            </w:r>
          </w:p>
        </w:tc>
        <w:tc>
          <w:tcPr>
            <w:tcW w:w="1759" w:type="dxa"/>
          </w:tcPr>
          <w:p>
            <w:pPr>
              <w:pStyle w:val="TableParagraph"/>
              <w:spacing w:line="256" w:lineRule="exact"/>
              <w:ind w:right="47"/>
              <w:jc w:val="right"/>
              <w:rPr>
                <w:sz w:val="24"/>
              </w:rPr>
            </w:pPr>
            <w:r>
              <w:rPr>
                <w:sz w:val="24"/>
              </w:rPr>
              <w:t>1,382.14</w:t>
            </w:r>
          </w:p>
        </w:tc>
      </w:tr>
      <w:tr>
        <w:trPr>
          <w:trHeight w:val="275" w:hRule="atLeast"/>
        </w:trPr>
        <w:tc>
          <w:tcPr>
            <w:tcW w:w="6695" w:type="dxa"/>
          </w:tcPr>
          <w:p>
            <w:pPr>
              <w:pStyle w:val="TableParagraph"/>
              <w:tabs>
                <w:tab w:pos="484" w:val="left" w:leader="none"/>
              </w:tabs>
              <w:spacing w:line="256" w:lineRule="exact"/>
              <w:ind w:left="59"/>
              <w:rPr>
                <w:sz w:val="24"/>
              </w:rPr>
            </w:pPr>
            <w:r>
              <w:rPr>
                <w:sz w:val="24"/>
              </w:rPr>
              <w:t>2.</w:t>
              <w:tab/>
              <w:t>Permiso de pirotecnia (previa autorización</w:t>
            </w:r>
            <w:r>
              <w:rPr>
                <w:spacing w:val="-1"/>
                <w:sz w:val="24"/>
              </w:rPr>
              <w:t> </w:t>
            </w:r>
            <w:r>
              <w:rPr>
                <w:sz w:val="24"/>
              </w:rPr>
              <w:t>por</w:t>
            </w:r>
          </w:p>
        </w:tc>
        <w:tc>
          <w:tcPr>
            <w:tcW w:w="1759" w:type="dxa"/>
          </w:tcPr>
          <w:p>
            <w:pPr>
              <w:pStyle w:val="TableParagraph"/>
              <w:spacing w:line="256" w:lineRule="exact"/>
              <w:ind w:right="47"/>
              <w:jc w:val="right"/>
              <w:rPr>
                <w:sz w:val="24"/>
              </w:rPr>
            </w:pPr>
            <w:r>
              <w:rPr>
                <w:sz w:val="24"/>
              </w:rPr>
              <w:t>733.93</w:t>
            </w:r>
          </w:p>
        </w:tc>
      </w:tr>
      <w:tr>
        <w:trPr>
          <w:trHeight w:val="276" w:hRule="atLeast"/>
        </w:trPr>
        <w:tc>
          <w:tcPr>
            <w:tcW w:w="6695" w:type="dxa"/>
          </w:tcPr>
          <w:p>
            <w:pPr>
              <w:pStyle w:val="TableParagraph"/>
              <w:spacing w:line="256" w:lineRule="exact"/>
              <w:ind w:left="484"/>
              <w:rPr>
                <w:sz w:val="24"/>
              </w:rPr>
            </w:pPr>
            <w:r>
              <w:rPr>
                <w:sz w:val="24"/>
              </w:rPr>
              <w:t>parte de la Secretaria de la Defensa Nacional)</w:t>
            </w:r>
          </w:p>
        </w:tc>
        <w:tc>
          <w:tcPr>
            <w:tcW w:w="1759" w:type="dxa"/>
          </w:tcPr>
          <w:p>
            <w:pPr>
              <w:pStyle w:val="TableParagraph"/>
              <w:rPr>
                <w:rFonts w:ascii="Times New Roman"/>
                <w:sz w:val="20"/>
              </w:rPr>
            </w:pPr>
          </w:p>
        </w:tc>
      </w:tr>
      <w:tr>
        <w:trPr>
          <w:trHeight w:val="276" w:hRule="atLeast"/>
        </w:trPr>
        <w:tc>
          <w:tcPr>
            <w:tcW w:w="6695" w:type="dxa"/>
          </w:tcPr>
          <w:p>
            <w:pPr>
              <w:pStyle w:val="TableParagraph"/>
              <w:tabs>
                <w:tab w:pos="484" w:val="left" w:leader="none"/>
              </w:tabs>
              <w:spacing w:line="256" w:lineRule="exact"/>
              <w:ind w:left="50"/>
              <w:rPr>
                <w:sz w:val="24"/>
              </w:rPr>
            </w:pPr>
            <w:r>
              <w:rPr>
                <w:sz w:val="24"/>
              </w:rPr>
              <w:t>3.</w:t>
              <w:tab/>
              <w:t>Autorización de registro y Refrendo</w:t>
            </w:r>
            <w:r>
              <w:rPr>
                <w:spacing w:val="-4"/>
                <w:sz w:val="24"/>
              </w:rPr>
              <w:t> </w:t>
            </w:r>
            <w:r>
              <w:rPr>
                <w:sz w:val="24"/>
              </w:rPr>
              <w:t>de</w:t>
            </w:r>
          </w:p>
        </w:tc>
        <w:tc>
          <w:tcPr>
            <w:tcW w:w="1759" w:type="dxa"/>
          </w:tcPr>
          <w:p>
            <w:pPr>
              <w:pStyle w:val="TableParagraph"/>
              <w:spacing w:line="256" w:lineRule="exact"/>
              <w:ind w:right="47"/>
              <w:jc w:val="right"/>
              <w:rPr>
                <w:sz w:val="24"/>
              </w:rPr>
            </w:pPr>
            <w:r>
              <w:rPr>
                <w:sz w:val="24"/>
              </w:rPr>
              <w:t>8,015.18</w:t>
            </w:r>
          </w:p>
        </w:tc>
      </w:tr>
      <w:tr>
        <w:trPr>
          <w:trHeight w:val="275" w:hRule="atLeast"/>
        </w:trPr>
        <w:tc>
          <w:tcPr>
            <w:tcW w:w="6695" w:type="dxa"/>
          </w:tcPr>
          <w:p>
            <w:pPr>
              <w:pStyle w:val="TableParagraph"/>
              <w:spacing w:line="256" w:lineRule="exact"/>
              <w:ind w:left="484"/>
              <w:rPr>
                <w:sz w:val="24"/>
              </w:rPr>
            </w:pPr>
            <w:r>
              <w:rPr>
                <w:sz w:val="24"/>
              </w:rPr>
              <w:t>Capacitadores Externos y asesores externos e</w:t>
            </w:r>
          </w:p>
        </w:tc>
        <w:tc>
          <w:tcPr>
            <w:tcW w:w="1759" w:type="dxa"/>
          </w:tcPr>
          <w:p>
            <w:pPr>
              <w:pStyle w:val="TableParagraph"/>
              <w:rPr>
                <w:rFonts w:ascii="Times New Roman"/>
                <w:sz w:val="20"/>
              </w:rPr>
            </w:pPr>
          </w:p>
        </w:tc>
      </w:tr>
      <w:tr>
        <w:trPr>
          <w:trHeight w:val="272" w:hRule="atLeast"/>
        </w:trPr>
        <w:tc>
          <w:tcPr>
            <w:tcW w:w="6695" w:type="dxa"/>
          </w:tcPr>
          <w:p>
            <w:pPr>
              <w:pStyle w:val="TableParagraph"/>
              <w:spacing w:line="252" w:lineRule="exact"/>
              <w:ind w:left="484"/>
              <w:rPr>
                <w:sz w:val="24"/>
              </w:rPr>
            </w:pPr>
            <w:r>
              <w:rPr>
                <w:sz w:val="24"/>
              </w:rPr>
              <w:t>internos</w:t>
            </w:r>
          </w:p>
        </w:tc>
        <w:tc>
          <w:tcPr>
            <w:tcW w:w="1759" w:type="dxa"/>
          </w:tcPr>
          <w:p>
            <w:pPr>
              <w:pStyle w:val="TableParagraph"/>
              <w:rPr>
                <w:rFonts w:ascii="Times New Roman"/>
                <w:sz w:val="20"/>
              </w:rPr>
            </w:pPr>
          </w:p>
        </w:tc>
      </w:tr>
      <w:tr>
        <w:trPr>
          <w:trHeight w:val="555" w:hRule="atLeast"/>
        </w:trPr>
        <w:tc>
          <w:tcPr>
            <w:tcW w:w="6695" w:type="dxa"/>
          </w:tcPr>
          <w:p>
            <w:pPr>
              <w:pStyle w:val="TableParagraph"/>
              <w:tabs>
                <w:tab w:pos="484" w:val="left" w:leader="none"/>
                <w:tab w:pos="2141" w:val="left" w:leader="none"/>
                <w:tab w:pos="2743" w:val="left" w:leader="none"/>
                <w:tab w:pos="3877" w:val="left" w:leader="none"/>
                <w:tab w:pos="4333" w:val="left" w:leader="none"/>
                <w:tab w:pos="5652" w:val="left" w:leader="none"/>
              </w:tabs>
              <w:spacing w:line="270" w:lineRule="atLeast"/>
              <w:ind w:left="484" w:right="772" w:hanging="435"/>
              <w:rPr>
                <w:sz w:val="24"/>
              </w:rPr>
            </w:pPr>
            <w:r>
              <w:rPr>
                <w:sz w:val="24"/>
              </w:rPr>
              <w:t>4.</w:t>
              <w:tab/>
              <w:t>Autorización</w:t>
              <w:tab/>
              <w:t>de</w:t>
              <w:tab/>
              <w:t>registro</w:t>
              <w:tab/>
              <w:t>y</w:t>
              <w:tab/>
              <w:t>Refrendo</w:t>
              <w:tab/>
            </w:r>
            <w:r>
              <w:rPr>
                <w:spacing w:val="-8"/>
                <w:sz w:val="24"/>
              </w:rPr>
              <w:t>de </w:t>
            </w:r>
            <w:r>
              <w:rPr>
                <w:sz w:val="24"/>
              </w:rPr>
              <w:t>Capacitadores</w:t>
            </w:r>
            <w:r>
              <w:rPr>
                <w:spacing w:val="-3"/>
                <w:sz w:val="24"/>
              </w:rPr>
              <w:t> </w:t>
            </w:r>
            <w:r>
              <w:rPr>
                <w:sz w:val="24"/>
              </w:rPr>
              <w:t>Externos</w:t>
            </w:r>
          </w:p>
        </w:tc>
        <w:tc>
          <w:tcPr>
            <w:tcW w:w="1759" w:type="dxa"/>
          </w:tcPr>
          <w:p>
            <w:pPr>
              <w:pStyle w:val="TableParagraph"/>
              <w:ind w:right="47"/>
              <w:jc w:val="right"/>
              <w:rPr>
                <w:sz w:val="24"/>
              </w:rPr>
            </w:pPr>
            <w:r>
              <w:rPr>
                <w:sz w:val="24"/>
              </w:rPr>
              <w:t>4315.18</w:t>
            </w:r>
          </w:p>
        </w:tc>
      </w:tr>
      <w:tr>
        <w:trPr>
          <w:trHeight w:val="276" w:hRule="atLeast"/>
        </w:trPr>
        <w:tc>
          <w:tcPr>
            <w:tcW w:w="6695" w:type="dxa"/>
          </w:tcPr>
          <w:p>
            <w:pPr>
              <w:pStyle w:val="TableParagraph"/>
              <w:tabs>
                <w:tab w:pos="484" w:val="left" w:leader="none"/>
              </w:tabs>
              <w:spacing w:line="256" w:lineRule="exact"/>
              <w:ind w:left="50"/>
              <w:rPr>
                <w:sz w:val="24"/>
              </w:rPr>
            </w:pPr>
            <w:r>
              <w:rPr>
                <w:sz w:val="24"/>
              </w:rPr>
              <w:t>5.</w:t>
              <w:tab/>
              <w:t>Autorización de registro y Refrendo de</w:t>
            </w:r>
            <w:r>
              <w:rPr>
                <w:spacing w:val="27"/>
                <w:sz w:val="24"/>
              </w:rPr>
              <w:t> </w:t>
            </w:r>
            <w:r>
              <w:rPr>
                <w:sz w:val="24"/>
              </w:rPr>
              <w:t>asesores</w:t>
            </w:r>
          </w:p>
        </w:tc>
        <w:tc>
          <w:tcPr>
            <w:tcW w:w="1759" w:type="dxa"/>
          </w:tcPr>
          <w:p>
            <w:pPr>
              <w:pStyle w:val="TableParagraph"/>
              <w:spacing w:line="256" w:lineRule="exact"/>
              <w:ind w:right="47"/>
              <w:jc w:val="right"/>
              <w:rPr>
                <w:sz w:val="24"/>
              </w:rPr>
            </w:pPr>
            <w:r>
              <w:rPr>
                <w:sz w:val="24"/>
              </w:rPr>
              <w:t>5,550.00</w:t>
            </w:r>
          </w:p>
        </w:tc>
      </w:tr>
      <w:tr>
        <w:trPr>
          <w:trHeight w:val="275" w:hRule="atLeast"/>
        </w:trPr>
        <w:tc>
          <w:tcPr>
            <w:tcW w:w="6695" w:type="dxa"/>
          </w:tcPr>
          <w:p>
            <w:pPr>
              <w:pStyle w:val="TableParagraph"/>
              <w:spacing w:line="256" w:lineRule="exact"/>
              <w:ind w:left="484"/>
              <w:rPr>
                <w:sz w:val="24"/>
              </w:rPr>
            </w:pPr>
            <w:r>
              <w:rPr>
                <w:sz w:val="24"/>
              </w:rPr>
              <w:t>externos e internos</w:t>
            </w:r>
          </w:p>
        </w:tc>
        <w:tc>
          <w:tcPr>
            <w:tcW w:w="1759" w:type="dxa"/>
          </w:tcPr>
          <w:p>
            <w:pPr>
              <w:pStyle w:val="TableParagraph"/>
              <w:rPr>
                <w:rFonts w:ascii="Times New Roman"/>
                <w:sz w:val="20"/>
              </w:rPr>
            </w:pPr>
          </w:p>
        </w:tc>
      </w:tr>
      <w:tr>
        <w:trPr>
          <w:trHeight w:val="276" w:hRule="atLeast"/>
        </w:trPr>
        <w:tc>
          <w:tcPr>
            <w:tcW w:w="6695" w:type="dxa"/>
          </w:tcPr>
          <w:p>
            <w:pPr>
              <w:pStyle w:val="TableParagraph"/>
              <w:tabs>
                <w:tab w:pos="484" w:val="left" w:leader="none"/>
              </w:tabs>
              <w:spacing w:line="256" w:lineRule="exact"/>
              <w:ind w:left="50"/>
              <w:rPr>
                <w:sz w:val="24"/>
              </w:rPr>
            </w:pPr>
            <w:r>
              <w:rPr>
                <w:sz w:val="24"/>
              </w:rPr>
              <w:t>6.</w:t>
              <w:tab/>
              <w:t>Capacitaciones a Empresas, Estancias Infantiles</w:t>
            </w:r>
            <w:r>
              <w:rPr>
                <w:spacing w:val="53"/>
                <w:sz w:val="24"/>
              </w:rPr>
              <w:t> </w:t>
            </w:r>
            <w:r>
              <w:rPr>
                <w:sz w:val="24"/>
              </w:rPr>
              <w:t>y</w:t>
            </w:r>
          </w:p>
        </w:tc>
        <w:tc>
          <w:tcPr>
            <w:tcW w:w="1759" w:type="dxa"/>
          </w:tcPr>
          <w:p>
            <w:pPr>
              <w:pStyle w:val="TableParagraph"/>
              <w:rPr>
                <w:rFonts w:ascii="Times New Roman"/>
                <w:sz w:val="20"/>
              </w:rPr>
            </w:pPr>
          </w:p>
        </w:tc>
      </w:tr>
      <w:tr>
        <w:trPr>
          <w:trHeight w:val="275" w:hRule="atLeast"/>
        </w:trPr>
        <w:tc>
          <w:tcPr>
            <w:tcW w:w="6695" w:type="dxa"/>
          </w:tcPr>
          <w:p>
            <w:pPr>
              <w:pStyle w:val="TableParagraph"/>
              <w:spacing w:line="256" w:lineRule="exact"/>
              <w:ind w:left="484"/>
              <w:rPr>
                <w:sz w:val="24"/>
              </w:rPr>
            </w:pPr>
            <w:r>
              <w:rPr>
                <w:sz w:val="24"/>
              </w:rPr>
              <w:t>Guarderías</w:t>
            </w:r>
          </w:p>
        </w:tc>
        <w:tc>
          <w:tcPr>
            <w:tcW w:w="1759" w:type="dxa"/>
          </w:tcPr>
          <w:p>
            <w:pPr>
              <w:pStyle w:val="TableParagraph"/>
              <w:rPr>
                <w:rFonts w:ascii="Times New Roman"/>
                <w:sz w:val="20"/>
              </w:rPr>
            </w:pPr>
          </w:p>
        </w:tc>
      </w:tr>
      <w:tr>
        <w:trPr>
          <w:trHeight w:val="275" w:hRule="atLeast"/>
        </w:trPr>
        <w:tc>
          <w:tcPr>
            <w:tcW w:w="6695" w:type="dxa"/>
          </w:tcPr>
          <w:p>
            <w:pPr>
              <w:pStyle w:val="TableParagraph"/>
              <w:tabs>
                <w:tab w:pos="1050" w:val="left" w:leader="none"/>
              </w:tabs>
              <w:spacing w:line="256" w:lineRule="exact"/>
              <w:ind w:left="618"/>
              <w:rPr>
                <w:sz w:val="24"/>
              </w:rPr>
            </w:pPr>
            <w:r>
              <w:rPr>
                <w:sz w:val="24"/>
              </w:rPr>
              <w:t>a.</w:t>
              <w:tab/>
              <w:t>De 1 a 25</w:t>
            </w:r>
            <w:r>
              <w:rPr>
                <w:spacing w:val="-4"/>
                <w:sz w:val="24"/>
              </w:rPr>
              <w:t> </w:t>
            </w:r>
            <w:r>
              <w:rPr>
                <w:sz w:val="24"/>
              </w:rPr>
              <w:t>Personas</w:t>
            </w:r>
          </w:p>
        </w:tc>
        <w:tc>
          <w:tcPr>
            <w:tcW w:w="1759" w:type="dxa"/>
          </w:tcPr>
          <w:p>
            <w:pPr>
              <w:pStyle w:val="TableParagraph"/>
              <w:spacing w:line="256" w:lineRule="exact"/>
              <w:ind w:right="47"/>
              <w:jc w:val="right"/>
              <w:rPr>
                <w:sz w:val="24"/>
              </w:rPr>
            </w:pPr>
            <w:r>
              <w:rPr>
                <w:sz w:val="24"/>
              </w:rPr>
              <w:t>2,125.00</w:t>
            </w:r>
          </w:p>
        </w:tc>
      </w:tr>
      <w:tr>
        <w:trPr>
          <w:trHeight w:val="276" w:hRule="atLeast"/>
        </w:trPr>
        <w:tc>
          <w:tcPr>
            <w:tcW w:w="6695" w:type="dxa"/>
          </w:tcPr>
          <w:p>
            <w:pPr>
              <w:pStyle w:val="TableParagraph"/>
              <w:tabs>
                <w:tab w:pos="1050" w:val="left" w:leader="none"/>
              </w:tabs>
              <w:spacing w:line="256" w:lineRule="exact"/>
              <w:ind w:left="618"/>
              <w:rPr>
                <w:sz w:val="24"/>
              </w:rPr>
            </w:pPr>
            <w:r>
              <w:rPr>
                <w:sz w:val="24"/>
              </w:rPr>
              <w:t>b.</w:t>
              <w:tab/>
              <w:t>De 26 a 50</w:t>
            </w:r>
            <w:r>
              <w:rPr>
                <w:spacing w:val="-3"/>
                <w:sz w:val="24"/>
              </w:rPr>
              <w:t> </w:t>
            </w:r>
            <w:r>
              <w:rPr>
                <w:sz w:val="24"/>
              </w:rPr>
              <w:t>personas</w:t>
            </w:r>
          </w:p>
        </w:tc>
        <w:tc>
          <w:tcPr>
            <w:tcW w:w="1759" w:type="dxa"/>
          </w:tcPr>
          <w:p>
            <w:pPr>
              <w:pStyle w:val="TableParagraph"/>
              <w:spacing w:line="256" w:lineRule="exact"/>
              <w:ind w:right="47"/>
              <w:jc w:val="right"/>
              <w:rPr>
                <w:sz w:val="24"/>
              </w:rPr>
            </w:pPr>
            <w:r>
              <w:rPr>
                <w:sz w:val="24"/>
              </w:rPr>
              <w:t>4,250.89</w:t>
            </w:r>
          </w:p>
        </w:tc>
      </w:tr>
      <w:tr>
        <w:trPr>
          <w:trHeight w:val="276" w:hRule="atLeast"/>
        </w:trPr>
        <w:tc>
          <w:tcPr>
            <w:tcW w:w="6695" w:type="dxa"/>
          </w:tcPr>
          <w:p>
            <w:pPr>
              <w:pStyle w:val="TableParagraph"/>
              <w:tabs>
                <w:tab w:pos="1050" w:val="left" w:leader="none"/>
              </w:tabs>
              <w:spacing w:line="256" w:lineRule="exact"/>
              <w:ind w:left="618"/>
              <w:rPr>
                <w:sz w:val="24"/>
              </w:rPr>
            </w:pPr>
            <w:r>
              <w:rPr>
                <w:sz w:val="24"/>
              </w:rPr>
              <w:t>c.</w:t>
              <w:tab/>
              <w:t>Costo por</w:t>
            </w:r>
            <w:r>
              <w:rPr>
                <w:spacing w:val="-1"/>
                <w:sz w:val="24"/>
              </w:rPr>
              <w:t> </w:t>
            </w:r>
            <w:r>
              <w:rPr>
                <w:sz w:val="24"/>
              </w:rPr>
              <w:t>persona</w:t>
            </w:r>
          </w:p>
        </w:tc>
        <w:tc>
          <w:tcPr>
            <w:tcW w:w="1759" w:type="dxa"/>
          </w:tcPr>
          <w:p>
            <w:pPr>
              <w:pStyle w:val="TableParagraph"/>
              <w:spacing w:line="256" w:lineRule="exact"/>
              <w:ind w:right="47"/>
              <w:jc w:val="right"/>
              <w:rPr>
                <w:sz w:val="24"/>
              </w:rPr>
            </w:pPr>
            <w:r>
              <w:rPr>
                <w:sz w:val="24"/>
              </w:rPr>
              <w:t>105.36</w:t>
            </w:r>
          </w:p>
        </w:tc>
      </w:tr>
      <w:tr>
        <w:trPr>
          <w:trHeight w:val="276" w:hRule="atLeast"/>
        </w:trPr>
        <w:tc>
          <w:tcPr>
            <w:tcW w:w="6695" w:type="dxa"/>
          </w:tcPr>
          <w:p>
            <w:pPr>
              <w:pStyle w:val="TableParagraph"/>
              <w:tabs>
                <w:tab w:pos="484" w:val="left" w:leader="none"/>
              </w:tabs>
              <w:spacing w:line="256" w:lineRule="exact"/>
              <w:ind w:left="50"/>
              <w:rPr>
                <w:sz w:val="24"/>
              </w:rPr>
            </w:pPr>
            <w:r>
              <w:rPr>
                <w:sz w:val="24"/>
              </w:rPr>
              <w:t>7.</w:t>
              <w:tab/>
              <w:t>Estancias Infantiles y</w:t>
            </w:r>
            <w:r>
              <w:rPr>
                <w:spacing w:val="-7"/>
                <w:sz w:val="24"/>
              </w:rPr>
              <w:t> </w:t>
            </w:r>
            <w:r>
              <w:rPr>
                <w:sz w:val="24"/>
              </w:rPr>
              <w:t>Guarderías:</w:t>
            </w:r>
          </w:p>
        </w:tc>
        <w:tc>
          <w:tcPr>
            <w:tcW w:w="1759" w:type="dxa"/>
          </w:tcPr>
          <w:p>
            <w:pPr>
              <w:pStyle w:val="TableParagraph"/>
              <w:rPr>
                <w:rFonts w:ascii="Times New Roman"/>
                <w:sz w:val="20"/>
              </w:rPr>
            </w:pPr>
          </w:p>
        </w:tc>
      </w:tr>
      <w:tr>
        <w:trPr>
          <w:trHeight w:val="275" w:hRule="atLeast"/>
        </w:trPr>
        <w:tc>
          <w:tcPr>
            <w:tcW w:w="6695" w:type="dxa"/>
          </w:tcPr>
          <w:p>
            <w:pPr>
              <w:pStyle w:val="TableParagraph"/>
              <w:tabs>
                <w:tab w:pos="1050" w:val="left" w:leader="none"/>
              </w:tabs>
              <w:spacing w:line="256" w:lineRule="exact"/>
              <w:ind w:left="618"/>
              <w:rPr>
                <w:sz w:val="24"/>
              </w:rPr>
            </w:pPr>
            <w:r>
              <w:rPr>
                <w:sz w:val="24"/>
              </w:rPr>
              <w:t>a.</w:t>
              <w:tab/>
              <w:t>Hasta con 30</w:t>
            </w:r>
            <w:r>
              <w:rPr>
                <w:spacing w:val="-1"/>
                <w:sz w:val="24"/>
              </w:rPr>
              <w:t> </w:t>
            </w:r>
            <w:r>
              <w:rPr>
                <w:sz w:val="24"/>
              </w:rPr>
              <w:t>niños</w:t>
            </w:r>
          </w:p>
        </w:tc>
        <w:tc>
          <w:tcPr>
            <w:tcW w:w="1759" w:type="dxa"/>
          </w:tcPr>
          <w:p>
            <w:pPr>
              <w:pStyle w:val="TableParagraph"/>
              <w:spacing w:line="256" w:lineRule="exact"/>
              <w:ind w:right="47"/>
              <w:jc w:val="right"/>
              <w:rPr>
                <w:sz w:val="24"/>
              </w:rPr>
            </w:pPr>
            <w:r>
              <w:rPr>
                <w:sz w:val="24"/>
              </w:rPr>
              <w:t>2,401.79</w:t>
            </w:r>
          </w:p>
        </w:tc>
      </w:tr>
      <w:tr>
        <w:trPr>
          <w:trHeight w:val="276" w:hRule="atLeast"/>
        </w:trPr>
        <w:tc>
          <w:tcPr>
            <w:tcW w:w="6695" w:type="dxa"/>
          </w:tcPr>
          <w:p>
            <w:pPr>
              <w:pStyle w:val="TableParagraph"/>
              <w:tabs>
                <w:tab w:pos="1050" w:val="left" w:leader="none"/>
              </w:tabs>
              <w:spacing w:line="256" w:lineRule="exact"/>
              <w:ind w:left="618"/>
              <w:rPr>
                <w:sz w:val="24"/>
              </w:rPr>
            </w:pPr>
            <w:r>
              <w:rPr>
                <w:sz w:val="24"/>
              </w:rPr>
              <w:t>b.</w:t>
              <w:tab/>
              <w:t>Hasta con 60</w:t>
            </w:r>
            <w:r>
              <w:rPr>
                <w:spacing w:val="-1"/>
                <w:sz w:val="24"/>
              </w:rPr>
              <w:t> </w:t>
            </w:r>
            <w:r>
              <w:rPr>
                <w:sz w:val="24"/>
              </w:rPr>
              <w:t>niños</w:t>
            </w:r>
          </w:p>
        </w:tc>
        <w:tc>
          <w:tcPr>
            <w:tcW w:w="1759" w:type="dxa"/>
          </w:tcPr>
          <w:p>
            <w:pPr>
              <w:pStyle w:val="TableParagraph"/>
              <w:spacing w:line="256" w:lineRule="exact"/>
              <w:ind w:right="47"/>
              <w:jc w:val="right"/>
              <w:rPr>
                <w:sz w:val="24"/>
              </w:rPr>
            </w:pPr>
            <w:r>
              <w:rPr>
                <w:sz w:val="24"/>
              </w:rPr>
              <w:t>2,668.75</w:t>
            </w:r>
          </w:p>
        </w:tc>
      </w:tr>
      <w:tr>
        <w:trPr>
          <w:trHeight w:val="275" w:hRule="atLeast"/>
        </w:trPr>
        <w:tc>
          <w:tcPr>
            <w:tcW w:w="6695" w:type="dxa"/>
          </w:tcPr>
          <w:p>
            <w:pPr>
              <w:pStyle w:val="TableParagraph"/>
              <w:tabs>
                <w:tab w:pos="1050" w:val="left" w:leader="none"/>
              </w:tabs>
              <w:spacing w:line="256" w:lineRule="exact"/>
              <w:ind w:left="618"/>
              <w:rPr>
                <w:sz w:val="24"/>
              </w:rPr>
            </w:pPr>
            <w:r>
              <w:rPr>
                <w:sz w:val="24"/>
              </w:rPr>
              <w:t>c.</w:t>
              <w:tab/>
              <w:t>De 60 niños en</w:t>
            </w:r>
            <w:r>
              <w:rPr>
                <w:spacing w:val="-7"/>
                <w:sz w:val="24"/>
              </w:rPr>
              <w:t> </w:t>
            </w:r>
            <w:r>
              <w:rPr>
                <w:sz w:val="24"/>
              </w:rPr>
              <w:t>adelante</w:t>
            </w:r>
          </w:p>
        </w:tc>
        <w:tc>
          <w:tcPr>
            <w:tcW w:w="1759" w:type="dxa"/>
          </w:tcPr>
          <w:p>
            <w:pPr>
              <w:pStyle w:val="TableParagraph"/>
              <w:spacing w:line="256" w:lineRule="exact"/>
              <w:ind w:right="47"/>
              <w:jc w:val="right"/>
              <w:rPr>
                <w:sz w:val="24"/>
              </w:rPr>
            </w:pPr>
            <w:r>
              <w:rPr>
                <w:sz w:val="24"/>
              </w:rPr>
              <w:t>4,272.32</w:t>
            </w:r>
          </w:p>
        </w:tc>
      </w:tr>
      <w:tr>
        <w:trPr>
          <w:trHeight w:val="275" w:hRule="atLeast"/>
        </w:trPr>
        <w:tc>
          <w:tcPr>
            <w:tcW w:w="6695" w:type="dxa"/>
          </w:tcPr>
          <w:p>
            <w:pPr>
              <w:pStyle w:val="TableParagraph"/>
              <w:tabs>
                <w:tab w:pos="484" w:val="left" w:leader="none"/>
              </w:tabs>
              <w:spacing w:line="256" w:lineRule="exact"/>
              <w:ind w:left="50"/>
              <w:rPr>
                <w:sz w:val="24"/>
              </w:rPr>
            </w:pPr>
            <w:r>
              <w:rPr>
                <w:sz w:val="24"/>
              </w:rPr>
              <w:t>8.</w:t>
              <w:tab/>
              <w:t>Instituciones de Educación Básica Privadas</w:t>
            </w:r>
          </w:p>
        </w:tc>
        <w:tc>
          <w:tcPr>
            <w:tcW w:w="1759" w:type="dxa"/>
          </w:tcPr>
          <w:p>
            <w:pPr>
              <w:pStyle w:val="TableParagraph"/>
              <w:rPr>
                <w:rFonts w:ascii="Times New Roman"/>
                <w:sz w:val="20"/>
              </w:rPr>
            </w:pPr>
          </w:p>
        </w:tc>
      </w:tr>
      <w:tr>
        <w:trPr>
          <w:trHeight w:val="276" w:hRule="atLeast"/>
        </w:trPr>
        <w:tc>
          <w:tcPr>
            <w:tcW w:w="6695" w:type="dxa"/>
          </w:tcPr>
          <w:p>
            <w:pPr>
              <w:pStyle w:val="TableParagraph"/>
              <w:tabs>
                <w:tab w:pos="1050" w:val="left" w:leader="none"/>
              </w:tabs>
              <w:spacing w:line="256" w:lineRule="exact"/>
              <w:ind w:left="618"/>
              <w:rPr>
                <w:sz w:val="24"/>
              </w:rPr>
            </w:pPr>
            <w:r>
              <w:rPr>
                <w:sz w:val="24"/>
              </w:rPr>
              <w:t>a.</w:t>
              <w:tab/>
              <w:t>Hasta con 100</w:t>
            </w:r>
            <w:r>
              <w:rPr>
                <w:spacing w:val="-3"/>
                <w:sz w:val="24"/>
              </w:rPr>
              <w:t> </w:t>
            </w:r>
            <w:r>
              <w:rPr>
                <w:sz w:val="24"/>
              </w:rPr>
              <w:t>alumnos</w:t>
            </w:r>
          </w:p>
        </w:tc>
        <w:tc>
          <w:tcPr>
            <w:tcW w:w="1759" w:type="dxa"/>
          </w:tcPr>
          <w:p>
            <w:pPr>
              <w:pStyle w:val="TableParagraph"/>
              <w:spacing w:line="256" w:lineRule="exact"/>
              <w:ind w:right="47"/>
              <w:jc w:val="right"/>
              <w:rPr>
                <w:sz w:val="24"/>
              </w:rPr>
            </w:pPr>
            <w:r>
              <w:rPr>
                <w:sz w:val="24"/>
              </w:rPr>
              <w:t>2,867.86</w:t>
            </w:r>
          </w:p>
        </w:tc>
      </w:tr>
      <w:tr>
        <w:trPr>
          <w:trHeight w:val="275" w:hRule="atLeast"/>
        </w:trPr>
        <w:tc>
          <w:tcPr>
            <w:tcW w:w="6695" w:type="dxa"/>
          </w:tcPr>
          <w:p>
            <w:pPr>
              <w:pStyle w:val="TableParagraph"/>
              <w:tabs>
                <w:tab w:pos="1050" w:val="left" w:leader="none"/>
              </w:tabs>
              <w:spacing w:line="256" w:lineRule="exact"/>
              <w:ind w:left="618"/>
              <w:rPr>
                <w:sz w:val="24"/>
              </w:rPr>
            </w:pPr>
            <w:r>
              <w:rPr>
                <w:sz w:val="24"/>
              </w:rPr>
              <w:t>b.</w:t>
              <w:tab/>
              <w:t>Más de 100</w:t>
            </w:r>
            <w:r>
              <w:rPr>
                <w:spacing w:val="-5"/>
                <w:sz w:val="24"/>
              </w:rPr>
              <w:t> </w:t>
            </w:r>
            <w:r>
              <w:rPr>
                <w:sz w:val="24"/>
              </w:rPr>
              <w:t>alumnos</w:t>
            </w:r>
          </w:p>
        </w:tc>
        <w:tc>
          <w:tcPr>
            <w:tcW w:w="1759" w:type="dxa"/>
          </w:tcPr>
          <w:p>
            <w:pPr>
              <w:pStyle w:val="TableParagraph"/>
              <w:spacing w:line="256" w:lineRule="exact"/>
              <w:ind w:right="47"/>
              <w:jc w:val="right"/>
              <w:rPr>
                <w:sz w:val="24"/>
              </w:rPr>
            </w:pPr>
            <w:r>
              <w:rPr>
                <w:sz w:val="24"/>
              </w:rPr>
              <w:t>3,196.43</w:t>
            </w:r>
          </w:p>
        </w:tc>
      </w:tr>
      <w:tr>
        <w:trPr>
          <w:trHeight w:val="274" w:hRule="atLeast"/>
        </w:trPr>
        <w:tc>
          <w:tcPr>
            <w:tcW w:w="6695" w:type="dxa"/>
          </w:tcPr>
          <w:p>
            <w:pPr>
              <w:pStyle w:val="TableParagraph"/>
              <w:tabs>
                <w:tab w:pos="484" w:val="left" w:leader="none"/>
                <w:tab w:pos="2026" w:val="left" w:leader="none"/>
                <w:tab w:pos="2501" w:val="left" w:leader="none"/>
                <w:tab w:pos="3827" w:val="left" w:leader="none"/>
                <w:tab w:pos="4688" w:val="left" w:leader="none"/>
                <w:tab w:pos="5800" w:val="left" w:leader="none"/>
              </w:tabs>
              <w:spacing w:line="255" w:lineRule="exact"/>
              <w:ind w:left="50"/>
              <w:rPr>
                <w:sz w:val="24"/>
              </w:rPr>
            </w:pPr>
            <w:r>
              <w:rPr>
                <w:sz w:val="24"/>
              </w:rPr>
              <w:t>9.</w:t>
              <w:tab/>
              <w:t>Instituciones</w:t>
              <w:tab/>
              <w:t>de</w:t>
              <w:tab/>
              <w:t>Educación</w:t>
              <w:tab/>
              <w:t>Media</w:t>
              <w:tab/>
              <w:t>Superior</w:t>
              <w:tab/>
              <w:t>y</w:t>
            </w:r>
          </w:p>
        </w:tc>
        <w:tc>
          <w:tcPr>
            <w:tcW w:w="1759" w:type="dxa"/>
          </w:tcPr>
          <w:p>
            <w:pPr>
              <w:pStyle w:val="TableParagraph"/>
              <w:rPr>
                <w:rFonts w:ascii="Times New Roman"/>
                <w:sz w:val="20"/>
              </w:rPr>
            </w:pPr>
          </w:p>
        </w:tc>
      </w:tr>
      <w:tr>
        <w:trPr>
          <w:trHeight w:val="274" w:hRule="atLeast"/>
        </w:trPr>
        <w:tc>
          <w:tcPr>
            <w:tcW w:w="6695" w:type="dxa"/>
          </w:tcPr>
          <w:p>
            <w:pPr>
              <w:pStyle w:val="TableParagraph"/>
              <w:spacing w:line="255" w:lineRule="exact"/>
              <w:ind w:left="484"/>
              <w:rPr>
                <w:sz w:val="24"/>
              </w:rPr>
            </w:pPr>
            <w:r>
              <w:rPr>
                <w:sz w:val="24"/>
              </w:rPr>
              <w:t>Superior Privadas</w:t>
            </w:r>
          </w:p>
        </w:tc>
        <w:tc>
          <w:tcPr>
            <w:tcW w:w="1759" w:type="dxa"/>
          </w:tcPr>
          <w:p>
            <w:pPr>
              <w:pStyle w:val="TableParagraph"/>
              <w:rPr>
                <w:rFonts w:ascii="Times New Roman"/>
                <w:sz w:val="20"/>
              </w:rPr>
            </w:pPr>
          </w:p>
        </w:tc>
      </w:tr>
      <w:tr>
        <w:trPr>
          <w:trHeight w:val="276" w:hRule="atLeast"/>
        </w:trPr>
        <w:tc>
          <w:tcPr>
            <w:tcW w:w="6695" w:type="dxa"/>
          </w:tcPr>
          <w:p>
            <w:pPr>
              <w:pStyle w:val="TableParagraph"/>
              <w:tabs>
                <w:tab w:pos="1050" w:val="left" w:leader="none"/>
              </w:tabs>
              <w:spacing w:line="256" w:lineRule="exact"/>
              <w:ind w:left="625"/>
              <w:rPr>
                <w:sz w:val="24"/>
              </w:rPr>
            </w:pPr>
            <w:r>
              <w:rPr>
                <w:sz w:val="24"/>
              </w:rPr>
              <w:t>a.</w:t>
              <w:tab/>
              <w:t>Media Superior, hasta con 100</w:t>
            </w:r>
            <w:r>
              <w:rPr>
                <w:spacing w:val="-9"/>
                <w:sz w:val="24"/>
              </w:rPr>
              <w:t> </w:t>
            </w:r>
            <w:r>
              <w:rPr>
                <w:sz w:val="24"/>
              </w:rPr>
              <w:t>alumnos</w:t>
            </w:r>
          </w:p>
        </w:tc>
        <w:tc>
          <w:tcPr>
            <w:tcW w:w="1759" w:type="dxa"/>
          </w:tcPr>
          <w:p>
            <w:pPr>
              <w:pStyle w:val="TableParagraph"/>
              <w:spacing w:line="256" w:lineRule="exact"/>
              <w:ind w:right="47"/>
              <w:jc w:val="right"/>
              <w:rPr>
                <w:sz w:val="24"/>
              </w:rPr>
            </w:pPr>
            <w:r>
              <w:rPr>
                <w:sz w:val="24"/>
              </w:rPr>
              <w:t>3,276.79</w:t>
            </w:r>
          </w:p>
        </w:tc>
      </w:tr>
      <w:tr>
        <w:trPr>
          <w:trHeight w:val="275" w:hRule="atLeast"/>
        </w:trPr>
        <w:tc>
          <w:tcPr>
            <w:tcW w:w="6695" w:type="dxa"/>
          </w:tcPr>
          <w:p>
            <w:pPr>
              <w:pStyle w:val="TableParagraph"/>
              <w:tabs>
                <w:tab w:pos="1050" w:val="left" w:leader="none"/>
              </w:tabs>
              <w:spacing w:line="256" w:lineRule="exact"/>
              <w:ind w:left="625"/>
              <w:rPr>
                <w:sz w:val="24"/>
              </w:rPr>
            </w:pPr>
            <w:r>
              <w:rPr>
                <w:sz w:val="24"/>
              </w:rPr>
              <w:t>b.</w:t>
              <w:tab/>
              <w:t>Media Superior, más de 100</w:t>
            </w:r>
            <w:r>
              <w:rPr>
                <w:spacing w:val="-8"/>
                <w:sz w:val="24"/>
              </w:rPr>
              <w:t> </w:t>
            </w:r>
            <w:r>
              <w:rPr>
                <w:sz w:val="24"/>
              </w:rPr>
              <w:t>alumnos</w:t>
            </w:r>
          </w:p>
        </w:tc>
        <w:tc>
          <w:tcPr>
            <w:tcW w:w="1759" w:type="dxa"/>
          </w:tcPr>
          <w:p>
            <w:pPr>
              <w:pStyle w:val="TableParagraph"/>
              <w:spacing w:line="256" w:lineRule="exact"/>
              <w:ind w:right="47"/>
              <w:jc w:val="right"/>
              <w:rPr>
                <w:sz w:val="24"/>
              </w:rPr>
            </w:pPr>
            <w:r>
              <w:rPr>
                <w:sz w:val="24"/>
              </w:rPr>
              <w:t>3,474.11</w:t>
            </w:r>
          </w:p>
        </w:tc>
      </w:tr>
      <w:tr>
        <w:trPr>
          <w:trHeight w:val="276" w:hRule="atLeast"/>
        </w:trPr>
        <w:tc>
          <w:tcPr>
            <w:tcW w:w="6695" w:type="dxa"/>
          </w:tcPr>
          <w:p>
            <w:pPr>
              <w:pStyle w:val="TableParagraph"/>
              <w:tabs>
                <w:tab w:pos="1050" w:val="left" w:leader="none"/>
              </w:tabs>
              <w:spacing w:line="256" w:lineRule="exact"/>
              <w:ind w:left="625"/>
              <w:rPr>
                <w:sz w:val="24"/>
              </w:rPr>
            </w:pPr>
            <w:r>
              <w:rPr>
                <w:sz w:val="24"/>
              </w:rPr>
              <w:t>c.</w:t>
              <w:tab/>
              <w:t>Superior, hasta con 200</w:t>
            </w:r>
            <w:r>
              <w:rPr>
                <w:spacing w:val="-4"/>
                <w:sz w:val="24"/>
              </w:rPr>
              <w:t> </w:t>
            </w:r>
            <w:r>
              <w:rPr>
                <w:sz w:val="24"/>
              </w:rPr>
              <w:t>alumnos</w:t>
            </w:r>
          </w:p>
        </w:tc>
        <w:tc>
          <w:tcPr>
            <w:tcW w:w="1759" w:type="dxa"/>
          </w:tcPr>
          <w:p>
            <w:pPr>
              <w:pStyle w:val="TableParagraph"/>
              <w:spacing w:line="256" w:lineRule="exact"/>
              <w:ind w:right="47"/>
              <w:jc w:val="right"/>
              <w:rPr>
                <w:sz w:val="24"/>
              </w:rPr>
            </w:pPr>
            <w:r>
              <w:rPr>
                <w:sz w:val="24"/>
              </w:rPr>
              <w:t>3,933.04</w:t>
            </w:r>
          </w:p>
        </w:tc>
      </w:tr>
      <w:tr>
        <w:trPr>
          <w:trHeight w:val="272" w:hRule="atLeast"/>
        </w:trPr>
        <w:tc>
          <w:tcPr>
            <w:tcW w:w="6695" w:type="dxa"/>
          </w:tcPr>
          <w:p>
            <w:pPr>
              <w:pStyle w:val="TableParagraph"/>
              <w:tabs>
                <w:tab w:pos="1050" w:val="left" w:leader="none"/>
              </w:tabs>
              <w:spacing w:line="252" w:lineRule="exact"/>
              <w:ind w:left="625"/>
              <w:rPr>
                <w:sz w:val="24"/>
              </w:rPr>
            </w:pPr>
            <w:r>
              <w:rPr>
                <w:sz w:val="24"/>
              </w:rPr>
              <w:t>d.</w:t>
              <w:tab/>
              <w:t>Superior, más de 200</w:t>
            </w:r>
            <w:r>
              <w:rPr>
                <w:spacing w:val="-11"/>
                <w:sz w:val="24"/>
              </w:rPr>
              <w:t> </w:t>
            </w:r>
            <w:r>
              <w:rPr>
                <w:sz w:val="24"/>
              </w:rPr>
              <w:t>alumnos</w:t>
            </w:r>
          </w:p>
        </w:tc>
        <w:tc>
          <w:tcPr>
            <w:tcW w:w="1759" w:type="dxa"/>
          </w:tcPr>
          <w:p>
            <w:pPr>
              <w:pStyle w:val="TableParagraph"/>
              <w:spacing w:line="252" w:lineRule="exact"/>
              <w:ind w:right="47"/>
              <w:jc w:val="right"/>
              <w:rPr>
                <w:sz w:val="24"/>
              </w:rPr>
            </w:pPr>
            <w:r>
              <w:rPr>
                <w:sz w:val="24"/>
              </w:rPr>
              <w:t>4,341.96</w:t>
            </w:r>
          </w:p>
        </w:tc>
      </w:tr>
      <w:tr>
        <w:trPr>
          <w:trHeight w:val="275" w:hRule="atLeast"/>
        </w:trPr>
        <w:tc>
          <w:tcPr>
            <w:tcW w:w="6695" w:type="dxa"/>
          </w:tcPr>
          <w:p>
            <w:pPr>
              <w:pStyle w:val="TableParagraph"/>
              <w:tabs>
                <w:tab w:pos="625" w:val="left" w:leader="none"/>
              </w:tabs>
              <w:spacing w:line="256" w:lineRule="exact"/>
              <w:ind w:left="83"/>
              <w:rPr>
                <w:sz w:val="24"/>
              </w:rPr>
            </w:pPr>
            <w:r>
              <w:rPr>
                <w:sz w:val="24"/>
              </w:rPr>
              <w:t>10.</w:t>
              <w:tab/>
              <w:t>Atracciones</w:t>
            </w:r>
          </w:p>
        </w:tc>
        <w:tc>
          <w:tcPr>
            <w:tcW w:w="1759" w:type="dxa"/>
          </w:tcPr>
          <w:p>
            <w:pPr>
              <w:pStyle w:val="TableParagraph"/>
              <w:rPr>
                <w:rFonts w:ascii="Times New Roman"/>
                <w:sz w:val="20"/>
              </w:rPr>
            </w:pPr>
          </w:p>
        </w:tc>
      </w:tr>
    </w:tbl>
    <w:p>
      <w:pPr>
        <w:spacing w:after="0"/>
        <w:rPr>
          <w:rFonts w:ascii="Times New Roman"/>
          <w:sz w:val="20"/>
        </w:rPr>
        <w:sectPr>
          <w:pgSz w:w="12250" w:h="15850"/>
          <w:pgMar w:header="730" w:footer="0" w:top="1000" w:bottom="280" w:left="860" w:right="820"/>
        </w:sectPr>
      </w:pPr>
    </w:p>
    <w:p>
      <w:pPr>
        <w:pStyle w:val="ListParagraph"/>
        <w:numPr>
          <w:ilvl w:val="2"/>
          <w:numId w:val="39"/>
        </w:numPr>
        <w:tabs>
          <w:tab w:pos="2530" w:val="left" w:leader="none"/>
        </w:tabs>
        <w:spacing w:line="240" w:lineRule="auto" w:before="0" w:after="0"/>
        <w:ind w:left="2630" w:right="0" w:hanging="533"/>
        <w:jc w:val="both"/>
        <w:rPr>
          <w:sz w:val="24"/>
        </w:rPr>
      </w:pPr>
      <w:r>
        <w:rPr>
          <w:sz w:val="24"/>
        </w:rPr>
        <w:t>Juegos mecánicos que se instalan en colonias, fiestas patronales o poblados pequeños.</w:t>
      </w:r>
    </w:p>
    <w:p>
      <w:pPr>
        <w:pStyle w:val="ListParagraph"/>
        <w:numPr>
          <w:ilvl w:val="2"/>
          <w:numId w:val="39"/>
        </w:numPr>
        <w:tabs>
          <w:tab w:pos="2530" w:val="left" w:leader="none"/>
        </w:tabs>
        <w:spacing w:line="240" w:lineRule="auto" w:before="0" w:after="0"/>
        <w:ind w:left="2529" w:right="0" w:hanging="425"/>
        <w:jc w:val="both"/>
        <w:rPr>
          <w:sz w:val="24"/>
        </w:rPr>
      </w:pPr>
      <w:r>
        <w:rPr>
          <w:sz w:val="24"/>
        </w:rPr>
        <w:t>Juegos mecánicos que se instalan en ferias, eventos masivos en plazas para eventos multitudinarios</w:t>
      </w:r>
    </w:p>
    <w:p>
      <w:pPr>
        <w:pStyle w:val="BodyText"/>
        <w:ind w:right="677"/>
        <w:jc w:val="right"/>
      </w:pPr>
      <w:r>
        <w:rPr/>
        <w:br w:type="column"/>
      </w:r>
      <w:r>
        <w:rPr>
          <w:spacing w:val="-1"/>
        </w:rPr>
        <w:t>391.07</w:t>
      </w:r>
    </w:p>
    <w:p>
      <w:pPr>
        <w:pStyle w:val="BodyText"/>
        <w:rPr>
          <w:sz w:val="26"/>
        </w:rPr>
      </w:pPr>
    </w:p>
    <w:p>
      <w:pPr>
        <w:pStyle w:val="BodyText"/>
        <w:rPr>
          <w:sz w:val="22"/>
        </w:rPr>
      </w:pPr>
    </w:p>
    <w:p>
      <w:pPr>
        <w:pStyle w:val="BodyText"/>
        <w:ind w:right="677"/>
        <w:jc w:val="right"/>
      </w:pPr>
      <w:r>
        <w:rPr>
          <w:spacing w:val="-1"/>
        </w:rPr>
        <w:t>1,361.51</w:t>
      </w:r>
    </w:p>
    <w:p>
      <w:pPr>
        <w:spacing w:after="0"/>
        <w:jc w:val="right"/>
        <w:sectPr>
          <w:type w:val="continuous"/>
          <w:pgSz w:w="12250" w:h="15850"/>
          <w:pgMar w:top="840" w:bottom="280" w:left="860" w:right="820"/>
          <w:cols w:num="2" w:equalWidth="0">
            <w:col w:w="7400" w:space="40"/>
            <w:col w:w="3130"/>
          </w:cols>
        </w:sectPr>
      </w:pPr>
    </w:p>
    <w:p>
      <w:pPr>
        <w:pStyle w:val="ListParagraph"/>
        <w:numPr>
          <w:ilvl w:val="0"/>
          <w:numId w:val="40"/>
        </w:numPr>
        <w:tabs>
          <w:tab w:pos="2104" w:val="left" w:leader="none"/>
          <w:tab w:pos="2105" w:val="left" w:leader="none"/>
          <w:tab w:pos="8948" w:val="left" w:leader="none"/>
        </w:tabs>
        <w:spacing w:line="240" w:lineRule="auto" w:before="0" w:after="0"/>
        <w:ind w:left="2104" w:right="0" w:hanging="543"/>
        <w:jc w:val="left"/>
        <w:rPr>
          <w:sz w:val="24"/>
        </w:rPr>
      </w:pPr>
      <w:r>
        <w:rPr>
          <w:sz w:val="24"/>
        </w:rPr>
        <w:t>Palenque de gallos</w:t>
      </w:r>
      <w:r>
        <w:rPr>
          <w:spacing w:val="-7"/>
          <w:sz w:val="24"/>
        </w:rPr>
        <w:t> </w:t>
      </w:r>
      <w:r>
        <w:rPr>
          <w:sz w:val="24"/>
        </w:rPr>
        <w:t>por</w:t>
      </w:r>
      <w:r>
        <w:rPr>
          <w:spacing w:val="-5"/>
          <w:sz w:val="24"/>
        </w:rPr>
        <w:t> </w:t>
      </w:r>
      <w:r>
        <w:rPr>
          <w:sz w:val="24"/>
        </w:rPr>
        <w:t>evento</w:t>
        <w:tab/>
        <w:t>2,593.75</w:t>
      </w:r>
    </w:p>
    <w:p>
      <w:pPr>
        <w:spacing w:after="0" w:line="240" w:lineRule="auto"/>
        <w:jc w:val="left"/>
        <w:rPr>
          <w:sz w:val="24"/>
        </w:rPr>
        <w:sectPr>
          <w:type w:val="continuous"/>
          <w:pgSz w:w="12250" w:h="15850"/>
          <w:pgMar w:top="840" w:bottom="280" w:left="860" w:right="820"/>
        </w:sectPr>
      </w:pPr>
    </w:p>
    <w:p>
      <w:pPr>
        <w:pStyle w:val="ListParagraph"/>
        <w:numPr>
          <w:ilvl w:val="0"/>
          <w:numId w:val="40"/>
        </w:numPr>
        <w:tabs>
          <w:tab w:pos="2104" w:val="left" w:leader="none"/>
          <w:tab w:pos="2105" w:val="left" w:leader="none"/>
        </w:tabs>
        <w:spacing w:line="240" w:lineRule="auto" w:before="0" w:after="0"/>
        <w:ind w:left="2128" w:right="38" w:hanging="567"/>
        <w:jc w:val="left"/>
        <w:rPr>
          <w:sz w:val="24"/>
        </w:rPr>
      </w:pPr>
      <w:r>
        <w:rPr>
          <w:sz w:val="24"/>
        </w:rPr>
        <w:t>Dictamen Técnico Estructural, hasta 200</w:t>
      </w:r>
      <w:r>
        <w:rPr>
          <w:spacing w:val="-15"/>
          <w:sz w:val="24"/>
        </w:rPr>
        <w:t> </w:t>
      </w:r>
      <w:r>
        <w:rPr>
          <w:sz w:val="24"/>
        </w:rPr>
        <w:t>metros cuadrados</w:t>
      </w:r>
    </w:p>
    <w:p>
      <w:pPr>
        <w:pStyle w:val="BodyText"/>
        <w:ind w:left="1562"/>
      </w:pPr>
      <w:r>
        <w:rPr/>
        <w:br w:type="column"/>
      </w:r>
      <w:r>
        <w:rPr/>
        <w:t>402.68</w:t>
      </w:r>
    </w:p>
    <w:p>
      <w:pPr>
        <w:spacing w:after="0"/>
        <w:sectPr>
          <w:type w:val="continuous"/>
          <w:pgSz w:w="12250" w:h="15850"/>
          <w:pgMar w:top="840" w:bottom="280" w:left="860" w:right="820"/>
          <w:cols w:num="2" w:equalWidth="0">
            <w:col w:w="7265" w:space="321"/>
            <w:col w:w="2984"/>
          </w:cols>
        </w:sectPr>
      </w:pPr>
    </w:p>
    <w:p>
      <w:pPr>
        <w:pStyle w:val="BodyText"/>
        <w:spacing w:before="7"/>
        <w:rPr>
          <w:sz w:val="16"/>
        </w:rPr>
      </w:pPr>
    </w:p>
    <w:tbl>
      <w:tblPr>
        <w:tblW w:w="0" w:type="auto"/>
        <w:jc w:val="left"/>
        <w:tblInd w:w="1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5"/>
        <w:gridCol w:w="1780"/>
      </w:tblGrid>
      <w:tr>
        <w:trPr>
          <w:trHeight w:val="272" w:hRule="atLeast"/>
        </w:trPr>
        <w:tc>
          <w:tcPr>
            <w:tcW w:w="6665" w:type="dxa"/>
          </w:tcPr>
          <w:p>
            <w:pPr>
              <w:pStyle w:val="TableParagraph"/>
              <w:tabs>
                <w:tab w:pos="616" w:val="left" w:leader="none"/>
              </w:tabs>
              <w:spacing w:line="252" w:lineRule="exact"/>
              <w:ind w:left="73"/>
              <w:rPr>
                <w:sz w:val="24"/>
              </w:rPr>
            </w:pPr>
            <w:r>
              <w:rPr>
                <w:sz w:val="24"/>
              </w:rPr>
              <w:t>13.</w:t>
              <w:tab/>
              <w:t>Dictamen Técnico Estructural de 201 metros</w:t>
            </w:r>
            <w:r>
              <w:rPr>
                <w:spacing w:val="-7"/>
                <w:sz w:val="24"/>
              </w:rPr>
              <w:t> </w:t>
            </w:r>
            <w:r>
              <w:rPr>
                <w:sz w:val="24"/>
              </w:rPr>
              <w:t>a</w:t>
            </w:r>
          </w:p>
        </w:tc>
        <w:tc>
          <w:tcPr>
            <w:tcW w:w="1780" w:type="dxa"/>
          </w:tcPr>
          <w:p>
            <w:pPr>
              <w:pStyle w:val="TableParagraph"/>
              <w:spacing w:line="252" w:lineRule="exact"/>
              <w:ind w:right="48"/>
              <w:jc w:val="right"/>
              <w:rPr>
                <w:sz w:val="24"/>
              </w:rPr>
            </w:pPr>
            <w:r>
              <w:rPr>
                <w:sz w:val="24"/>
              </w:rPr>
              <w:t>1,401.79</w:t>
            </w:r>
          </w:p>
        </w:tc>
      </w:tr>
      <w:tr>
        <w:trPr>
          <w:trHeight w:val="276" w:hRule="atLeast"/>
        </w:trPr>
        <w:tc>
          <w:tcPr>
            <w:tcW w:w="6665" w:type="dxa"/>
          </w:tcPr>
          <w:p>
            <w:pPr>
              <w:pStyle w:val="TableParagraph"/>
              <w:spacing w:line="256" w:lineRule="exact"/>
              <w:ind w:left="640"/>
              <w:rPr>
                <w:sz w:val="24"/>
              </w:rPr>
            </w:pPr>
            <w:r>
              <w:rPr>
                <w:sz w:val="24"/>
              </w:rPr>
              <w:t>500 metros cuadrados</w:t>
            </w:r>
          </w:p>
        </w:tc>
        <w:tc>
          <w:tcPr>
            <w:tcW w:w="1780" w:type="dxa"/>
          </w:tcPr>
          <w:p>
            <w:pPr>
              <w:pStyle w:val="TableParagraph"/>
              <w:rPr>
                <w:rFonts w:ascii="Times New Roman"/>
                <w:sz w:val="20"/>
              </w:rPr>
            </w:pPr>
          </w:p>
        </w:tc>
      </w:tr>
      <w:tr>
        <w:trPr>
          <w:trHeight w:val="275" w:hRule="atLeast"/>
        </w:trPr>
        <w:tc>
          <w:tcPr>
            <w:tcW w:w="6665" w:type="dxa"/>
          </w:tcPr>
          <w:p>
            <w:pPr>
              <w:pStyle w:val="TableParagraph"/>
              <w:tabs>
                <w:tab w:pos="616" w:val="left" w:leader="none"/>
              </w:tabs>
              <w:spacing w:line="256" w:lineRule="exact"/>
              <w:ind w:left="73"/>
              <w:rPr>
                <w:sz w:val="24"/>
              </w:rPr>
            </w:pPr>
            <w:r>
              <w:rPr>
                <w:sz w:val="24"/>
              </w:rPr>
              <w:t>14.</w:t>
              <w:tab/>
              <w:t>Dictamen Técnico Estructural de 501</w:t>
            </w:r>
            <w:r>
              <w:rPr>
                <w:spacing w:val="-5"/>
                <w:sz w:val="24"/>
              </w:rPr>
              <w:t> </w:t>
            </w:r>
            <w:r>
              <w:rPr>
                <w:sz w:val="24"/>
              </w:rPr>
              <w:t>metros</w:t>
            </w:r>
          </w:p>
        </w:tc>
        <w:tc>
          <w:tcPr>
            <w:tcW w:w="1780" w:type="dxa"/>
          </w:tcPr>
          <w:p>
            <w:pPr>
              <w:pStyle w:val="TableParagraph"/>
              <w:spacing w:line="256" w:lineRule="exact"/>
              <w:ind w:right="48"/>
              <w:jc w:val="right"/>
              <w:rPr>
                <w:sz w:val="24"/>
              </w:rPr>
            </w:pPr>
            <w:r>
              <w:rPr>
                <w:sz w:val="24"/>
              </w:rPr>
              <w:t>4,274.11</w:t>
            </w:r>
          </w:p>
        </w:tc>
      </w:tr>
      <w:tr>
        <w:trPr>
          <w:trHeight w:val="276" w:hRule="atLeast"/>
        </w:trPr>
        <w:tc>
          <w:tcPr>
            <w:tcW w:w="6665" w:type="dxa"/>
          </w:tcPr>
          <w:p>
            <w:pPr>
              <w:pStyle w:val="TableParagraph"/>
              <w:spacing w:line="256" w:lineRule="exact"/>
              <w:ind w:left="616"/>
              <w:rPr>
                <w:sz w:val="24"/>
              </w:rPr>
            </w:pPr>
            <w:r>
              <w:rPr>
                <w:sz w:val="24"/>
              </w:rPr>
              <w:t>cuadrados en adelante</w:t>
            </w:r>
          </w:p>
        </w:tc>
        <w:tc>
          <w:tcPr>
            <w:tcW w:w="1780" w:type="dxa"/>
          </w:tcPr>
          <w:p>
            <w:pPr>
              <w:pStyle w:val="TableParagraph"/>
              <w:rPr>
                <w:rFonts w:ascii="Times New Roman"/>
                <w:sz w:val="20"/>
              </w:rPr>
            </w:pPr>
          </w:p>
        </w:tc>
      </w:tr>
      <w:tr>
        <w:trPr>
          <w:trHeight w:val="275" w:hRule="atLeast"/>
        </w:trPr>
        <w:tc>
          <w:tcPr>
            <w:tcW w:w="6665" w:type="dxa"/>
          </w:tcPr>
          <w:p>
            <w:pPr>
              <w:pStyle w:val="TableParagraph"/>
              <w:tabs>
                <w:tab w:pos="616" w:val="left" w:leader="none"/>
              </w:tabs>
              <w:spacing w:line="256" w:lineRule="exact"/>
              <w:ind w:left="73"/>
              <w:rPr>
                <w:sz w:val="24"/>
              </w:rPr>
            </w:pPr>
            <w:r>
              <w:rPr>
                <w:sz w:val="24"/>
              </w:rPr>
              <w:t>15.</w:t>
              <w:tab/>
              <w:t>Dictamen Técnico Estructural en zona rural</w:t>
            </w:r>
            <w:r>
              <w:rPr>
                <w:spacing w:val="-6"/>
                <w:sz w:val="24"/>
              </w:rPr>
              <w:t> </w:t>
            </w:r>
            <w:r>
              <w:rPr>
                <w:sz w:val="24"/>
              </w:rPr>
              <w:t>hasta</w:t>
            </w:r>
          </w:p>
        </w:tc>
        <w:tc>
          <w:tcPr>
            <w:tcW w:w="1780" w:type="dxa"/>
          </w:tcPr>
          <w:p>
            <w:pPr>
              <w:pStyle w:val="TableParagraph"/>
              <w:spacing w:line="256" w:lineRule="exact"/>
              <w:ind w:right="48"/>
              <w:jc w:val="right"/>
              <w:rPr>
                <w:sz w:val="24"/>
              </w:rPr>
            </w:pPr>
            <w:r>
              <w:rPr>
                <w:sz w:val="24"/>
              </w:rPr>
              <w:t>1,401.79</w:t>
            </w:r>
          </w:p>
        </w:tc>
      </w:tr>
      <w:tr>
        <w:trPr>
          <w:trHeight w:val="276" w:hRule="atLeast"/>
        </w:trPr>
        <w:tc>
          <w:tcPr>
            <w:tcW w:w="6665" w:type="dxa"/>
          </w:tcPr>
          <w:p>
            <w:pPr>
              <w:pStyle w:val="TableParagraph"/>
              <w:spacing w:line="256" w:lineRule="exact"/>
              <w:ind w:left="616"/>
              <w:rPr>
                <w:sz w:val="24"/>
              </w:rPr>
            </w:pPr>
            <w:r>
              <w:rPr>
                <w:sz w:val="24"/>
              </w:rPr>
              <w:t>200 metros</w:t>
            </w:r>
          </w:p>
        </w:tc>
        <w:tc>
          <w:tcPr>
            <w:tcW w:w="1780" w:type="dxa"/>
          </w:tcPr>
          <w:p>
            <w:pPr>
              <w:pStyle w:val="TableParagraph"/>
              <w:rPr>
                <w:rFonts w:ascii="Times New Roman"/>
                <w:sz w:val="20"/>
              </w:rPr>
            </w:pPr>
          </w:p>
        </w:tc>
      </w:tr>
      <w:tr>
        <w:trPr>
          <w:trHeight w:val="275" w:hRule="atLeast"/>
        </w:trPr>
        <w:tc>
          <w:tcPr>
            <w:tcW w:w="6665" w:type="dxa"/>
          </w:tcPr>
          <w:p>
            <w:pPr>
              <w:pStyle w:val="TableParagraph"/>
              <w:tabs>
                <w:tab w:pos="616" w:val="left" w:leader="none"/>
              </w:tabs>
              <w:spacing w:line="256" w:lineRule="exact"/>
              <w:ind w:left="73"/>
              <w:rPr>
                <w:sz w:val="24"/>
              </w:rPr>
            </w:pPr>
            <w:r>
              <w:rPr>
                <w:sz w:val="24"/>
              </w:rPr>
              <w:t>16.</w:t>
              <w:tab/>
              <w:t>Circos</w:t>
            </w:r>
          </w:p>
        </w:tc>
        <w:tc>
          <w:tcPr>
            <w:tcW w:w="1780" w:type="dxa"/>
          </w:tcPr>
          <w:p>
            <w:pPr>
              <w:pStyle w:val="TableParagraph"/>
              <w:spacing w:line="256" w:lineRule="exact"/>
              <w:ind w:right="48"/>
              <w:jc w:val="right"/>
              <w:rPr>
                <w:sz w:val="24"/>
              </w:rPr>
            </w:pPr>
            <w:r>
              <w:rPr>
                <w:sz w:val="24"/>
              </w:rPr>
              <w:t>1,401.79</w:t>
            </w:r>
          </w:p>
        </w:tc>
      </w:tr>
      <w:tr>
        <w:trPr>
          <w:trHeight w:val="275" w:hRule="atLeast"/>
        </w:trPr>
        <w:tc>
          <w:tcPr>
            <w:tcW w:w="6665" w:type="dxa"/>
          </w:tcPr>
          <w:p>
            <w:pPr>
              <w:pStyle w:val="TableParagraph"/>
              <w:tabs>
                <w:tab w:pos="616" w:val="left" w:leader="none"/>
              </w:tabs>
              <w:spacing w:line="256" w:lineRule="exact"/>
              <w:ind w:left="73"/>
              <w:rPr>
                <w:sz w:val="24"/>
              </w:rPr>
            </w:pPr>
            <w:r>
              <w:rPr>
                <w:sz w:val="24"/>
              </w:rPr>
              <w:t>17.</w:t>
              <w:tab/>
              <w:t>Cambio de representante</w:t>
            </w:r>
            <w:r>
              <w:rPr>
                <w:spacing w:val="-4"/>
                <w:sz w:val="24"/>
              </w:rPr>
              <w:t> </w:t>
            </w:r>
            <w:r>
              <w:rPr>
                <w:sz w:val="24"/>
              </w:rPr>
              <w:t>legal</w:t>
            </w:r>
          </w:p>
        </w:tc>
        <w:tc>
          <w:tcPr>
            <w:tcW w:w="1780" w:type="dxa"/>
          </w:tcPr>
          <w:p>
            <w:pPr>
              <w:pStyle w:val="TableParagraph"/>
              <w:spacing w:line="256" w:lineRule="exact"/>
              <w:ind w:right="48"/>
              <w:jc w:val="right"/>
              <w:rPr>
                <w:sz w:val="24"/>
              </w:rPr>
            </w:pPr>
            <w:r>
              <w:rPr>
                <w:sz w:val="24"/>
              </w:rPr>
              <w:t>587.50</w:t>
            </w:r>
          </w:p>
        </w:tc>
      </w:tr>
      <w:tr>
        <w:trPr>
          <w:trHeight w:val="276" w:hRule="atLeast"/>
        </w:trPr>
        <w:tc>
          <w:tcPr>
            <w:tcW w:w="6665" w:type="dxa"/>
          </w:tcPr>
          <w:p>
            <w:pPr>
              <w:pStyle w:val="TableParagraph"/>
              <w:tabs>
                <w:tab w:pos="616" w:val="left" w:leader="none"/>
              </w:tabs>
              <w:spacing w:line="256" w:lineRule="exact"/>
              <w:ind w:left="73"/>
              <w:rPr>
                <w:sz w:val="24"/>
              </w:rPr>
            </w:pPr>
            <w:r>
              <w:rPr>
                <w:sz w:val="24"/>
              </w:rPr>
              <w:t>18.</w:t>
              <w:tab/>
              <w:t>Traslados</w:t>
            </w:r>
            <w:r>
              <w:rPr>
                <w:spacing w:val="-1"/>
                <w:sz w:val="24"/>
              </w:rPr>
              <w:t> </w:t>
            </w:r>
            <w:r>
              <w:rPr>
                <w:sz w:val="24"/>
              </w:rPr>
              <w:t>programados</w:t>
            </w:r>
          </w:p>
        </w:tc>
        <w:tc>
          <w:tcPr>
            <w:tcW w:w="1780" w:type="dxa"/>
          </w:tcPr>
          <w:p>
            <w:pPr>
              <w:pStyle w:val="TableParagraph"/>
              <w:rPr>
                <w:rFonts w:ascii="Times New Roman"/>
                <w:sz w:val="20"/>
              </w:rPr>
            </w:pPr>
          </w:p>
        </w:tc>
      </w:tr>
      <w:tr>
        <w:trPr>
          <w:trHeight w:val="275" w:hRule="atLeast"/>
        </w:trPr>
        <w:tc>
          <w:tcPr>
            <w:tcW w:w="6665" w:type="dxa"/>
          </w:tcPr>
          <w:p>
            <w:pPr>
              <w:pStyle w:val="TableParagraph"/>
              <w:spacing w:line="256" w:lineRule="exact"/>
              <w:ind w:left="717"/>
              <w:rPr>
                <w:sz w:val="24"/>
              </w:rPr>
            </w:pPr>
            <w:r>
              <w:rPr>
                <w:sz w:val="24"/>
              </w:rPr>
              <w:t>a. Zona urbana</w:t>
            </w:r>
          </w:p>
        </w:tc>
        <w:tc>
          <w:tcPr>
            <w:tcW w:w="1780" w:type="dxa"/>
          </w:tcPr>
          <w:p>
            <w:pPr>
              <w:pStyle w:val="TableParagraph"/>
              <w:spacing w:line="256" w:lineRule="exact"/>
              <w:ind w:right="48"/>
              <w:jc w:val="right"/>
              <w:rPr>
                <w:sz w:val="24"/>
              </w:rPr>
            </w:pPr>
            <w:r>
              <w:rPr>
                <w:sz w:val="24"/>
              </w:rPr>
              <w:t>264.64</w:t>
            </w:r>
          </w:p>
        </w:tc>
      </w:tr>
      <w:tr>
        <w:trPr>
          <w:trHeight w:val="276" w:hRule="atLeast"/>
        </w:trPr>
        <w:tc>
          <w:tcPr>
            <w:tcW w:w="6665" w:type="dxa"/>
          </w:tcPr>
          <w:p>
            <w:pPr>
              <w:pStyle w:val="TableParagraph"/>
              <w:spacing w:line="256" w:lineRule="exact"/>
              <w:ind w:left="717"/>
              <w:rPr>
                <w:sz w:val="24"/>
              </w:rPr>
            </w:pPr>
            <w:r>
              <w:rPr>
                <w:sz w:val="24"/>
              </w:rPr>
              <w:t>b. Zona rural</w:t>
            </w:r>
          </w:p>
        </w:tc>
        <w:tc>
          <w:tcPr>
            <w:tcW w:w="1780" w:type="dxa"/>
          </w:tcPr>
          <w:p>
            <w:pPr>
              <w:pStyle w:val="TableParagraph"/>
              <w:spacing w:line="256" w:lineRule="exact"/>
              <w:ind w:right="48"/>
              <w:jc w:val="right"/>
              <w:rPr>
                <w:sz w:val="24"/>
              </w:rPr>
            </w:pPr>
            <w:r>
              <w:rPr>
                <w:sz w:val="24"/>
              </w:rPr>
              <w:t>587.50</w:t>
            </w:r>
          </w:p>
        </w:tc>
      </w:tr>
      <w:tr>
        <w:trPr>
          <w:trHeight w:val="272" w:hRule="atLeast"/>
        </w:trPr>
        <w:tc>
          <w:tcPr>
            <w:tcW w:w="6665" w:type="dxa"/>
          </w:tcPr>
          <w:p>
            <w:pPr>
              <w:pStyle w:val="TableParagraph"/>
              <w:tabs>
                <w:tab w:pos="616" w:val="left" w:leader="none"/>
              </w:tabs>
              <w:spacing w:line="252" w:lineRule="exact"/>
              <w:ind w:left="50"/>
              <w:rPr>
                <w:sz w:val="24"/>
              </w:rPr>
            </w:pPr>
            <w:r>
              <w:rPr>
                <w:sz w:val="24"/>
              </w:rPr>
              <w:t>19.</w:t>
              <w:tab/>
              <w:t>Constructora y/o</w:t>
            </w:r>
            <w:r>
              <w:rPr>
                <w:spacing w:val="-6"/>
                <w:sz w:val="24"/>
              </w:rPr>
              <w:t> </w:t>
            </w:r>
            <w:r>
              <w:rPr>
                <w:sz w:val="24"/>
              </w:rPr>
              <w:t>fraccionadora</w:t>
            </w:r>
          </w:p>
        </w:tc>
        <w:tc>
          <w:tcPr>
            <w:tcW w:w="1780" w:type="dxa"/>
          </w:tcPr>
          <w:p>
            <w:pPr>
              <w:pStyle w:val="TableParagraph"/>
              <w:spacing w:line="252" w:lineRule="exact"/>
              <w:ind w:right="48"/>
              <w:jc w:val="right"/>
              <w:rPr>
                <w:sz w:val="24"/>
              </w:rPr>
            </w:pPr>
            <w:r>
              <w:rPr>
                <w:sz w:val="24"/>
              </w:rPr>
              <w:t>4,141.96</w:t>
            </w:r>
          </w:p>
        </w:tc>
      </w:tr>
    </w:tbl>
    <w:p>
      <w:pPr>
        <w:pStyle w:val="BodyText"/>
        <w:rPr>
          <w:sz w:val="16"/>
        </w:rPr>
      </w:pPr>
    </w:p>
    <w:p>
      <w:pPr>
        <w:pStyle w:val="Heading1"/>
        <w:numPr>
          <w:ilvl w:val="2"/>
          <w:numId w:val="39"/>
        </w:numPr>
        <w:tabs>
          <w:tab w:pos="1721" w:val="left" w:leader="none"/>
        </w:tabs>
        <w:spacing w:line="240" w:lineRule="auto" w:before="92" w:after="0"/>
        <w:ind w:left="1720" w:right="0" w:hanging="361"/>
        <w:jc w:val="left"/>
      </w:pPr>
      <w:r>
        <w:rPr/>
        <w:drawing>
          <wp:anchor distT="0" distB="0" distL="0" distR="0" allowOverlap="1" layoutInCell="1" locked="0" behindDoc="1" simplePos="0" relativeHeight="227508224">
            <wp:simplePos x="0" y="0"/>
            <wp:positionH relativeFrom="page">
              <wp:posOffset>1239220</wp:posOffset>
            </wp:positionH>
            <wp:positionV relativeFrom="paragraph">
              <wp:posOffset>-926263</wp:posOffset>
            </wp:positionV>
            <wp:extent cx="5022641" cy="5144769"/>
            <wp:effectExtent l="0" t="0" r="0" b="0"/>
            <wp:wrapNone/>
            <wp:docPr id="79" name="image35.png"/>
            <wp:cNvGraphicFramePr>
              <a:graphicFrameLocks noChangeAspect="1"/>
            </wp:cNvGraphicFramePr>
            <a:graphic>
              <a:graphicData uri="http://schemas.openxmlformats.org/drawingml/2006/picture">
                <pic:pic>
                  <pic:nvPicPr>
                    <pic:cNvPr id="80" name="image35.png"/>
                    <pic:cNvPicPr/>
                  </pic:nvPicPr>
                  <pic:blipFill>
                    <a:blip r:embed="rId45" cstate="print"/>
                    <a:stretch>
                      <a:fillRect/>
                    </a:stretch>
                  </pic:blipFill>
                  <pic:spPr>
                    <a:xfrm>
                      <a:off x="0" y="0"/>
                      <a:ext cx="5022641" cy="5144769"/>
                    </a:xfrm>
                    <a:prstGeom prst="rect">
                      <a:avLst/>
                    </a:prstGeom>
                  </pic:spPr>
                </pic:pic>
              </a:graphicData>
            </a:graphic>
          </wp:anchor>
        </w:drawing>
      </w:r>
      <w:r>
        <w:rPr/>
        <w:t>Servicios de Sanidad</w:t>
      </w:r>
      <w:r>
        <w:rPr>
          <w:spacing w:val="-3"/>
        </w:rPr>
        <w:t> </w:t>
      </w:r>
      <w:r>
        <w:rPr/>
        <w:t>Municipal</w:t>
      </w:r>
    </w:p>
    <w:p>
      <w:pPr>
        <w:pStyle w:val="BodyText"/>
        <w:rPr>
          <w:b/>
        </w:rPr>
      </w:pPr>
    </w:p>
    <w:p>
      <w:pPr>
        <w:pStyle w:val="ListParagraph"/>
        <w:numPr>
          <w:ilvl w:val="3"/>
          <w:numId w:val="39"/>
        </w:numPr>
        <w:tabs>
          <w:tab w:pos="2561" w:val="left" w:leader="none"/>
        </w:tabs>
        <w:spacing w:line="240" w:lineRule="auto" w:before="0" w:after="0"/>
        <w:ind w:left="2560" w:right="0" w:hanging="181"/>
        <w:jc w:val="left"/>
        <w:rPr>
          <w:sz w:val="24"/>
        </w:rPr>
      </w:pPr>
      <w:r>
        <w:rPr>
          <w:sz w:val="24"/>
        </w:rPr>
        <w:t>Certificación</w:t>
      </w:r>
      <w:r>
        <w:rPr>
          <w:spacing w:val="-2"/>
          <w:sz w:val="24"/>
        </w:rPr>
        <w:t> </w:t>
      </w:r>
      <w:r>
        <w:rPr>
          <w:sz w:val="24"/>
        </w:rPr>
        <w:t>médica:</w:t>
      </w:r>
    </w:p>
    <w:p>
      <w:pPr>
        <w:pStyle w:val="BodyText"/>
      </w:pPr>
    </w:p>
    <w:p>
      <w:pPr>
        <w:pStyle w:val="ListParagraph"/>
        <w:numPr>
          <w:ilvl w:val="0"/>
          <w:numId w:val="41"/>
        </w:numPr>
        <w:tabs>
          <w:tab w:pos="1169" w:val="left" w:leader="none"/>
        </w:tabs>
        <w:spacing w:line="240" w:lineRule="auto" w:before="0" w:after="0"/>
        <w:ind w:left="1168" w:right="0" w:hanging="282"/>
        <w:jc w:val="left"/>
        <w:rPr>
          <w:sz w:val="24"/>
        </w:rPr>
      </w:pPr>
      <w:r>
        <w:rPr>
          <w:sz w:val="24"/>
        </w:rPr>
        <w:t>Área Médica</w:t>
      </w:r>
      <w:r>
        <w:rPr>
          <w:spacing w:val="-1"/>
          <w:sz w:val="24"/>
        </w:rPr>
        <w:t> </w:t>
      </w:r>
      <w:r>
        <w:rPr>
          <w:sz w:val="24"/>
        </w:rPr>
        <w:t>“A”:</w:t>
      </w:r>
    </w:p>
    <w:p>
      <w:pPr>
        <w:pStyle w:val="ListParagraph"/>
        <w:numPr>
          <w:ilvl w:val="1"/>
          <w:numId w:val="41"/>
        </w:numPr>
        <w:tabs>
          <w:tab w:pos="1740" w:val="left" w:leader="none"/>
          <w:tab w:pos="9635" w:val="right" w:leader="none"/>
        </w:tabs>
        <w:spacing w:line="240" w:lineRule="auto" w:before="0" w:after="0"/>
        <w:ind w:left="1739" w:right="0" w:hanging="349"/>
        <w:jc w:val="left"/>
        <w:rPr>
          <w:sz w:val="24"/>
        </w:rPr>
      </w:pPr>
      <w:r>
        <w:rPr>
          <w:sz w:val="24"/>
        </w:rPr>
        <w:t>Consulta médica a</w:t>
      </w:r>
      <w:r>
        <w:rPr>
          <w:spacing w:val="-4"/>
          <w:sz w:val="24"/>
        </w:rPr>
        <w:t> </w:t>
      </w:r>
      <w:r>
        <w:rPr>
          <w:sz w:val="24"/>
        </w:rPr>
        <w:t>población abierta</w:t>
        <w:tab/>
        <w:t>37.50</w:t>
      </w:r>
    </w:p>
    <w:p>
      <w:pPr>
        <w:pStyle w:val="ListParagraph"/>
        <w:numPr>
          <w:ilvl w:val="1"/>
          <w:numId w:val="41"/>
        </w:numPr>
        <w:tabs>
          <w:tab w:pos="1740" w:val="left" w:leader="none"/>
          <w:tab w:pos="9635" w:val="right" w:leader="none"/>
        </w:tabs>
        <w:spacing w:line="240" w:lineRule="auto" w:before="0" w:after="0"/>
        <w:ind w:left="1739" w:right="0" w:hanging="349"/>
        <w:jc w:val="left"/>
        <w:rPr>
          <w:sz w:val="24"/>
        </w:rPr>
      </w:pPr>
      <w:r>
        <w:rPr>
          <w:sz w:val="24"/>
        </w:rPr>
        <w:t>Consulta nutrición y</w:t>
      </w:r>
      <w:r>
        <w:rPr>
          <w:spacing w:val="-2"/>
          <w:sz w:val="24"/>
        </w:rPr>
        <w:t> </w:t>
      </w:r>
      <w:r>
        <w:rPr>
          <w:sz w:val="24"/>
        </w:rPr>
        <w:t>dietética</w:t>
        <w:tab/>
        <w:t>37.50</w:t>
      </w:r>
    </w:p>
    <w:p>
      <w:pPr>
        <w:pStyle w:val="ListParagraph"/>
        <w:numPr>
          <w:ilvl w:val="1"/>
          <w:numId w:val="41"/>
        </w:numPr>
        <w:tabs>
          <w:tab w:pos="1740" w:val="left" w:leader="none"/>
          <w:tab w:pos="9635" w:val="right" w:leader="none"/>
        </w:tabs>
        <w:spacing w:line="240" w:lineRule="auto" w:before="1" w:after="0"/>
        <w:ind w:left="1739" w:right="0" w:hanging="349"/>
        <w:jc w:val="left"/>
        <w:rPr>
          <w:sz w:val="24"/>
        </w:rPr>
      </w:pPr>
      <w:r>
        <w:rPr>
          <w:sz w:val="24"/>
        </w:rPr>
        <w:t>Consulta</w:t>
      </w:r>
      <w:r>
        <w:rPr>
          <w:spacing w:val="-1"/>
          <w:sz w:val="24"/>
        </w:rPr>
        <w:t> </w:t>
      </w:r>
      <w:r>
        <w:rPr>
          <w:sz w:val="24"/>
        </w:rPr>
        <w:t>psicológica</w:t>
        <w:tab/>
        <w:t>37.50</w:t>
      </w:r>
    </w:p>
    <w:p>
      <w:pPr>
        <w:pStyle w:val="ListParagraph"/>
        <w:numPr>
          <w:ilvl w:val="1"/>
          <w:numId w:val="41"/>
        </w:numPr>
        <w:tabs>
          <w:tab w:pos="1740" w:val="left" w:leader="none"/>
          <w:tab w:pos="9635" w:val="right" w:leader="none"/>
        </w:tabs>
        <w:spacing w:line="240" w:lineRule="auto" w:before="0" w:after="0"/>
        <w:ind w:left="1739" w:right="0" w:hanging="349"/>
        <w:jc w:val="left"/>
        <w:rPr>
          <w:sz w:val="24"/>
        </w:rPr>
      </w:pPr>
      <w:r>
        <w:rPr>
          <w:sz w:val="24"/>
        </w:rPr>
        <w:t>Certificado</w:t>
      </w:r>
      <w:r>
        <w:rPr>
          <w:spacing w:val="-2"/>
          <w:sz w:val="24"/>
        </w:rPr>
        <w:t> </w:t>
      </w:r>
      <w:r>
        <w:rPr>
          <w:sz w:val="24"/>
        </w:rPr>
        <w:t>médico</w:t>
        <w:tab/>
        <w:t>37.50</w:t>
      </w:r>
    </w:p>
    <w:p>
      <w:pPr>
        <w:pStyle w:val="ListParagraph"/>
        <w:numPr>
          <w:ilvl w:val="1"/>
          <w:numId w:val="41"/>
        </w:numPr>
        <w:tabs>
          <w:tab w:pos="1740" w:val="left" w:leader="none"/>
          <w:tab w:pos="9635" w:val="right" w:leader="none"/>
        </w:tabs>
        <w:spacing w:line="240" w:lineRule="auto" w:before="0" w:after="0"/>
        <w:ind w:left="1739" w:right="0" w:hanging="349"/>
        <w:jc w:val="left"/>
        <w:rPr>
          <w:sz w:val="24"/>
        </w:rPr>
      </w:pPr>
      <w:r>
        <w:rPr>
          <w:sz w:val="24"/>
        </w:rPr>
        <w:t>Certificado</w:t>
      </w:r>
      <w:r>
        <w:rPr>
          <w:spacing w:val="-3"/>
          <w:sz w:val="24"/>
        </w:rPr>
        <w:t> </w:t>
      </w:r>
      <w:r>
        <w:rPr>
          <w:sz w:val="24"/>
        </w:rPr>
        <w:t>psicológico</w:t>
        <w:tab/>
        <w:t>155.36</w:t>
      </w:r>
    </w:p>
    <w:p>
      <w:pPr>
        <w:pStyle w:val="ListParagraph"/>
        <w:numPr>
          <w:ilvl w:val="1"/>
          <w:numId w:val="41"/>
        </w:numPr>
        <w:tabs>
          <w:tab w:pos="1740" w:val="left" w:leader="none"/>
          <w:tab w:pos="9635" w:val="right" w:leader="none"/>
        </w:tabs>
        <w:spacing w:line="240" w:lineRule="auto" w:before="0" w:after="0"/>
        <w:ind w:left="1739" w:right="0" w:hanging="349"/>
        <w:jc w:val="left"/>
        <w:rPr>
          <w:sz w:val="24"/>
        </w:rPr>
      </w:pPr>
      <w:r>
        <w:rPr>
          <w:sz w:val="24"/>
        </w:rPr>
        <w:t>Certificado</w:t>
      </w:r>
      <w:r>
        <w:rPr>
          <w:spacing w:val="-3"/>
          <w:sz w:val="24"/>
        </w:rPr>
        <w:t> </w:t>
      </w:r>
      <w:r>
        <w:rPr>
          <w:sz w:val="24"/>
        </w:rPr>
        <w:t>de</w:t>
      </w:r>
      <w:r>
        <w:rPr>
          <w:spacing w:val="-2"/>
          <w:sz w:val="24"/>
        </w:rPr>
        <w:t> </w:t>
      </w:r>
      <w:r>
        <w:rPr>
          <w:sz w:val="24"/>
        </w:rPr>
        <w:t>discapacidad</w:t>
        <w:tab/>
        <w:t>50.89</w:t>
      </w:r>
    </w:p>
    <w:p>
      <w:pPr>
        <w:spacing w:after="0" w:line="240" w:lineRule="auto"/>
        <w:jc w:val="left"/>
        <w:rPr>
          <w:sz w:val="24"/>
        </w:rPr>
        <w:sectPr>
          <w:pgSz w:w="12250" w:h="15850"/>
          <w:pgMar w:header="730" w:footer="0" w:top="1000" w:bottom="280" w:left="860" w:right="820"/>
        </w:sectPr>
      </w:pPr>
    </w:p>
    <w:p>
      <w:pPr>
        <w:pStyle w:val="ListParagraph"/>
        <w:numPr>
          <w:ilvl w:val="1"/>
          <w:numId w:val="41"/>
        </w:numPr>
        <w:tabs>
          <w:tab w:pos="1742" w:val="left" w:leader="none"/>
        </w:tabs>
        <w:spacing w:line="240" w:lineRule="auto" w:before="0" w:after="0"/>
        <w:ind w:left="1391" w:right="0" w:firstLine="0"/>
        <w:jc w:val="left"/>
        <w:rPr>
          <w:sz w:val="24"/>
        </w:rPr>
      </w:pPr>
      <w:r>
        <w:rPr>
          <w:sz w:val="24"/>
        </w:rPr>
        <w:t>Certificación a vendedores de alimentos, modificadores corporales, estéticas, spa, cosmetólogas y</w:t>
      </w:r>
      <w:r>
        <w:rPr>
          <w:spacing w:val="-9"/>
          <w:sz w:val="24"/>
        </w:rPr>
        <w:t> </w:t>
      </w:r>
      <w:r>
        <w:rPr>
          <w:sz w:val="24"/>
        </w:rPr>
        <w:t>boxeadores.</w:t>
      </w:r>
    </w:p>
    <w:p>
      <w:pPr>
        <w:pStyle w:val="BodyText"/>
        <w:ind w:left="1050" w:right="911"/>
        <w:jc w:val="center"/>
      </w:pPr>
      <w:r>
        <w:rPr/>
        <w:br w:type="column"/>
      </w:r>
      <w:r>
        <w:rPr/>
        <w:t>152.68</w:t>
      </w:r>
    </w:p>
    <w:p>
      <w:pPr>
        <w:spacing w:after="0"/>
        <w:jc w:val="center"/>
        <w:sectPr>
          <w:type w:val="continuous"/>
          <w:pgSz w:w="12250" w:h="15850"/>
          <w:pgMar w:top="840" w:bottom="280" w:left="860" w:right="820"/>
          <w:cols w:num="2" w:equalWidth="0">
            <w:col w:w="7794" w:space="40"/>
            <w:col w:w="2736"/>
          </w:cols>
        </w:sectPr>
      </w:pPr>
    </w:p>
    <w:p>
      <w:pPr>
        <w:pStyle w:val="ListParagraph"/>
        <w:numPr>
          <w:ilvl w:val="1"/>
          <w:numId w:val="41"/>
        </w:numPr>
        <w:tabs>
          <w:tab w:pos="1740" w:val="left" w:leader="none"/>
          <w:tab w:pos="9034" w:val="left" w:leader="none"/>
        </w:tabs>
        <w:spacing w:line="240" w:lineRule="auto" w:before="0" w:after="0"/>
        <w:ind w:left="1739" w:right="0" w:hanging="349"/>
        <w:jc w:val="left"/>
        <w:rPr>
          <w:sz w:val="24"/>
        </w:rPr>
      </w:pPr>
      <w:r>
        <w:rPr>
          <w:sz w:val="24"/>
        </w:rPr>
        <w:t>Servicio</w:t>
      </w:r>
      <w:r>
        <w:rPr>
          <w:spacing w:val="-3"/>
          <w:sz w:val="24"/>
        </w:rPr>
        <w:t> </w:t>
      </w:r>
      <w:r>
        <w:rPr>
          <w:sz w:val="24"/>
        </w:rPr>
        <w:t>de</w:t>
      </w:r>
      <w:r>
        <w:rPr>
          <w:spacing w:val="-2"/>
          <w:sz w:val="24"/>
        </w:rPr>
        <w:t> </w:t>
      </w:r>
      <w:r>
        <w:rPr>
          <w:sz w:val="24"/>
        </w:rPr>
        <w:t>curaciones</w:t>
        <w:tab/>
        <w:t>25.00</w:t>
      </w:r>
    </w:p>
    <w:p>
      <w:pPr>
        <w:pStyle w:val="ListParagraph"/>
        <w:numPr>
          <w:ilvl w:val="0"/>
          <w:numId w:val="41"/>
        </w:numPr>
        <w:tabs>
          <w:tab w:pos="862" w:val="left" w:leader="none"/>
        </w:tabs>
        <w:spacing w:line="240" w:lineRule="auto" w:before="276" w:after="0"/>
        <w:ind w:left="861" w:right="0" w:hanging="282"/>
        <w:jc w:val="left"/>
        <w:rPr>
          <w:sz w:val="24"/>
        </w:rPr>
      </w:pPr>
      <w:r>
        <w:rPr>
          <w:sz w:val="24"/>
        </w:rPr>
        <w:t>Área Médica</w:t>
      </w:r>
      <w:r>
        <w:rPr>
          <w:spacing w:val="-1"/>
          <w:sz w:val="24"/>
        </w:rPr>
        <w:t> </w:t>
      </w:r>
      <w:r>
        <w:rPr>
          <w:sz w:val="24"/>
        </w:rPr>
        <w:t>“B”:</w:t>
      </w:r>
    </w:p>
    <w:p>
      <w:pPr>
        <w:pStyle w:val="ListParagraph"/>
        <w:numPr>
          <w:ilvl w:val="1"/>
          <w:numId w:val="41"/>
        </w:numPr>
        <w:tabs>
          <w:tab w:pos="1301" w:val="left" w:leader="none"/>
          <w:tab w:pos="9942" w:val="right" w:leader="none"/>
        </w:tabs>
        <w:spacing w:line="240" w:lineRule="auto" w:before="0" w:after="0"/>
        <w:ind w:left="1300" w:right="0" w:hanging="361"/>
        <w:jc w:val="left"/>
        <w:rPr>
          <w:sz w:val="24"/>
        </w:rPr>
      </w:pPr>
      <w:r>
        <w:rPr>
          <w:sz w:val="24"/>
        </w:rPr>
        <w:t>Certificación médica de</w:t>
      </w:r>
      <w:r>
        <w:rPr>
          <w:spacing w:val="-2"/>
          <w:sz w:val="24"/>
        </w:rPr>
        <w:t> </w:t>
      </w:r>
      <w:r>
        <w:rPr>
          <w:sz w:val="24"/>
        </w:rPr>
        <w:t>control sanitario</w:t>
        <w:tab/>
        <w:t>164.29</w:t>
      </w:r>
    </w:p>
    <w:p>
      <w:pPr>
        <w:spacing w:after="0" w:line="240" w:lineRule="auto"/>
        <w:jc w:val="left"/>
        <w:rPr>
          <w:sz w:val="24"/>
        </w:rPr>
        <w:sectPr>
          <w:type w:val="continuous"/>
          <w:pgSz w:w="12250" w:h="15850"/>
          <w:pgMar w:top="840" w:bottom="280" w:left="860" w:right="820"/>
        </w:sectPr>
      </w:pPr>
    </w:p>
    <w:p>
      <w:pPr>
        <w:pStyle w:val="ListParagraph"/>
        <w:numPr>
          <w:ilvl w:val="1"/>
          <w:numId w:val="41"/>
        </w:numPr>
        <w:tabs>
          <w:tab w:pos="1332" w:val="left" w:leader="none"/>
        </w:tabs>
        <w:spacing w:line="240" w:lineRule="auto" w:before="0" w:after="0"/>
        <w:ind w:left="1300" w:right="38" w:hanging="360"/>
        <w:jc w:val="both"/>
        <w:rPr>
          <w:sz w:val="24"/>
        </w:rPr>
      </w:pPr>
      <w:r>
        <w:rPr>
          <w:sz w:val="24"/>
        </w:rPr>
        <w:t>Expedición de tarjeta de control sanitario para; Sexoservidores y/o sexoservidoras, masajistas, bailarinas, meseras, barman, cajeras, cocineras y encargado de bares. Cantinas, centros nocturnos, casas de asignación y baños de vapor con servicios de masaje y/o sexuales.</w:t>
      </w:r>
    </w:p>
    <w:p>
      <w:pPr>
        <w:pStyle w:val="ListParagraph"/>
        <w:numPr>
          <w:ilvl w:val="1"/>
          <w:numId w:val="41"/>
        </w:numPr>
        <w:tabs>
          <w:tab w:pos="1332" w:val="left" w:leader="none"/>
        </w:tabs>
        <w:spacing w:line="240" w:lineRule="auto" w:before="0" w:after="0"/>
        <w:ind w:left="1300" w:right="40" w:hanging="360"/>
        <w:jc w:val="both"/>
        <w:rPr>
          <w:sz w:val="24"/>
        </w:rPr>
      </w:pPr>
      <w:r>
        <w:rPr>
          <w:sz w:val="24"/>
        </w:rPr>
        <w:t>A las empresas que tramiten tarjetas de control sanitario en volumen se le cobrará los siguientes precios por tarjeta</w:t>
      </w:r>
    </w:p>
    <w:p>
      <w:pPr>
        <w:pStyle w:val="BodyText"/>
        <w:ind w:left="940"/>
      </w:pPr>
      <w:r>
        <w:rPr/>
        <w:br w:type="column"/>
      </w:r>
      <w:r>
        <w:rPr/>
        <w:t>152.68</w:t>
      </w:r>
    </w:p>
    <w:p>
      <w:pPr>
        <w:spacing w:after="0"/>
        <w:sectPr>
          <w:type w:val="continuous"/>
          <w:pgSz w:w="12250" w:h="15850"/>
          <w:pgMar w:top="840" w:bottom="280" w:left="860" w:right="820"/>
          <w:cols w:num="2" w:equalWidth="0">
            <w:col w:w="7433" w:space="837"/>
            <w:col w:w="2300"/>
          </w:cols>
        </w:sectPr>
      </w:pPr>
    </w:p>
    <w:p>
      <w:pPr>
        <w:pStyle w:val="ListParagraph"/>
        <w:numPr>
          <w:ilvl w:val="2"/>
          <w:numId w:val="41"/>
        </w:numPr>
        <w:tabs>
          <w:tab w:pos="1428" w:val="left" w:leader="none"/>
          <w:tab w:pos="9209" w:val="left" w:leader="none"/>
        </w:tabs>
        <w:spacing w:line="240" w:lineRule="auto" w:before="1" w:after="0"/>
        <w:ind w:left="1427" w:right="0" w:hanging="282"/>
        <w:jc w:val="left"/>
        <w:rPr>
          <w:sz w:val="24"/>
        </w:rPr>
      </w:pPr>
      <w:r>
        <w:rPr>
          <w:sz w:val="24"/>
        </w:rPr>
        <w:t>De 0 a</w:t>
      </w:r>
      <w:r>
        <w:rPr>
          <w:spacing w:val="-5"/>
          <w:sz w:val="24"/>
        </w:rPr>
        <w:t> </w:t>
      </w:r>
      <w:r>
        <w:rPr>
          <w:sz w:val="24"/>
        </w:rPr>
        <w:t>10</w:t>
      </w:r>
      <w:r>
        <w:rPr>
          <w:spacing w:val="-1"/>
          <w:sz w:val="24"/>
        </w:rPr>
        <w:t> </w:t>
      </w:r>
      <w:r>
        <w:rPr>
          <w:sz w:val="24"/>
        </w:rPr>
        <w:t>tarjetas</w:t>
        <w:tab/>
        <w:t>152.68</w:t>
      </w:r>
    </w:p>
    <w:p>
      <w:pPr>
        <w:pStyle w:val="ListParagraph"/>
        <w:numPr>
          <w:ilvl w:val="2"/>
          <w:numId w:val="41"/>
        </w:numPr>
        <w:tabs>
          <w:tab w:pos="1428" w:val="left" w:leader="none"/>
          <w:tab w:pos="9209" w:val="left" w:leader="none"/>
        </w:tabs>
        <w:spacing w:line="240" w:lineRule="auto" w:before="0" w:after="0"/>
        <w:ind w:left="1427" w:right="0" w:hanging="282"/>
        <w:jc w:val="left"/>
        <w:rPr>
          <w:sz w:val="24"/>
        </w:rPr>
      </w:pPr>
      <w:r>
        <w:rPr>
          <w:sz w:val="24"/>
        </w:rPr>
        <w:t>De 11 a</w:t>
      </w:r>
      <w:r>
        <w:rPr>
          <w:spacing w:val="-5"/>
          <w:sz w:val="24"/>
        </w:rPr>
        <w:t> </w:t>
      </w:r>
      <w:r>
        <w:rPr>
          <w:sz w:val="24"/>
        </w:rPr>
        <w:t>50</w:t>
      </w:r>
      <w:r>
        <w:rPr>
          <w:spacing w:val="-1"/>
          <w:sz w:val="24"/>
        </w:rPr>
        <w:t> </w:t>
      </w:r>
      <w:r>
        <w:rPr>
          <w:sz w:val="24"/>
        </w:rPr>
        <w:t>tarjetas</w:t>
        <w:tab/>
        <w:t>133.93</w:t>
      </w:r>
    </w:p>
    <w:p>
      <w:pPr>
        <w:pStyle w:val="ListParagraph"/>
        <w:numPr>
          <w:ilvl w:val="2"/>
          <w:numId w:val="41"/>
        </w:numPr>
        <w:tabs>
          <w:tab w:pos="1414" w:val="left" w:leader="none"/>
          <w:tab w:pos="9209" w:val="left" w:leader="none"/>
        </w:tabs>
        <w:spacing w:line="240" w:lineRule="auto" w:before="0" w:after="0"/>
        <w:ind w:left="1413" w:right="0" w:hanging="268"/>
        <w:jc w:val="left"/>
        <w:rPr>
          <w:sz w:val="24"/>
        </w:rPr>
      </w:pPr>
      <w:r>
        <w:rPr>
          <w:sz w:val="24"/>
        </w:rPr>
        <w:t>De 51 a</w:t>
      </w:r>
      <w:r>
        <w:rPr>
          <w:spacing w:val="-5"/>
          <w:sz w:val="24"/>
        </w:rPr>
        <w:t> </w:t>
      </w:r>
      <w:r>
        <w:rPr>
          <w:sz w:val="24"/>
        </w:rPr>
        <w:t>100 tarjetas</w:t>
        <w:tab/>
        <w:t>113.39</w:t>
      </w:r>
    </w:p>
    <w:p>
      <w:pPr>
        <w:pStyle w:val="ListParagraph"/>
        <w:numPr>
          <w:ilvl w:val="1"/>
          <w:numId w:val="41"/>
        </w:numPr>
        <w:tabs>
          <w:tab w:pos="1301" w:val="left" w:leader="none"/>
          <w:tab w:pos="9209" w:val="left" w:leader="none"/>
        </w:tabs>
        <w:spacing w:line="240" w:lineRule="auto" w:before="0" w:after="0"/>
        <w:ind w:left="1300" w:right="0" w:hanging="361"/>
        <w:jc w:val="left"/>
        <w:rPr>
          <w:sz w:val="24"/>
        </w:rPr>
      </w:pPr>
      <w:r>
        <w:rPr>
          <w:sz w:val="24"/>
        </w:rPr>
        <w:t>Por reposición de tarjeta de</w:t>
      </w:r>
      <w:r>
        <w:rPr>
          <w:spacing w:val="-9"/>
          <w:sz w:val="24"/>
        </w:rPr>
        <w:t> </w:t>
      </w:r>
      <w:r>
        <w:rPr>
          <w:sz w:val="24"/>
        </w:rPr>
        <w:t>control</w:t>
      </w:r>
      <w:r>
        <w:rPr>
          <w:spacing w:val="-2"/>
          <w:sz w:val="24"/>
        </w:rPr>
        <w:t> </w:t>
      </w:r>
      <w:r>
        <w:rPr>
          <w:sz w:val="24"/>
        </w:rPr>
        <w:t>sanitario</w:t>
        <w:tab/>
        <w:t>113.39</w:t>
      </w:r>
    </w:p>
    <w:p>
      <w:pPr>
        <w:pStyle w:val="BodyText"/>
      </w:pPr>
    </w:p>
    <w:p>
      <w:pPr>
        <w:pStyle w:val="ListParagraph"/>
        <w:numPr>
          <w:ilvl w:val="3"/>
          <w:numId w:val="39"/>
        </w:numPr>
        <w:tabs>
          <w:tab w:pos="2809" w:val="left" w:leader="none"/>
          <w:tab w:pos="2810" w:val="left" w:leader="none"/>
        </w:tabs>
        <w:spacing w:line="240" w:lineRule="auto" w:before="0" w:after="0"/>
        <w:ind w:left="2810" w:right="0" w:hanging="430"/>
        <w:jc w:val="left"/>
        <w:rPr>
          <w:sz w:val="24"/>
        </w:rPr>
      </w:pPr>
      <w:r>
        <w:rPr>
          <w:sz w:val="24"/>
        </w:rPr>
        <w:t>Consultas médicas; Área</w:t>
      </w:r>
      <w:r>
        <w:rPr>
          <w:spacing w:val="-6"/>
          <w:sz w:val="24"/>
        </w:rPr>
        <w:t> </w:t>
      </w:r>
      <w:r>
        <w:rPr>
          <w:sz w:val="24"/>
        </w:rPr>
        <w:t>Dental:</w:t>
      </w:r>
    </w:p>
    <w:p>
      <w:pPr>
        <w:pStyle w:val="ListParagraph"/>
        <w:numPr>
          <w:ilvl w:val="0"/>
          <w:numId w:val="42"/>
        </w:numPr>
        <w:tabs>
          <w:tab w:pos="1198" w:val="left" w:leader="none"/>
          <w:tab w:pos="9291" w:val="left" w:leader="none"/>
        </w:tabs>
        <w:spacing w:line="240" w:lineRule="auto" w:before="0" w:after="0"/>
        <w:ind w:left="1197" w:right="0" w:hanging="282"/>
        <w:jc w:val="left"/>
        <w:rPr>
          <w:sz w:val="24"/>
        </w:rPr>
      </w:pPr>
      <w:r>
        <w:rPr>
          <w:sz w:val="24"/>
        </w:rPr>
        <w:t>Consulta dental a población abierta (sin</w:t>
      </w:r>
      <w:r>
        <w:rPr>
          <w:spacing w:val="-17"/>
          <w:sz w:val="24"/>
        </w:rPr>
        <w:t> </w:t>
      </w:r>
      <w:r>
        <w:rPr>
          <w:sz w:val="24"/>
        </w:rPr>
        <w:t>otro</w:t>
      </w:r>
      <w:r>
        <w:rPr>
          <w:spacing w:val="-2"/>
          <w:sz w:val="24"/>
        </w:rPr>
        <w:t> </w:t>
      </w:r>
      <w:r>
        <w:rPr>
          <w:sz w:val="24"/>
        </w:rPr>
        <w:t>servicio)</w:t>
        <w:tab/>
        <w:t>48.21</w:t>
      </w:r>
    </w:p>
    <w:p>
      <w:pPr>
        <w:pStyle w:val="ListParagraph"/>
        <w:numPr>
          <w:ilvl w:val="0"/>
          <w:numId w:val="42"/>
        </w:numPr>
        <w:tabs>
          <w:tab w:pos="1198" w:val="left" w:leader="none"/>
          <w:tab w:pos="9291" w:val="left" w:leader="none"/>
        </w:tabs>
        <w:spacing w:line="240" w:lineRule="auto" w:before="0" w:after="0"/>
        <w:ind w:left="1197" w:right="0" w:hanging="282"/>
        <w:jc w:val="left"/>
        <w:rPr>
          <w:sz w:val="24"/>
        </w:rPr>
      </w:pPr>
      <w:r>
        <w:rPr>
          <w:sz w:val="24"/>
        </w:rPr>
        <w:t>Radiografía</w:t>
      </w:r>
      <w:r>
        <w:rPr>
          <w:spacing w:val="-5"/>
          <w:sz w:val="24"/>
        </w:rPr>
        <w:t> </w:t>
      </w:r>
      <w:r>
        <w:rPr>
          <w:sz w:val="24"/>
        </w:rPr>
        <w:t>peri-apical</w:t>
        <w:tab/>
        <w:t>95.54</w:t>
      </w:r>
    </w:p>
    <w:p>
      <w:pPr>
        <w:pStyle w:val="ListParagraph"/>
        <w:numPr>
          <w:ilvl w:val="0"/>
          <w:numId w:val="42"/>
        </w:numPr>
        <w:tabs>
          <w:tab w:pos="1184" w:val="left" w:leader="none"/>
          <w:tab w:pos="9291" w:val="left" w:leader="none"/>
        </w:tabs>
        <w:spacing w:line="240" w:lineRule="auto" w:before="0" w:after="0"/>
        <w:ind w:left="1183" w:right="0" w:hanging="268"/>
        <w:jc w:val="left"/>
        <w:rPr>
          <w:sz w:val="24"/>
        </w:rPr>
      </w:pPr>
      <w:r>
        <w:rPr>
          <w:sz w:val="24"/>
        </w:rPr>
        <w:t>Aplicación tópica</w:t>
      </w:r>
      <w:r>
        <w:rPr>
          <w:spacing w:val="-2"/>
          <w:sz w:val="24"/>
        </w:rPr>
        <w:t> </w:t>
      </w:r>
      <w:r>
        <w:rPr>
          <w:sz w:val="24"/>
        </w:rPr>
        <w:t>de</w:t>
      </w:r>
      <w:r>
        <w:rPr>
          <w:spacing w:val="-2"/>
          <w:sz w:val="24"/>
        </w:rPr>
        <w:t> </w:t>
      </w:r>
      <w:r>
        <w:rPr>
          <w:sz w:val="24"/>
        </w:rPr>
        <w:t>flúor</w:t>
        <w:tab/>
        <w:t>55.36</w:t>
      </w:r>
    </w:p>
    <w:p>
      <w:pPr>
        <w:pStyle w:val="ListParagraph"/>
        <w:numPr>
          <w:ilvl w:val="0"/>
          <w:numId w:val="42"/>
        </w:numPr>
        <w:tabs>
          <w:tab w:pos="1198" w:val="left" w:leader="none"/>
          <w:tab w:pos="9291" w:val="left" w:leader="none"/>
        </w:tabs>
        <w:spacing w:line="240" w:lineRule="auto" w:before="0" w:after="0"/>
        <w:ind w:left="1197" w:right="0" w:hanging="282"/>
        <w:jc w:val="left"/>
        <w:rPr>
          <w:sz w:val="24"/>
        </w:rPr>
      </w:pPr>
      <w:r>
        <w:rPr>
          <w:sz w:val="24"/>
        </w:rPr>
        <w:t>Detartraje</w:t>
      </w:r>
      <w:r>
        <w:rPr>
          <w:spacing w:val="-2"/>
          <w:sz w:val="24"/>
        </w:rPr>
        <w:t> </w:t>
      </w:r>
      <w:r>
        <w:rPr>
          <w:sz w:val="24"/>
        </w:rPr>
        <w:t>(limpieza</w:t>
      </w:r>
      <w:r>
        <w:rPr>
          <w:spacing w:val="-2"/>
          <w:sz w:val="24"/>
        </w:rPr>
        <w:t> </w:t>
      </w:r>
      <w:r>
        <w:rPr>
          <w:sz w:val="24"/>
        </w:rPr>
        <w:t>dental)</w:t>
        <w:tab/>
        <w:t>95.54</w:t>
      </w:r>
    </w:p>
    <w:p>
      <w:pPr>
        <w:spacing w:after="0" w:line="240" w:lineRule="auto"/>
        <w:jc w:val="left"/>
        <w:rPr>
          <w:sz w:val="24"/>
        </w:rPr>
        <w:sectPr>
          <w:type w:val="continuous"/>
          <w:pgSz w:w="12250" w:h="15850"/>
          <w:pgMar w:top="840" w:bottom="280" w:left="860" w:right="820"/>
        </w:sectPr>
      </w:pPr>
    </w:p>
    <w:p>
      <w:pPr>
        <w:pStyle w:val="BodyText"/>
        <w:spacing w:before="1"/>
        <w:rPr>
          <w:sz w:val="9"/>
        </w:rPr>
      </w:pPr>
    </w:p>
    <w:p>
      <w:pPr>
        <w:pStyle w:val="ListParagraph"/>
        <w:numPr>
          <w:ilvl w:val="0"/>
          <w:numId w:val="42"/>
        </w:numPr>
        <w:tabs>
          <w:tab w:pos="1198" w:val="left" w:leader="none"/>
          <w:tab w:pos="9892" w:val="right" w:leader="none"/>
        </w:tabs>
        <w:spacing w:line="240" w:lineRule="auto" w:before="93" w:after="0"/>
        <w:ind w:left="1197" w:right="0" w:hanging="282"/>
        <w:jc w:val="left"/>
        <w:rPr>
          <w:sz w:val="24"/>
        </w:rPr>
      </w:pPr>
      <w:r>
        <w:rPr>
          <w:sz w:val="24"/>
        </w:rPr>
        <w:t>Obturación con provisional</w:t>
      </w:r>
      <w:r>
        <w:rPr>
          <w:spacing w:val="-2"/>
          <w:sz w:val="24"/>
        </w:rPr>
        <w:t> </w:t>
      </w:r>
      <w:r>
        <w:rPr>
          <w:sz w:val="24"/>
        </w:rPr>
        <w:t>con</w:t>
      </w:r>
      <w:r>
        <w:rPr>
          <w:spacing w:val="-2"/>
          <w:sz w:val="24"/>
        </w:rPr>
        <w:t> </w:t>
      </w:r>
      <w:r>
        <w:rPr>
          <w:sz w:val="24"/>
        </w:rPr>
        <w:t>zoe</w:t>
        <w:tab/>
        <w:t>95.54</w:t>
      </w:r>
    </w:p>
    <w:p>
      <w:pPr>
        <w:pStyle w:val="ListParagraph"/>
        <w:numPr>
          <w:ilvl w:val="0"/>
          <w:numId w:val="42"/>
        </w:numPr>
        <w:tabs>
          <w:tab w:pos="1130" w:val="left" w:leader="none"/>
          <w:tab w:pos="9891" w:val="right" w:leader="none"/>
        </w:tabs>
        <w:spacing w:line="240" w:lineRule="auto" w:before="0" w:after="0"/>
        <w:ind w:left="1129" w:right="0" w:hanging="214"/>
        <w:jc w:val="left"/>
        <w:rPr>
          <w:sz w:val="24"/>
        </w:rPr>
      </w:pPr>
      <w:r>
        <w:rPr>
          <w:sz w:val="24"/>
        </w:rPr>
        <w:t>Obturación con amalgama (incluye</w:t>
      </w:r>
      <w:r>
        <w:rPr>
          <w:spacing w:val="-2"/>
          <w:sz w:val="24"/>
        </w:rPr>
        <w:t> </w:t>
      </w:r>
      <w:r>
        <w:rPr>
          <w:sz w:val="24"/>
        </w:rPr>
        <w:t>consulta</w:t>
      </w:r>
      <w:r>
        <w:rPr>
          <w:spacing w:val="-3"/>
          <w:sz w:val="24"/>
        </w:rPr>
        <w:t> </w:t>
      </w:r>
      <w:r>
        <w:rPr>
          <w:sz w:val="24"/>
        </w:rPr>
        <w:t>dental)</w:t>
        <w:tab/>
        <w:t>191.96</w:t>
      </w:r>
    </w:p>
    <w:p>
      <w:pPr>
        <w:pStyle w:val="BodyText"/>
        <w:tabs>
          <w:tab w:pos="9891" w:val="right" w:leader="none"/>
        </w:tabs>
        <w:ind w:left="916"/>
      </w:pPr>
      <w:r>
        <w:rPr/>
        <w:t>d) Obturación con resina fotopolimerizable (incluye</w:t>
      </w:r>
      <w:r>
        <w:rPr>
          <w:spacing w:val="-7"/>
        </w:rPr>
        <w:t> </w:t>
      </w:r>
      <w:r>
        <w:rPr/>
        <w:t>consulta</w:t>
      </w:r>
      <w:r>
        <w:rPr>
          <w:spacing w:val="-1"/>
        </w:rPr>
        <w:t> </w:t>
      </w:r>
      <w:r>
        <w:rPr/>
        <w:t>dental)</w:t>
        <w:tab/>
        <w:t>249.11</w:t>
      </w:r>
    </w:p>
    <w:p>
      <w:pPr>
        <w:pStyle w:val="ListParagraph"/>
        <w:numPr>
          <w:ilvl w:val="0"/>
          <w:numId w:val="43"/>
        </w:numPr>
        <w:tabs>
          <w:tab w:pos="1198" w:val="left" w:leader="none"/>
          <w:tab w:pos="9892" w:val="right" w:leader="none"/>
        </w:tabs>
        <w:spacing w:line="240" w:lineRule="auto" w:before="0" w:after="0"/>
        <w:ind w:left="1197" w:right="0" w:hanging="282"/>
        <w:jc w:val="left"/>
        <w:rPr>
          <w:sz w:val="24"/>
        </w:rPr>
      </w:pPr>
      <w:r>
        <w:rPr>
          <w:sz w:val="24"/>
        </w:rPr>
        <w:t>Cementación</w:t>
      </w:r>
      <w:r>
        <w:rPr>
          <w:spacing w:val="-3"/>
          <w:sz w:val="24"/>
        </w:rPr>
        <w:t> </w:t>
      </w:r>
      <w:r>
        <w:rPr>
          <w:sz w:val="24"/>
        </w:rPr>
        <w:t>por pieza</w:t>
        <w:tab/>
        <w:t>55.36</w:t>
      </w:r>
    </w:p>
    <w:p>
      <w:pPr>
        <w:pStyle w:val="ListParagraph"/>
        <w:numPr>
          <w:ilvl w:val="0"/>
          <w:numId w:val="43"/>
        </w:numPr>
        <w:tabs>
          <w:tab w:pos="1116" w:val="left" w:leader="none"/>
          <w:tab w:pos="9892" w:val="right" w:leader="none"/>
        </w:tabs>
        <w:spacing w:line="240" w:lineRule="auto" w:before="0" w:after="0"/>
        <w:ind w:left="1115" w:right="0" w:hanging="200"/>
        <w:jc w:val="left"/>
        <w:rPr>
          <w:sz w:val="24"/>
        </w:rPr>
      </w:pPr>
      <w:r>
        <w:rPr>
          <w:sz w:val="24"/>
        </w:rPr>
        <w:t>Exodoncia</w:t>
        <w:tab/>
        <w:t>95.54</w:t>
      </w:r>
    </w:p>
    <w:p>
      <w:pPr>
        <w:pStyle w:val="ListParagraph"/>
        <w:numPr>
          <w:ilvl w:val="0"/>
          <w:numId w:val="43"/>
        </w:numPr>
        <w:tabs>
          <w:tab w:pos="1116" w:val="left" w:leader="none"/>
          <w:tab w:pos="9892" w:val="right" w:leader="none"/>
        </w:tabs>
        <w:spacing w:line="240" w:lineRule="auto" w:before="0" w:after="0"/>
        <w:ind w:left="1115" w:right="0" w:hanging="200"/>
        <w:jc w:val="left"/>
        <w:rPr>
          <w:sz w:val="24"/>
        </w:rPr>
      </w:pPr>
      <w:r>
        <w:rPr>
          <w:sz w:val="24"/>
        </w:rPr>
        <w:t>Hulectomía</w:t>
        <w:tab/>
        <w:t>55.36</w:t>
      </w:r>
    </w:p>
    <w:p>
      <w:pPr>
        <w:pStyle w:val="BodyText"/>
      </w:pPr>
    </w:p>
    <w:p>
      <w:pPr>
        <w:pStyle w:val="ListParagraph"/>
        <w:numPr>
          <w:ilvl w:val="3"/>
          <w:numId w:val="39"/>
        </w:numPr>
        <w:tabs>
          <w:tab w:pos="3100" w:val="left" w:leader="none"/>
          <w:tab w:pos="3101" w:val="left" w:leader="none"/>
        </w:tabs>
        <w:spacing w:line="240" w:lineRule="auto" w:before="0" w:after="0"/>
        <w:ind w:left="3101" w:right="0" w:hanging="721"/>
        <w:jc w:val="left"/>
        <w:rPr>
          <w:sz w:val="24"/>
        </w:rPr>
      </w:pPr>
      <w:r>
        <w:rPr/>
        <w:drawing>
          <wp:anchor distT="0" distB="0" distL="0" distR="0" allowOverlap="1" layoutInCell="1" locked="0" behindDoc="1" simplePos="0" relativeHeight="227509248">
            <wp:simplePos x="0" y="0"/>
            <wp:positionH relativeFrom="page">
              <wp:posOffset>1252555</wp:posOffset>
            </wp:positionH>
            <wp:positionV relativeFrom="paragraph">
              <wp:posOffset>58113</wp:posOffset>
            </wp:positionV>
            <wp:extent cx="5022641" cy="5144769"/>
            <wp:effectExtent l="0" t="0" r="0" b="0"/>
            <wp:wrapNone/>
            <wp:docPr id="81" name="image36.png"/>
            <wp:cNvGraphicFramePr>
              <a:graphicFrameLocks noChangeAspect="1"/>
            </wp:cNvGraphicFramePr>
            <a:graphic>
              <a:graphicData uri="http://schemas.openxmlformats.org/drawingml/2006/picture">
                <pic:pic>
                  <pic:nvPicPr>
                    <pic:cNvPr id="82" name="image36.png"/>
                    <pic:cNvPicPr/>
                  </pic:nvPicPr>
                  <pic:blipFill>
                    <a:blip r:embed="rId46" cstate="print"/>
                    <a:stretch>
                      <a:fillRect/>
                    </a:stretch>
                  </pic:blipFill>
                  <pic:spPr>
                    <a:xfrm>
                      <a:off x="0" y="0"/>
                      <a:ext cx="5022641" cy="5144769"/>
                    </a:xfrm>
                    <a:prstGeom prst="rect">
                      <a:avLst/>
                    </a:prstGeom>
                  </pic:spPr>
                </pic:pic>
              </a:graphicData>
            </a:graphic>
          </wp:anchor>
        </w:drawing>
      </w:r>
      <w:r>
        <w:rPr>
          <w:sz w:val="24"/>
        </w:rPr>
        <w:t>Servicios del centro antirrábico y control</w:t>
      </w:r>
      <w:r>
        <w:rPr>
          <w:spacing w:val="-4"/>
          <w:sz w:val="24"/>
        </w:rPr>
        <w:t> </w:t>
      </w:r>
      <w:r>
        <w:rPr>
          <w:sz w:val="24"/>
        </w:rPr>
        <w:t>canino:</w:t>
      </w:r>
    </w:p>
    <w:p>
      <w:pPr>
        <w:pStyle w:val="BodyText"/>
      </w:pPr>
    </w:p>
    <w:p>
      <w:pPr>
        <w:pStyle w:val="BodyText"/>
        <w:spacing w:after="9"/>
        <w:ind w:left="1084"/>
      </w:pPr>
      <w:r>
        <w:rPr/>
        <w:t>a) Desparasitación</w:t>
      </w:r>
    </w:p>
    <w:tbl>
      <w:tblPr>
        <w:tblW w:w="0" w:type="auto"/>
        <w:jc w:val="left"/>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47"/>
        <w:gridCol w:w="1362"/>
      </w:tblGrid>
      <w:tr>
        <w:trPr>
          <w:trHeight w:val="272" w:hRule="atLeast"/>
        </w:trPr>
        <w:tc>
          <w:tcPr>
            <w:tcW w:w="7347" w:type="dxa"/>
          </w:tcPr>
          <w:p>
            <w:pPr>
              <w:pStyle w:val="TableParagraph"/>
              <w:spacing w:line="252" w:lineRule="exact"/>
              <w:ind w:left="301"/>
              <w:rPr>
                <w:sz w:val="24"/>
              </w:rPr>
            </w:pPr>
            <w:r>
              <w:rPr>
                <w:sz w:val="24"/>
              </w:rPr>
              <w:t>1. De 0 – 15 kilos</w:t>
            </w:r>
          </w:p>
        </w:tc>
        <w:tc>
          <w:tcPr>
            <w:tcW w:w="1362" w:type="dxa"/>
          </w:tcPr>
          <w:p>
            <w:pPr>
              <w:pStyle w:val="TableParagraph"/>
              <w:spacing w:line="252" w:lineRule="exact"/>
              <w:ind w:right="48"/>
              <w:jc w:val="right"/>
              <w:rPr>
                <w:sz w:val="24"/>
              </w:rPr>
            </w:pPr>
            <w:r>
              <w:rPr>
                <w:sz w:val="24"/>
              </w:rPr>
              <w:t>29.46</w:t>
            </w:r>
          </w:p>
        </w:tc>
      </w:tr>
      <w:tr>
        <w:trPr>
          <w:trHeight w:val="275" w:hRule="atLeast"/>
        </w:trPr>
        <w:tc>
          <w:tcPr>
            <w:tcW w:w="7347" w:type="dxa"/>
          </w:tcPr>
          <w:p>
            <w:pPr>
              <w:pStyle w:val="TableParagraph"/>
              <w:spacing w:line="256" w:lineRule="exact"/>
              <w:ind w:left="301"/>
              <w:rPr>
                <w:sz w:val="24"/>
              </w:rPr>
            </w:pPr>
            <w:r>
              <w:rPr>
                <w:sz w:val="24"/>
              </w:rPr>
              <w:t>2. De 15.1 – 25 kilos</w:t>
            </w:r>
          </w:p>
        </w:tc>
        <w:tc>
          <w:tcPr>
            <w:tcW w:w="1362" w:type="dxa"/>
          </w:tcPr>
          <w:p>
            <w:pPr>
              <w:pStyle w:val="TableParagraph"/>
              <w:spacing w:line="256" w:lineRule="exact"/>
              <w:ind w:right="48"/>
              <w:jc w:val="right"/>
              <w:rPr>
                <w:sz w:val="24"/>
              </w:rPr>
            </w:pPr>
            <w:r>
              <w:rPr>
                <w:sz w:val="24"/>
              </w:rPr>
              <w:t>40.18</w:t>
            </w:r>
          </w:p>
        </w:tc>
      </w:tr>
      <w:tr>
        <w:trPr>
          <w:trHeight w:val="276" w:hRule="atLeast"/>
        </w:trPr>
        <w:tc>
          <w:tcPr>
            <w:tcW w:w="7347" w:type="dxa"/>
          </w:tcPr>
          <w:p>
            <w:pPr>
              <w:pStyle w:val="TableParagraph"/>
              <w:spacing w:line="256" w:lineRule="exact"/>
              <w:ind w:left="301"/>
              <w:rPr>
                <w:sz w:val="24"/>
              </w:rPr>
            </w:pPr>
            <w:r>
              <w:rPr>
                <w:sz w:val="24"/>
              </w:rPr>
              <w:t>3. De 25.1 – 60 kilos</w:t>
            </w:r>
          </w:p>
        </w:tc>
        <w:tc>
          <w:tcPr>
            <w:tcW w:w="1362" w:type="dxa"/>
          </w:tcPr>
          <w:p>
            <w:pPr>
              <w:pStyle w:val="TableParagraph"/>
              <w:spacing w:line="256" w:lineRule="exact"/>
              <w:ind w:right="48"/>
              <w:jc w:val="right"/>
              <w:rPr>
                <w:sz w:val="24"/>
              </w:rPr>
            </w:pPr>
            <w:r>
              <w:rPr>
                <w:sz w:val="24"/>
              </w:rPr>
              <w:t>49.11</w:t>
            </w:r>
          </w:p>
        </w:tc>
      </w:tr>
      <w:tr>
        <w:trPr>
          <w:trHeight w:val="276" w:hRule="atLeast"/>
        </w:trPr>
        <w:tc>
          <w:tcPr>
            <w:tcW w:w="7347" w:type="dxa"/>
          </w:tcPr>
          <w:p>
            <w:pPr>
              <w:pStyle w:val="TableParagraph"/>
              <w:spacing w:line="256" w:lineRule="exact"/>
              <w:ind w:left="50"/>
              <w:rPr>
                <w:sz w:val="24"/>
              </w:rPr>
            </w:pPr>
            <w:r>
              <w:rPr>
                <w:sz w:val="24"/>
              </w:rPr>
              <w:t>b) Esterilización felina y canina</w:t>
            </w:r>
          </w:p>
        </w:tc>
        <w:tc>
          <w:tcPr>
            <w:tcW w:w="1362" w:type="dxa"/>
          </w:tcPr>
          <w:p>
            <w:pPr>
              <w:pStyle w:val="TableParagraph"/>
              <w:spacing w:line="256" w:lineRule="exact"/>
              <w:ind w:right="48"/>
              <w:jc w:val="right"/>
              <w:rPr>
                <w:sz w:val="24"/>
              </w:rPr>
            </w:pPr>
            <w:r>
              <w:rPr>
                <w:sz w:val="24"/>
              </w:rPr>
              <w:t>216.07</w:t>
            </w:r>
          </w:p>
        </w:tc>
      </w:tr>
      <w:tr>
        <w:trPr>
          <w:trHeight w:val="275" w:hRule="atLeast"/>
        </w:trPr>
        <w:tc>
          <w:tcPr>
            <w:tcW w:w="7347" w:type="dxa"/>
          </w:tcPr>
          <w:p>
            <w:pPr>
              <w:pStyle w:val="TableParagraph"/>
              <w:spacing w:line="256" w:lineRule="exact"/>
              <w:ind w:left="50"/>
              <w:rPr>
                <w:sz w:val="24"/>
              </w:rPr>
            </w:pPr>
            <w:r>
              <w:rPr>
                <w:sz w:val="24"/>
              </w:rPr>
              <w:t>c) Curaciones</w:t>
            </w:r>
          </w:p>
        </w:tc>
        <w:tc>
          <w:tcPr>
            <w:tcW w:w="1362" w:type="dxa"/>
          </w:tcPr>
          <w:p>
            <w:pPr>
              <w:pStyle w:val="TableParagraph"/>
              <w:spacing w:line="256" w:lineRule="exact"/>
              <w:ind w:right="48"/>
              <w:jc w:val="right"/>
              <w:rPr>
                <w:sz w:val="24"/>
              </w:rPr>
            </w:pPr>
            <w:r>
              <w:rPr>
                <w:sz w:val="24"/>
              </w:rPr>
              <w:t>76.79</w:t>
            </w:r>
          </w:p>
        </w:tc>
      </w:tr>
      <w:tr>
        <w:trPr>
          <w:trHeight w:val="276" w:hRule="atLeast"/>
        </w:trPr>
        <w:tc>
          <w:tcPr>
            <w:tcW w:w="7347" w:type="dxa"/>
          </w:tcPr>
          <w:p>
            <w:pPr>
              <w:pStyle w:val="TableParagraph"/>
              <w:spacing w:line="256" w:lineRule="exact"/>
              <w:ind w:left="50"/>
              <w:rPr>
                <w:sz w:val="24"/>
              </w:rPr>
            </w:pPr>
            <w:r>
              <w:rPr>
                <w:sz w:val="24"/>
              </w:rPr>
              <w:t>d) Alimentación de animales por observación y sintomatología,</w:t>
            </w:r>
          </w:p>
        </w:tc>
        <w:tc>
          <w:tcPr>
            <w:tcW w:w="1362" w:type="dxa"/>
          </w:tcPr>
          <w:p>
            <w:pPr>
              <w:pStyle w:val="TableParagraph"/>
              <w:spacing w:line="256" w:lineRule="exact"/>
              <w:ind w:right="48"/>
              <w:jc w:val="right"/>
              <w:rPr>
                <w:sz w:val="24"/>
              </w:rPr>
            </w:pPr>
            <w:r>
              <w:rPr>
                <w:sz w:val="24"/>
              </w:rPr>
              <w:t>58.04</w:t>
            </w:r>
          </w:p>
        </w:tc>
      </w:tr>
      <w:tr>
        <w:trPr>
          <w:trHeight w:val="276" w:hRule="atLeast"/>
        </w:trPr>
        <w:tc>
          <w:tcPr>
            <w:tcW w:w="7347" w:type="dxa"/>
          </w:tcPr>
          <w:p>
            <w:pPr>
              <w:pStyle w:val="TableParagraph"/>
              <w:spacing w:line="256" w:lineRule="exact"/>
              <w:ind w:left="50"/>
              <w:rPr>
                <w:sz w:val="24"/>
              </w:rPr>
            </w:pPr>
            <w:r>
              <w:rPr>
                <w:sz w:val="24"/>
              </w:rPr>
              <w:t>(cuota diaria)</w:t>
            </w:r>
          </w:p>
        </w:tc>
        <w:tc>
          <w:tcPr>
            <w:tcW w:w="1362" w:type="dxa"/>
          </w:tcPr>
          <w:p>
            <w:pPr>
              <w:pStyle w:val="TableParagraph"/>
              <w:rPr>
                <w:rFonts w:ascii="Times New Roman"/>
                <w:sz w:val="20"/>
              </w:rPr>
            </w:pPr>
          </w:p>
        </w:tc>
      </w:tr>
      <w:tr>
        <w:trPr>
          <w:trHeight w:val="275" w:hRule="atLeast"/>
        </w:trPr>
        <w:tc>
          <w:tcPr>
            <w:tcW w:w="7347" w:type="dxa"/>
          </w:tcPr>
          <w:p>
            <w:pPr>
              <w:pStyle w:val="TableParagraph"/>
              <w:spacing w:line="256" w:lineRule="exact"/>
              <w:ind w:left="50"/>
              <w:rPr>
                <w:sz w:val="24"/>
              </w:rPr>
            </w:pPr>
            <w:r>
              <w:rPr>
                <w:sz w:val="24"/>
              </w:rPr>
              <w:t>e) Devolución de canino capturado en vía pública</w:t>
            </w:r>
          </w:p>
        </w:tc>
        <w:tc>
          <w:tcPr>
            <w:tcW w:w="1362" w:type="dxa"/>
          </w:tcPr>
          <w:p>
            <w:pPr>
              <w:pStyle w:val="TableParagraph"/>
              <w:spacing w:line="256" w:lineRule="exact"/>
              <w:ind w:right="48"/>
              <w:jc w:val="right"/>
              <w:rPr>
                <w:sz w:val="24"/>
              </w:rPr>
            </w:pPr>
            <w:r>
              <w:rPr>
                <w:sz w:val="24"/>
              </w:rPr>
              <w:t>155.36</w:t>
            </w:r>
          </w:p>
        </w:tc>
      </w:tr>
      <w:tr>
        <w:trPr>
          <w:trHeight w:val="272" w:hRule="atLeast"/>
        </w:trPr>
        <w:tc>
          <w:tcPr>
            <w:tcW w:w="7347" w:type="dxa"/>
          </w:tcPr>
          <w:p>
            <w:pPr>
              <w:pStyle w:val="TableParagraph"/>
              <w:spacing w:line="252" w:lineRule="exact"/>
              <w:ind w:left="50"/>
              <w:rPr>
                <w:sz w:val="24"/>
              </w:rPr>
            </w:pPr>
            <w:r>
              <w:rPr>
                <w:sz w:val="24"/>
              </w:rPr>
              <w:t>f) Atención a reporte de donación de mascotas por particulares</w:t>
            </w:r>
          </w:p>
        </w:tc>
        <w:tc>
          <w:tcPr>
            <w:tcW w:w="1362" w:type="dxa"/>
          </w:tcPr>
          <w:p>
            <w:pPr>
              <w:pStyle w:val="TableParagraph"/>
              <w:spacing w:line="252" w:lineRule="exact"/>
              <w:ind w:right="48"/>
              <w:jc w:val="right"/>
              <w:rPr>
                <w:sz w:val="24"/>
              </w:rPr>
            </w:pPr>
            <w:r>
              <w:rPr>
                <w:sz w:val="24"/>
              </w:rPr>
              <w:t>76.79</w:t>
            </w:r>
          </w:p>
        </w:tc>
      </w:tr>
    </w:tbl>
    <w:p>
      <w:pPr>
        <w:pStyle w:val="BodyText"/>
      </w:pPr>
    </w:p>
    <w:p>
      <w:pPr>
        <w:pStyle w:val="ListParagraph"/>
        <w:numPr>
          <w:ilvl w:val="3"/>
          <w:numId w:val="39"/>
        </w:numPr>
        <w:tabs>
          <w:tab w:pos="816" w:val="left" w:leader="none"/>
        </w:tabs>
        <w:spacing w:line="240" w:lineRule="auto" w:before="0" w:after="0"/>
        <w:ind w:left="400" w:right="437" w:firstLine="0"/>
        <w:jc w:val="left"/>
        <w:rPr>
          <w:sz w:val="24"/>
        </w:rPr>
      </w:pPr>
      <w:r>
        <w:rPr>
          <w:sz w:val="24"/>
        </w:rPr>
        <w:t>Verificación sanitaria a comercios, conforme lo establece en los siguientes rangos, según la tabla de clasificación de giros, anexa a esta Ley de</w:t>
      </w:r>
      <w:r>
        <w:rPr>
          <w:spacing w:val="-11"/>
          <w:sz w:val="24"/>
        </w:rPr>
        <w:t> </w:t>
      </w:r>
      <w:r>
        <w:rPr>
          <w:sz w:val="24"/>
        </w:rPr>
        <w:t>Ingresos.</w:t>
      </w:r>
    </w:p>
    <w:p>
      <w:pPr>
        <w:pStyle w:val="BodyText"/>
      </w:pPr>
    </w:p>
    <w:p>
      <w:pPr>
        <w:pStyle w:val="BodyText"/>
        <w:tabs>
          <w:tab w:pos="9082" w:val="left" w:leader="none"/>
        </w:tabs>
        <w:ind w:left="772"/>
      </w:pPr>
      <w:r>
        <w:rPr/>
        <w:t>Giros</w:t>
        <w:tab/>
        <w:t>Pesos</w:t>
      </w:r>
    </w:p>
    <w:p>
      <w:pPr>
        <w:spacing w:after="0"/>
        <w:sectPr>
          <w:pgSz w:w="12250" w:h="15850"/>
          <w:pgMar w:header="730" w:footer="0" w:top="1000" w:bottom="280" w:left="860" w:right="820"/>
        </w:sectPr>
      </w:pPr>
    </w:p>
    <w:p>
      <w:pPr>
        <w:pStyle w:val="BodyText"/>
        <w:ind w:left="772"/>
      </w:pPr>
      <w:r>
        <w:rPr/>
        <w:t>1 Puestos:</w:t>
      </w:r>
    </w:p>
    <w:p>
      <w:pPr>
        <w:pStyle w:val="BodyText"/>
        <w:ind w:left="839"/>
      </w:pPr>
      <w:r>
        <w:rPr/>
        <w:t>móviles y semifijos</w:t>
      </w:r>
    </w:p>
    <w:p>
      <w:pPr>
        <w:pStyle w:val="ListParagraph"/>
        <w:numPr>
          <w:ilvl w:val="1"/>
          <w:numId w:val="39"/>
        </w:numPr>
        <w:tabs>
          <w:tab w:pos="1087" w:val="left" w:leader="none"/>
        </w:tabs>
        <w:spacing w:line="240" w:lineRule="auto" w:before="0" w:after="0"/>
        <w:ind w:left="772" w:right="45" w:firstLine="0"/>
        <w:jc w:val="left"/>
        <w:rPr>
          <w:sz w:val="24"/>
        </w:rPr>
      </w:pPr>
      <w:r>
        <w:rPr>
          <w:sz w:val="24"/>
        </w:rPr>
        <w:t>Comercial, según la tabla de clasificación de giros, anexa a esta ley de</w:t>
      </w:r>
      <w:r>
        <w:rPr>
          <w:spacing w:val="-5"/>
          <w:sz w:val="24"/>
        </w:rPr>
        <w:t> </w:t>
      </w:r>
      <w:r>
        <w:rPr>
          <w:sz w:val="24"/>
        </w:rPr>
        <w:t>ingresos:</w:t>
      </w:r>
    </w:p>
    <w:p>
      <w:pPr>
        <w:pStyle w:val="ListParagraph"/>
        <w:numPr>
          <w:ilvl w:val="0"/>
          <w:numId w:val="44"/>
        </w:numPr>
        <w:tabs>
          <w:tab w:pos="1797" w:val="left" w:leader="none"/>
        </w:tabs>
        <w:spacing w:line="240" w:lineRule="auto" w:before="0" w:after="0"/>
        <w:ind w:left="1492" w:right="43" w:firstLine="0"/>
        <w:jc w:val="both"/>
        <w:rPr>
          <w:sz w:val="24"/>
        </w:rPr>
      </w:pPr>
      <w:r>
        <w:rPr>
          <w:sz w:val="24"/>
        </w:rPr>
        <w:t>Este tipo de establecimiento tienen atención al público, no manipulan alimento en el lugar y en cuanto al servicio deben de tener sanitizado desinfectado y fumigado. En este se maneja como riesgo sanitario</w:t>
      </w:r>
      <w:r>
        <w:rPr>
          <w:spacing w:val="-5"/>
          <w:sz w:val="24"/>
        </w:rPr>
        <w:t> </w:t>
      </w:r>
      <w:r>
        <w:rPr>
          <w:sz w:val="24"/>
        </w:rPr>
        <w:t>bajo.</w:t>
      </w:r>
    </w:p>
    <w:p>
      <w:pPr>
        <w:pStyle w:val="BodyText"/>
        <w:spacing w:before="9"/>
        <w:rPr>
          <w:sz w:val="23"/>
        </w:rPr>
      </w:pPr>
    </w:p>
    <w:p>
      <w:pPr>
        <w:pStyle w:val="ListParagraph"/>
        <w:numPr>
          <w:ilvl w:val="0"/>
          <w:numId w:val="44"/>
        </w:numPr>
        <w:tabs>
          <w:tab w:pos="1778" w:val="left" w:leader="none"/>
        </w:tabs>
        <w:spacing w:line="240" w:lineRule="auto" w:before="1" w:after="0"/>
        <w:ind w:left="1492" w:right="38" w:firstLine="0"/>
        <w:jc w:val="both"/>
        <w:rPr>
          <w:sz w:val="24"/>
        </w:rPr>
      </w:pPr>
      <w:r>
        <w:rPr>
          <w:sz w:val="24"/>
        </w:rPr>
        <w:t>En estos establecimientos se da atención al público y se maneja alimentos en la mayoría de los clasificados de este grupo, en el complemento que se da el servicio se debe de extremar las medidas de prevención tanto en el servicio como en instalación. En este se maneja como riesgo medio</w:t>
      </w:r>
    </w:p>
    <w:p>
      <w:pPr>
        <w:pStyle w:val="BodyText"/>
      </w:pPr>
    </w:p>
    <w:p>
      <w:pPr>
        <w:pStyle w:val="ListParagraph"/>
        <w:numPr>
          <w:ilvl w:val="0"/>
          <w:numId w:val="44"/>
        </w:numPr>
        <w:tabs>
          <w:tab w:pos="1800" w:val="left" w:leader="none"/>
        </w:tabs>
        <w:spacing w:line="240" w:lineRule="auto" w:before="0" w:after="0"/>
        <w:ind w:left="1492" w:right="42" w:firstLine="0"/>
        <w:jc w:val="both"/>
        <w:rPr>
          <w:sz w:val="24"/>
        </w:rPr>
      </w:pPr>
      <w:r>
        <w:rPr>
          <w:sz w:val="24"/>
        </w:rPr>
        <w:t>Establecimientos que comercializan alimentos y o dan atención al público con una clasificación de riesgo sanitario medio debe darse una mayor atención a la ciudadanía por la demanda que esta</w:t>
      </w:r>
      <w:r>
        <w:rPr>
          <w:spacing w:val="-2"/>
          <w:sz w:val="24"/>
        </w:rPr>
        <w:t> </w:t>
      </w:r>
      <w:r>
        <w:rPr>
          <w:sz w:val="24"/>
        </w:rPr>
        <w:t>genera.</w:t>
      </w:r>
    </w:p>
    <w:p>
      <w:pPr>
        <w:pStyle w:val="BodyText"/>
      </w:pPr>
    </w:p>
    <w:p>
      <w:pPr>
        <w:pStyle w:val="ListParagraph"/>
        <w:numPr>
          <w:ilvl w:val="0"/>
          <w:numId w:val="44"/>
        </w:numPr>
        <w:tabs>
          <w:tab w:pos="1809" w:val="left" w:leader="none"/>
        </w:tabs>
        <w:spacing w:line="240" w:lineRule="auto" w:before="0" w:after="0"/>
        <w:ind w:left="1492" w:right="43" w:firstLine="0"/>
        <w:jc w:val="both"/>
        <w:rPr>
          <w:sz w:val="24"/>
        </w:rPr>
      </w:pPr>
      <w:r>
        <w:rPr>
          <w:sz w:val="24"/>
        </w:rPr>
        <w:t>Establecimiento de atención de bienes y servicios con mayor atención a la población y por ende mayor riesgo sanitario en cuanto a personal, instalaciones y</w:t>
      </w:r>
      <w:r>
        <w:rPr>
          <w:spacing w:val="-13"/>
          <w:sz w:val="24"/>
        </w:rPr>
        <w:t> </w:t>
      </w:r>
      <w:r>
        <w:rPr>
          <w:sz w:val="24"/>
        </w:rPr>
        <w:t>servicios.</w:t>
      </w:r>
    </w:p>
    <w:p>
      <w:pPr>
        <w:pStyle w:val="BodyText"/>
        <w:ind w:left="772"/>
      </w:pPr>
      <w:r>
        <w:rPr/>
        <w:br w:type="column"/>
      </w:r>
      <w:r>
        <w:rPr/>
        <w:t>113.39</w:t>
      </w:r>
    </w:p>
    <w:p>
      <w:pPr>
        <w:pStyle w:val="BodyText"/>
        <w:rPr>
          <w:sz w:val="26"/>
        </w:rPr>
      </w:pPr>
    </w:p>
    <w:p>
      <w:pPr>
        <w:pStyle w:val="BodyText"/>
        <w:rPr>
          <w:sz w:val="26"/>
        </w:rPr>
      </w:pPr>
    </w:p>
    <w:p>
      <w:pPr>
        <w:pStyle w:val="BodyText"/>
        <w:spacing w:before="230"/>
        <w:ind w:left="772"/>
      </w:pPr>
      <w:r>
        <w:rPr/>
        <w:t>160.71</w:t>
      </w:r>
    </w:p>
    <w:p>
      <w:pPr>
        <w:pStyle w:val="BodyText"/>
        <w:rPr>
          <w:sz w:val="26"/>
        </w:rPr>
      </w:pPr>
    </w:p>
    <w:p>
      <w:pPr>
        <w:pStyle w:val="BodyText"/>
        <w:rPr>
          <w:sz w:val="26"/>
        </w:rPr>
      </w:pPr>
    </w:p>
    <w:p>
      <w:pPr>
        <w:pStyle w:val="BodyText"/>
        <w:rPr>
          <w:sz w:val="26"/>
        </w:rPr>
      </w:pPr>
    </w:p>
    <w:p>
      <w:pPr>
        <w:pStyle w:val="BodyText"/>
        <w:spacing w:before="205"/>
        <w:ind w:left="772"/>
      </w:pPr>
      <w:r>
        <w:rPr/>
        <w:t>241.07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2"/>
        <w:ind w:left="772"/>
      </w:pPr>
      <w:r>
        <w:rPr/>
        <w:t>322.32</w:t>
      </w:r>
    </w:p>
    <w:p>
      <w:pPr>
        <w:pStyle w:val="BodyText"/>
        <w:rPr>
          <w:sz w:val="26"/>
        </w:rPr>
      </w:pPr>
    </w:p>
    <w:p>
      <w:pPr>
        <w:pStyle w:val="BodyText"/>
        <w:rPr>
          <w:sz w:val="26"/>
        </w:rPr>
      </w:pPr>
    </w:p>
    <w:p>
      <w:pPr>
        <w:pStyle w:val="BodyText"/>
        <w:rPr>
          <w:sz w:val="26"/>
        </w:rPr>
      </w:pPr>
    </w:p>
    <w:p>
      <w:pPr>
        <w:pStyle w:val="BodyText"/>
        <w:spacing w:before="207"/>
        <w:ind w:left="772"/>
      </w:pPr>
      <w:r>
        <w:rPr/>
        <w:t>807.14</w:t>
      </w:r>
    </w:p>
    <w:p>
      <w:pPr>
        <w:spacing w:after="0"/>
        <w:sectPr>
          <w:type w:val="continuous"/>
          <w:pgSz w:w="12250" w:h="15850"/>
          <w:pgMar w:top="840" w:bottom="280" w:left="860" w:right="820"/>
          <w:cols w:num="2" w:equalWidth="0">
            <w:col w:w="7854" w:space="389"/>
            <w:col w:w="2327"/>
          </w:cols>
        </w:sectPr>
      </w:pPr>
    </w:p>
    <w:p>
      <w:pPr>
        <w:pStyle w:val="BodyText"/>
        <w:tabs>
          <w:tab w:pos="9082" w:val="left" w:leader="none"/>
        </w:tabs>
        <w:spacing w:before="183"/>
        <w:ind w:left="772"/>
      </w:pPr>
      <w:r>
        <w:rPr/>
        <w:t>Giros</w:t>
        <w:tab/>
        <w:t>Pesos</w:t>
      </w:r>
    </w:p>
    <w:p>
      <w:pPr>
        <w:spacing w:after="0"/>
        <w:sectPr>
          <w:pgSz w:w="12250" w:h="15850"/>
          <w:pgMar w:header="730" w:footer="0" w:top="1000" w:bottom="280" w:left="860" w:right="820"/>
        </w:sectPr>
      </w:pPr>
    </w:p>
    <w:p>
      <w:pPr>
        <w:pStyle w:val="ListParagraph"/>
        <w:numPr>
          <w:ilvl w:val="0"/>
          <w:numId w:val="44"/>
        </w:numPr>
        <w:tabs>
          <w:tab w:pos="1929" w:val="left" w:leader="none"/>
        </w:tabs>
        <w:spacing w:line="240" w:lineRule="auto" w:before="0" w:after="0"/>
        <w:ind w:left="1492" w:right="0" w:firstLine="0"/>
        <w:jc w:val="both"/>
        <w:rPr>
          <w:sz w:val="24"/>
        </w:rPr>
      </w:pPr>
      <w:r>
        <w:rPr>
          <w:sz w:val="24"/>
        </w:rPr>
        <w:t>Establecimientos que comercian y dan servicios personalizados para lo anterior se convierten en sujetos permanentes en su personal instalaciones y servicios. Y por ende riesgo sanitario</w:t>
      </w:r>
      <w:r>
        <w:rPr>
          <w:spacing w:val="-1"/>
          <w:sz w:val="24"/>
        </w:rPr>
        <w:t> </w:t>
      </w:r>
      <w:r>
        <w:rPr>
          <w:sz w:val="24"/>
        </w:rPr>
        <w:t>alto.</w:t>
      </w:r>
    </w:p>
    <w:p>
      <w:pPr>
        <w:pStyle w:val="BodyText"/>
      </w:pPr>
    </w:p>
    <w:p>
      <w:pPr>
        <w:pStyle w:val="ListParagraph"/>
        <w:numPr>
          <w:ilvl w:val="0"/>
          <w:numId w:val="44"/>
        </w:numPr>
        <w:tabs>
          <w:tab w:pos="1884" w:val="left" w:leader="none"/>
        </w:tabs>
        <w:spacing w:line="240" w:lineRule="auto" w:before="0" w:after="0"/>
        <w:ind w:left="1492" w:right="0" w:firstLine="0"/>
        <w:jc w:val="both"/>
        <w:rPr>
          <w:sz w:val="24"/>
        </w:rPr>
      </w:pPr>
      <w:r>
        <w:rPr/>
        <w:drawing>
          <wp:anchor distT="0" distB="0" distL="0" distR="0" allowOverlap="1" layoutInCell="1" locked="0" behindDoc="1" simplePos="0" relativeHeight="227510272">
            <wp:simplePos x="0" y="0"/>
            <wp:positionH relativeFrom="page">
              <wp:posOffset>1239220</wp:posOffset>
            </wp:positionH>
            <wp:positionV relativeFrom="paragraph">
              <wp:posOffset>242517</wp:posOffset>
            </wp:positionV>
            <wp:extent cx="5022641" cy="5144769"/>
            <wp:effectExtent l="0" t="0" r="0" b="0"/>
            <wp:wrapNone/>
            <wp:docPr id="83" name="image37.png"/>
            <wp:cNvGraphicFramePr>
              <a:graphicFrameLocks noChangeAspect="1"/>
            </wp:cNvGraphicFramePr>
            <a:graphic>
              <a:graphicData uri="http://schemas.openxmlformats.org/drawingml/2006/picture">
                <pic:pic>
                  <pic:nvPicPr>
                    <pic:cNvPr id="84" name="image37.png"/>
                    <pic:cNvPicPr/>
                  </pic:nvPicPr>
                  <pic:blipFill>
                    <a:blip r:embed="rId47" cstate="print"/>
                    <a:stretch>
                      <a:fillRect/>
                    </a:stretch>
                  </pic:blipFill>
                  <pic:spPr>
                    <a:xfrm>
                      <a:off x="0" y="0"/>
                      <a:ext cx="5022641" cy="5144769"/>
                    </a:xfrm>
                    <a:prstGeom prst="rect">
                      <a:avLst/>
                    </a:prstGeom>
                  </pic:spPr>
                </pic:pic>
              </a:graphicData>
            </a:graphic>
          </wp:anchor>
        </w:drawing>
      </w:r>
      <w:r>
        <w:rPr>
          <w:sz w:val="24"/>
        </w:rPr>
        <w:t>Estos establecimientos son de mayor atención en el bien y servicio por su infraestructura, para lo anterior la vigilancia o monitoreo, se maneja en algunos la coordinación interinstitucional. Y por ende riesgo sanitario alto.</w:t>
      </w:r>
    </w:p>
    <w:p>
      <w:pPr>
        <w:pStyle w:val="BodyText"/>
        <w:ind w:left="962"/>
      </w:pPr>
      <w:r>
        <w:rPr/>
        <w:br w:type="column"/>
      </w:r>
      <w:r>
        <w:rPr/>
        <w:t>1,211.61</w:t>
      </w:r>
    </w:p>
    <w:p>
      <w:pPr>
        <w:pStyle w:val="BodyText"/>
      </w:pPr>
    </w:p>
    <w:p>
      <w:pPr>
        <w:pStyle w:val="BodyText"/>
        <w:spacing w:line="720" w:lineRule="auto"/>
        <w:ind w:left="962" w:right="799" w:firstLine="866"/>
      </w:pPr>
      <w:r>
        <w:rPr/>
        <w:t>, 2,018.65</w:t>
      </w:r>
    </w:p>
    <w:p>
      <w:pPr>
        <w:spacing w:after="0" w:line="720" w:lineRule="auto"/>
        <w:sectPr>
          <w:type w:val="continuous"/>
          <w:pgSz w:w="12250" w:h="15850"/>
          <w:pgMar w:top="840" w:bottom="280" w:left="860" w:right="820"/>
          <w:cols w:num="2" w:equalWidth="0">
            <w:col w:w="7814" w:space="40"/>
            <w:col w:w="2716"/>
          </w:cols>
        </w:sectPr>
      </w:pPr>
    </w:p>
    <w:p>
      <w:pPr>
        <w:pStyle w:val="BodyText"/>
        <w:rPr>
          <w:sz w:val="16"/>
        </w:rPr>
      </w:pPr>
    </w:p>
    <w:p>
      <w:pPr>
        <w:spacing w:after="0"/>
        <w:rPr>
          <w:sz w:val="16"/>
        </w:rPr>
        <w:sectPr>
          <w:type w:val="continuous"/>
          <w:pgSz w:w="12250" w:h="15850"/>
          <w:pgMar w:top="840" w:bottom="280" w:left="860" w:right="820"/>
        </w:sectPr>
      </w:pPr>
    </w:p>
    <w:p>
      <w:pPr>
        <w:pStyle w:val="ListParagraph"/>
        <w:numPr>
          <w:ilvl w:val="1"/>
          <w:numId w:val="39"/>
        </w:numPr>
        <w:tabs>
          <w:tab w:pos="1070" w:val="left" w:leader="none"/>
        </w:tabs>
        <w:spacing w:line="240" w:lineRule="auto" w:before="93" w:after="0"/>
        <w:ind w:left="772" w:right="38" w:firstLine="0"/>
        <w:jc w:val="left"/>
        <w:rPr>
          <w:sz w:val="24"/>
        </w:rPr>
      </w:pPr>
      <w:r>
        <w:rPr>
          <w:sz w:val="24"/>
        </w:rPr>
        <w:t>Resellado de verificación en canal producto cárnico, bovino y porcino</w:t>
      </w:r>
    </w:p>
    <w:p>
      <w:pPr>
        <w:pStyle w:val="ListParagraph"/>
        <w:numPr>
          <w:ilvl w:val="1"/>
          <w:numId w:val="39"/>
        </w:numPr>
        <w:tabs>
          <w:tab w:pos="1232" w:val="left" w:leader="none"/>
          <w:tab w:pos="1233" w:val="left" w:leader="none"/>
          <w:tab w:pos="2640" w:val="left" w:leader="none"/>
          <w:tab w:pos="4189" w:val="left" w:leader="none"/>
          <w:tab w:pos="5356" w:val="left" w:leader="none"/>
          <w:tab w:pos="5881" w:val="left" w:leader="none"/>
          <w:tab w:pos="6927" w:val="left" w:leader="none"/>
        </w:tabs>
        <w:spacing w:line="240" w:lineRule="auto" w:before="0" w:after="0"/>
        <w:ind w:left="772" w:right="38" w:firstLine="0"/>
        <w:jc w:val="left"/>
        <w:rPr>
          <w:sz w:val="24"/>
        </w:rPr>
      </w:pPr>
      <w:r>
        <w:rPr>
          <w:sz w:val="24"/>
        </w:rPr>
        <w:t>Inspección</w:t>
        <w:tab/>
        <w:t>zoosanitaria</w:t>
        <w:tab/>
        <w:t>mensual</w:t>
        <w:tab/>
        <w:t>en</w:t>
        <w:tab/>
        <w:t>granjas</w:t>
        <w:tab/>
      </w:r>
      <w:r>
        <w:rPr>
          <w:spacing w:val="-4"/>
          <w:sz w:val="24"/>
        </w:rPr>
        <w:t>avícolas </w:t>
      </w:r>
      <w:r>
        <w:rPr>
          <w:sz w:val="24"/>
        </w:rPr>
        <w:t>porcícolas y</w:t>
      </w:r>
      <w:r>
        <w:rPr>
          <w:spacing w:val="-4"/>
          <w:sz w:val="24"/>
        </w:rPr>
        <w:t> </w:t>
      </w:r>
      <w:r>
        <w:rPr>
          <w:sz w:val="24"/>
        </w:rPr>
        <w:t>aparias</w:t>
      </w:r>
    </w:p>
    <w:p>
      <w:pPr>
        <w:pStyle w:val="BodyText"/>
        <w:spacing w:before="93"/>
        <w:ind w:left="772"/>
      </w:pPr>
      <w:r>
        <w:rPr/>
        <w:br w:type="column"/>
      </w:r>
      <w:r>
        <w:rPr/>
        <w:t>150.00</w:t>
      </w:r>
    </w:p>
    <w:p>
      <w:pPr>
        <w:pStyle w:val="BodyText"/>
      </w:pPr>
    </w:p>
    <w:p>
      <w:pPr>
        <w:pStyle w:val="BodyText"/>
        <w:ind w:left="772"/>
      </w:pPr>
      <w:r>
        <w:rPr/>
        <w:t>200.00</w:t>
      </w:r>
    </w:p>
    <w:p>
      <w:pPr>
        <w:spacing w:after="0"/>
        <w:sectPr>
          <w:type w:val="continuous"/>
          <w:pgSz w:w="12250" w:h="15850"/>
          <w:pgMar w:top="840" w:bottom="280" w:left="860" w:right="820"/>
          <w:cols w:num="2" w:equalWidth="0">
            <w:col w:w="7848" w:space="395"/>
            <w:col w:w="2327"/>
          </w:cols>
        </w:sectPr>
      </w:pPr>
    </w:p>
    <w:p>
      <w:pPr>
        <w:pStyle w:val="BodyText"/>
        <w:rPr>
          <w:sz w:val="16"/>
        </w:rPr>
      </w:pPr>
    </w:p>
    <w:p>
      <w:pPr>
        <w:pStyle w:val="Heading1"/>
        <w:spacing w:before="92"/>
        <w:ind w:left="1247" w:right="1283"/>
        <w:jc w:val="center"/>
      </w:pPr>
      <w:r>
        <w:rPr/>
        <w:t>Capítulo Décimo Primero</w:t>
      </w:r>
    </w:p>
    <w:p>
      <w:pPr>
        <w:spacing w:before="0"/>
        <w:ind w:left="446" w:right="484" w:firstLine="0"/>
        <w:jc w:val="center"/>
        <w:rPr>
          <w:b/>
          <w:sz w:val="24"/>
        </w:rPr>
      </w:pPr>
      <w:r>
        <w:rPr>
          <w:b/>
          <w:sz w:val="24"/>
        </w:rPr>
        <w:t>Licencias, permisos, refrendos y anuencias en general para funcionamiento de negocios con y sin venta de alcohol</w:t>
      </w:r>
    </w:p>
    <w:p>
      <w:pPr>
        <w:pStyle w:val="BodyText"/>
        <w:rPr>
          <w:b/>
        </w:rPr>
      </w:pPr>
    </w:p>
    <w:p>
      <w:pPr>
        <w:pStyle w:val="BodyText"/>
        <w:ind w:left="400" w:right="437"/>
        <w:jc w:val="both"/>
      </w:pPr>
      <w:r>
        <w:rPr>
          <w:b/>
        </w:rPr>
        <w:t>Artículo 23.- </w:t>
      </w:r>
      <w:r>
        <w:rPr/>
        <w:t>Quienes ejerzan actividades comerciales, industriales, de prestación de servicios o espectáculos públicos, en locales de propiedad privada o pública y que efectúen venta de bebidas alcohólicas o que en la prestación de servicios incluyan el expendio de dichas bebidas, siempre que se efectúen total o parcialmente con el público en general, deberán obtener previamente la anuencia de la Tesorería Municipal y pagar los derechos correspondientes por cada uno de los eventos que realicen, del tipo</w:t>
      </w:r>
      <w:r>
        <w:rPr>
          <w:spacing w:val="-26"/>
        </w:rPr>
        <w:t> </w:t>
      </w:r>
      <w:r>
        <w:rPr/>
        <w:t>siguiente:</w:t>
      </w:r>
    </w:p>
    <w:p>
      <w:pPr>
        <w:pStyle w:val="BodyText"/>
        <w:spacing w:before="1"/>
      </w:pPr>
    </w:p>
    <w:p>
      <w:pPr>
        <w:pStyle w:val="ListParagraph"/>
        <w:numPr>
          <w:ilvl w:val="0"/>
          <w:numId w:val="45"/>
        </w:numPr>
        <w:tabs>
          <w:tab w:pos="967" w:val="left" w:leader="none"/>
        </w:tabs>
        <w:spacing w:line="240" w:lineRule="auto" w:before="0" w:after="0"/>
        <w:ind w:left="966" w:right="440" w:hanging="579"/>
        <w:jc w:val="both"/>
        <w:rPr>
          <w:sz w:val="24"/>
        </w:rPr>
      </w:pPr>
      <w:r>
        <w:rPr>
          <w:sz w:val="24"/>
        </w:rPr>
        <w:t>Bailes, conciertos, audiciones musicales, obras de teatros comerciales, tertulias, tardeadas, ferias, kermeses, música en vivo, funciones de box, lucha libre, futbol, básquetbol, volibol y otros espectáculos públicos deportivos o diversión pública, que tengan lugar en locales públicos o privados, así como en la vía pública, en forma eventual con venta o consumo de bebidas alcohólicas de baja graduación (de 2º a 6º GL) y alta graduación (de 6.1º GL en adelante), pagarán por</w:t>
      </w:r>
      <w:r>
        <w:rPr>
          <w:spacing w:val="-16"/>
          <w:sz w:val="24"/>
        </w:rPr>
        <w:t> </w:t>
      </w:r>
      <w:r>
        <w:rPr>
          <w:sz w:val="24"/>
        </w:rPr>
        <w:t>día:</w:t>
      </w:r>
    </w:p>
    <w:p>
      <w:pPr>
        <w:pStyle w:val="BodyText"/>
      </w:pPr>
    </w:p>
    <w:p>
      <w:pPr>
        <w:pStyle w:val="ListParagraph"/>
        <w:numPr>
          <w:ilvl w:val="1"/>
          <w:numId w:val="45"/>
        </w:numPr>
        <w:tabs>
          <w:tab w:pos="1252" w:val="left" w:leader="none"/>
          <w:tab w:pos="1253" w:val="left" w:leader="none"/>
        </w:tabs>
        <w:spacing w:line="240" w:lineRule="auto" w:before="0" w:after="0"/>
        <w:ind w:left="1252" w:right="441" w:hanging="569"/>
        <w:jc w:val="left"/>
        <w:rPr>
          <w:sz w:val="24"/>
        </w:rPr>
      </w:pPr>
      <w:r>
        <w:rPr>
          <w:sz w:val="24"/>
        </w:rPr>
        <w:t>Eventos atendiendo al aforo del lugar donde se lleve a cabo el evento con venta de bebidas de alta graduación de:</w:t>
      </w:r>
    </w:p>
    <w:p>
      <w:pPr>
        <w:pStyle w:val="BodyText"/>
        <w:spacing w:before="8" w:after="1"/>
      </w:pPr>
    </w:p>
    <w:tbl>
      <w:tblPr>
        <w:tblW w:w="0" w:type="auto"/>
        <w:jc w:val="left"/>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11"/>
        <w:gridCol w:w="2540"/>
        <w:gridCol w:w="1317"/>
      </w:tblGrid>
      <w:tr>
        <w:trPr>
          <w:trHeight w:val="276" w:hRule="atLeast"/>
        </w:trPr>
        <w:tc>
          <w:tcPr>
            <w:tcW w:w="5511" w:type="dxa"/>
          </w:tcPr>
          <w:p>
            <w:pPr>
              <w:pStyle w:val="TableParagraph"/>
              <w:spacing w:line="257" w:lineRule="exact"/>
              <w:ind w:left="50"/>
              <w:rPr>
                <w:b/>
                <w:sz w:val="24"/>
              </w:rPr>
            </w:pPr>
            <w:r>
              <w:rPr>
                <w:b/>
                <w:sz w:val="24"/>
              </w:rPr>
              <w:t>Concepto</w:t>
            </w:r>
          </w:p>
        </w:tc>
        <w:tc>
          <w:tcPr>
            <w:tcW w:w="2540" w:type="dxa"/>
          </w:tcPr>
          <w:p>
            <w:pPr>
              <w:pStyle w:val="TableParagraph"/>
              <w:spacing w:line="257" w:lineRule="exact"/>
              <w:ind w:left="1631"/>
              <w:rPr>
                <w:b/>
                <w:sz w:val="24"/>
              </w:rPr>
            </w:pPr>
            <w:r>
              <w:rPr>
                <w:b/>
                <w:sz w:val="24"/>
              </w:rPr>
              <w:t>Pesos</w:t>
            </w:r>
          </w:p>
        </w:tc>
        <w:tc>
          <w:tcPr>
            <w:tcW w:w="1317" w:type="dxa"/>
          </w:tcPr>
          <w:p>
            <w:pPr>
              <w:pStyle w:val="TableParagraph"/>
              <w:rPr>
                <w:rFonts w:ascii="Times New Roman"/>
                <w:sz w:val="20"/>
              </w:rPr>
            </w:pPr>
          </w:p>
        </w:tc>
      </w:tr>
      <w:tr>
        <w:trPr>
          <w:trHeight w:val="284" w:hRule="atLeast"/>
        </w:trPr>
        <w:tc>
          <w:tcPr>
            <w:tcW w:w="5511" w:type="dxa"/>
          </w:tcPr>
          <w:p>
            <w:pPr>
              <w:pStyle w:val="TableParagraph"/>
              <w:spacing w:line="264" w:lineRule="exact" w:before="1"/>
              <w:ind w:left="410"/>
              <w:rPr>
                <w:sz w:val="24"/>
              </w:rPr>
            </w:pPr>
            <w:r>
              <w:rPr>
                <w:sz w:val="24"/>
              </w:rPr>
              <w:t>1) Hasta 300 personas</w:t>
            </w:r>
          </w:p>
        </w:tc>
        <w:tc>
          <w:tcPr>
            <w:tcW w:w="2540" w:type="dxa"/>
          </w:tcPr>
          <w:p>
            <w:pPr>
              <w:pStyle w:val="TableParagraph"/>
              <w:rPr>
                <w:rFonts w:ascii="Times New Roman"/>
                <w:sz w:val="20"/>
              </w:rPr>
            </w:pPr>
          </w:p>
        </w:tc>
        <w:tc>
          <w:tcPr>
            <w:tcW w:w="1317" w:type="dxa"/>
          </w:tcPr>
          <w:p>
            <w:pPr>
              <w:pStyle w:val="TableParagraph"/>
              <w:spacing w:line="264" w:lineRule="exact" w:before="1"/>
              <w:ind w:right="49"/>
              <w:jc w:val="right"/>
              <w:rPr>
                <w:sz w:val="24"/>
              </w:rPr>
            </w:pPr>
            <w:r>
              <w:rPr>
                <w:sz w:val="24"/>
              </w:rPr>
              <w:t>2,268.75</w:t>
            </w:r>
          </w:p>
        </w:tc>
      </w:tr>
      <w:tr>
        <w:trPr>
          <w:trHeight w:val="284" w:hRule="atLeast"/>
        </w:trPr>
        <w:tc>
          <w:tcPr>
            <w:tcW w:w="5511" w:type="dxa"/>
          </w:tcPr>
          <w:p>
            <w:pPr>
              <w:pStyle w:val="TableParagraph"/>
              <w:spacing w:line="264" w:lineRule="exact"/>
              <w:ind w:left="410"/>
              <w:rPr>
                <w:sz w:val="24"/>
              </w:rPr>
            </w:pPr>
            <w:r>
              <w:rPr>
                <w:sz w:val="24"/>
              </w:rPr>
              <w:t>2) 301 hasta 1,000 personas</w:t>
            </w:r>
          </w:p>
        </w:tc>
        <w:tc>
          <w:tcPr>
            <w:tcW w:w="2540" w:type="dxa"/>
          </w:tcPr>
          <w:p>
            <w:pPr>
              <w:pStyle w:val="TableParagraph"/>
              <w:rPr>
                <w:rFonts w:ascii="Times New Roman"/>
                <w:sz w:val="20"/>
              </w:rPr>
            </w:pPr>
          </w:p>
        </w:tc>
        <w:tc>
          <w:tcPr>
            <w:tcW w:w="1317" w:type="dxa"/>
          </w:tcPr>
          <w:p>
            <w:pPr>
              <w:pStyle w:val="TableParagraph"/>
              <w:spacing w:line="264" w:lineRule="exact"/>
              <w:ind w:right="49"/>
              <w:jc w:val="right"/>
              <w:rPr>
                <w:sz w:val="24"/>
              </w:rPr>
            </w:pPr>
            <w:r>
              <w:rPr>
                <w:sz w:val="24"/>
              </w:rPr>
              <w:t>3,782.14</w:t>
            </w:r>
          </w:p>
        </w:tc>
      </w:tr>
      <w:tr>
        <w:trPr>
          <w:trHeight w:val="285" w:hRule="atLeast"/>
        </w:trPr>
        <w:tc>
          <w:tcPr>
            <w:tcW w:w="5511" w:type="dxa"/>
          </w:tcPr>
          <w:p>
            <w:pPr>
              <w:pStyle w:val="TableParagraph"/>
              <w:spacing w:line="265" w:lineRule="exact" w:before="1"/>
              <w:ind w:left="410"/>
              <w:rPr>
                <w:sz w:val="24"/>
              </w:rPr>
            </w:pPr>
            <w:r>
              <w:rPr>
                <w:sz w:val="24"/>
              </w:rPr>
              <w:t>3) 1,001 hasta 2,000 personas</w:t>
            </w:r>
          </w:p>
        </w:tc>
        <w:tc>
          <w:tcPr>
            <w:tcW w:w="2540" w:type="dxa"/>
          </w:tcPr>
          <w:p>
            <w:pPr>
              <w:pStyle w:val="TableParagraph"/>
              <w:rPr>
                <w:rFonts w:ascii="Times New Roman"/>
                <w:sz w:val="20"/>
              </w:rPr>
            </w:pPr>
          </w:p>
        </w:tc>
        <w:tc>
          <w:tcPr>
            <w:tcW w:w="1317" w:type="dxa"/>
          </w:tcPr>
          <w:p>
            <w:pPr>
              <w:pStyle w:val="TableParagraph"/>
              <w:spacing w:line="265" w:lineRule="exact" w:before="1"/>
              <w:ind w:right="50"/>
              <w:jc w:val="right"/>
              <w:rPr>
                <w:sz w:val="24"/>
              </w:rPr>
            </w:pPr>
            <w:r>
              <w:rPr>
                <w:sz w:val="24"/>
              </w:rPr>
              <w:t>12,103.57</w:t>
            </w:r>
          </w:p>
        </w:tc>
      </w:tr>
      <w:tr>
        <w:trPr>
          <w:trHeight w:val="285" w:hRule="atLeast"/>
        </w:trPr>
        <w:tc>
          <w:tcPr>
            <w:tcW w:w="5511" w:type="dxa"/>
          </w:tcPr>
          <w:p>
            <w:pPr>
              <w:pStyle w:val="TableParagraph"/>
              <w:spacing w:line="265" w:lineRule="exact" w:before="1"/>
              <w:ind w:left="410"/>
              <w:rPr>
                <w:sz w:val="24"/>
              </w:rPr>
            </w:pPr>
            <w:r>
              <w:rPr>
                <w:sz w:val="24"/>
              </w:rPr>
              <w:t>4) 2001 hasta 4,000 personas</w:t>
            </w:r>
          </w:p>
        </w:tc>
        <w:tc>
          <w:tcPr>
            <w:tcW w:w="2540" w:type="dxa"/>
          </w:tcPr>
          <w:p>
            <w:pPr>
              <w:pStyle w:val="TableParagraph"/>
              <w:rPr>
                <w:rFonts w:ascii="Times New Roman"/>
                <w:sz w:val="20"/>
              </w:rPr>
            </w:pPr>
          </w:p>
        </w:tc>
        <w:tc>
          <w:tcPr>
            <w:tcW w:w="1317" w:type="dxa"/>
          </w:tcPr>
          <w:p>
            <w:pPr>
              <w:pStyle w:val="TableParagraph"/>
              <w:spacing w:line="265" w:lineRule="exact" w:before="1"/>
              <w:ind w:right="50"/>
              <w:jc w:val="right"/>
              <w:rPr>
                <w:sz w:val="24"/>
              </w:rPr>
            </w:pPr>
            <w:r>
              <w:rPr>
                <w:sz w:val="24"/>
              </w:rPr>
              <w:t>24,965.18</w:t>
            </w:r>
          </w:p>
        </w:tc>
      </w:tr>
      <w:tr>
        <w:trPr>
          <w:trHeight w:val="284" w:hRule="atLeast"/>
        </w:trPr>
        <w:tc>
          <w:tcPr>
            <w:tcW w:w="5511" w:type="dxa"/>
          </w:tcPr>
          <w:p>
            <w:pPr>
              <w:pStyle w:val="TableParagraph"/>
              <w:spacing w:line="264" w:lineRule="exact" w:before="1"/>
              <w:ind w:left="410"/>
              <w:rPr>
                <w:sz w:val="24"/>
              </w:rPr>
            </w:pPr>
            <w:r>
              <w:rPr>
                <w:sz w:val="24"/>
              </w:rPr>
              <w:t>5) 4001 hasta 6,000personas</w:t>
            </w:r>
          </w:p>
        </w:tc>
        <w:tc>
          <w:tcPr>
            <w:tcW w:w="2540" w:type="dxa"/>
          </w:tcPr>
          <w:p>
            <w:pPr>
              <w:pStyle w:val="TableParagraph"/>
              <w:rPr>
                <w:rFonts w:ascii="Times New Roman"/>
                <w:sz w:val="20"/>
              </w:rPr>
            </w:pPr>
          </w:p>
        </w:tc>
        <w:tc>
          <w:tcPr>
            <w:tcW w:w="1317" w:type="dxa"/>
          </w:tcPr>
          <w:p>
            <w:pPr>
              <w:pStyle w:val="TableParagraph"/>
              <w:spacing w:line="264" w:lineRule="exact" w:before="1"/>
              <w:ind w:right="50"/>
              <w:jc w:val="right"/>
              <w:rPr>
                <w:sz w:val="24"/>
              </w:rPr>
            </w:pPr>
            <w:r>
              <w:rPr>
                <w:sz w:val="24"/>
              </w:rPr>
              <w:t>26,477.68</w:t>
            </w:r>
          </w:p>
        </w:tc>
      </w:tr>
      <w:tr>
        <w:trPr>
          <w:trHeight w:val="284" w:hRule="atLeast"/>
        </w:trPr>
        <w:tc>
          <w:tcPr>
            <w:tcW w:w="5511" w:type="dxa"/>
          </w:tcPr>
          <w:p>
            <w:pPr>
              <w:pStyle w:val="TableParagraph"/>
              <w:spacing w:line="264" w:lineRule="exact"/>
              <w:ind w:left="410"/>
              <w:rPr>
                <w:sz w:val="24"/>
              </w:rPr>
            </w:pPr>
            <w:r>
              <w:rPr>
                <w:sz w:val="24"/>
              </w:rPr>
              <w:t>6) 6001 hasta 8,000personas</w:t>
            </w:r>
          </w:p>
        </w:tc>
        <w:tc>
          <w:tcPr>
            <w:tcW w:w="2540" w:type="dxa"/>
          </w:tcPr>
          <w:p>
            <w:pPr>
              <w:pStyle w:val="TableParagraph"/>
              <w:rPr>
                <w:rFonts w:ascii="Times New Roman"/>
                <w:sz w:val="20"/>
              </w:rPr>
            </w:pPr>
          </w:p>
        </w:tc>
        <w:tc>
          <w:tcPr>
            <w:tcW w:w="1317" w:type="dxa"/>
          </w:tcPr>
          <w:p>
            <w:pPr>
              <w:pStyle w:val="TableParagraph"/>
              <w:spacing w:line="264" w:lineRule="exact"/>
              <w:ind w:right="50"/>
              <w:jc w:val="right"/>
              <w:rPr>
                <w:sz w:val="24"/>
              </w:rPr>
            </w:pPr>
            <w:r>
              <w:rPr>
                <w:sz w:val="24"/>
              </w:rPr>
              <w:t>27,991.07</w:t>
            </w:r>
          </w:p>
        </w:tc>
      </w:tr>
      <w:tr>
        <w:trPr>
          <w:trHeight w:val="285" w:hRule="atLeast"/>
        </w:trPr>
        <w:tc>
          <w:tcPr>
            <w:tcW w:w="5511" w:type="dxa"/>
          </w:tcPr>
          <w:p>
            <w:pPr>
              <w:pStyle w:val="TableParagraph"/>
              <w:spacing w:line="265" w:lineRule="exact" w:before="1"/>
              <w:ind w:left="410"/>
              <w:rPr>
                <w:sz w:val="24"/>
              </w:rPr>
            </w:pPr>
            <w:r>
              <w:rPr>
                <w:sz w:val="24"/>
              </w:rPr>
              <w:t>7) 8001 hasta 10,000personas</w:t>
            </w:r>
          </w:p>
        </w:tc>
        <w:tc>
          <w:tcPr>
            <w:tcW w:w="2540" w:type="dxa"/>
          </w:tcPr>
          <w:p>
            <w:pPr>
              <w:pStyle w:val="TableParagraph"/>
              <w:rPr>
                <w:rFonts w:ascii="Times New Roman"/>
                <w:sz w:val="20"/>
              </w:rPr>
            </w:pPr>
          </w:p>
        </w:tc>
        <w:tc>
          <w:tcPr>
            <w:tcW w:w="1317" w:type="dxa"/>
          </w:tcPr>
          <w:p>
            <w:pPr>
              <w:pStyle w:val="TableParagraph"/>
              <w:spacing w:line="265" w:lineRule="exact" w:before="1"/>
              <w:ind w:right="50"/>
              <w:jc w:val="right"/>
              <w:rPr>
                <w:sz w:val="24"/>
              </w:rPr>
            </w:pPr>
            <w:r>
              <w:rPr>
                <w:sz w:val="24"/>
              </w:rPr>
              <w:t>29,493.75</w:t>
            </w:r>
          </w:p>
        </w:tc>
      </w:tr>
      <w:tr>
        <w:trPr>
          <w:trHeight w:val="276" w:hRule="atLeast"/>
        </w:trPr>
        <w:tc>
          <w:tcPr>
            <w:tcW w:w="5511" w:type="dxa"/>
          </w:tcPr>
          <w:p>
            <w:pPr>
              <w:pStyle w:val="TableParagraph"/>
              <w:spacing w:line="256" w:lineRule="exact" w:before="1"/>
              <w:ind w:left="410"/>
              <w:rPr>
                <w:sz w:val="24"/>
              </w:rPr>
            </w:pPr>
            <w:r>
              <w:rPr>
                <w:sz w:val="24"/>
              </w:rPr>
              <w:t>8) 10,001 personas en adelante</w:t>
            </w:r>
          </w:p>
        </w:tc>
        <w:tc>
          <w:tcPr>
            <w:tcW w:w="2540" w:type="dxa"/>
          </w:tcPr>
          <w:p>
            <w:pPr>
              <w:pStyle w:val="TableParagraph"/>
              <w:rPr>
                <w:rFonts w:ascii="Times New Roman"/>
                <w:sz w:val="20"/>
              </w:rPr>
            </w:pPr>
          </w:p>
        </w:tc>
        <w:tc>
          <w:tcPr>
            <w:tcW w:w="1317" w:type="dxa"/>
          </w:tcPr>
          <w:p>
            <w:pPr>
              <w:pStyle w:val="TableParagraph"/>
              <w:spacing w:line="256" w:lineRule="exact" w:before="1"/>
              <w:ind w:right="50"/>
              <w:jc w:val="right"/>
              <w:rPr>
                <w:sz w:val="24"/>
              </w:rPr>
            </w:pPr>
            <w:r>
              <w:rPr>
                <w:sz w:val="24"/>
              </w:rPr>
              <w:t>30,260.71</w:t>
            </w:r>
          </w:p>
        </w:tc>
      </w:tr>
    </w:tbl>
    <w:p>
      <w:pPr>
        <w:spacing w:after="0" w:line="256" w:lineRule="exact"/>
        <w:jc w:val="right"/>
        <w:rPr>
          <w:sz w:val="24"/>
        </w:rPr>
        <w:sectPr>
          <w:type w:val="continuous"/>
          <w:pgSz w:w="12250" w:h="15850"/>
          <w:pgMar w:top="840" w:bottom="280" w:left="860" w:right="820"/>
        </w:sectPr>
      </w:pPr>
    </w:p>
    <w:p>
      <w:pPr>
        <w:pStyle w:val="BodyText"/>
        <w:spacing w:before="1"/>
        <w:rPr>
          <w:sz w:val="9"/>
        </w:rPr>
      </w:pPr>
    </w:p>
    <w:p>
      <w:pPr>
        <w:pStyle w:val="ListParagraph"/>
        <w:numPr>
          <w:ilvl w:val="1"/>
          <w:numId w:val="45"/>
        </w:numPr>
        <w:tabs>
          <w:tab w:pos="1253" w:val="left" w:leader="none"/>
        </w:tabs>
        <w:spacing w:line="240" w:lineRule="auto" w:before="93" w:after="0"/>
        <w:ind w:left="1252" w:right="441" w:hanging="569"/>
        <w:jc w:val="both"/>
        <w:rPr>
          <w:sz w:val="24"/>
        </w:rPr>
      </w:pPr>
      <w:r>
        <w:rPr/>
        <w:drawing>
          <wp:anchor distT="0" distB="0" distL="0" distR="0" allowOverlap="1" layoutInCell="1" locked="0" behindDoc="1" simplePos="0" relativeHeight="227511296">
            <wp:simplePos x="0" y="0"/>
            <wp:positionH relativeFrom="page">
              <wp:posOffset>1252555</wp:posOffset>
            </wp:positionH>
            <wp:positionV relativeFrom="paragraph">
              <wp:posOffset>1344242</wp:posOffset>
            </wp:positionV>
            <wp:extent cx="5022641" cy="5144769"/>
            <wp:effectExtent l="0" t="0" r="0" b="0"/>
            <wp:wrapNone/>
            <wp:docPr id="85" name="image38.png"/>
            <wp:cNvGraphicFramePr>
              <a:graphicFrameLocks noChangeAspect="1"/>
            </wp:cNvGraphicFramePr>
            <a:graphic>
              <a:graphicData uri="http://schemas.openxmlformats.org/drawingml/2006/picture">
                <pic:pic>
                  <pic:nvPicPr>
                    <pic:cNvPr id="86" name="image38.png"/>
                    <pic:cNvPicPr/>
                  </pic:nvPicPr>
                  <pic:blipFill>
                    <a:blip r:embed="rId48" cstate="print"/>
                    <a:stretch>
                      <a:fillRect/>
                    </a:stretch>
                  </pic:blipFill>
                  <pic:spPr>
                    <a:xfrm>
                      <a:off x="0" y="0"/>
                      <a:ext cx="5022641" cy="5144769"/>
                    </a:xfrm>
                    <a:prstGeom prst="rect">
                      <a:avLst/>
                    </a:prstGeom>
                  </pic:spPr>
                </pic:pic>
              </a:graphicData>
            </a:graphic>
          </wp:anchor>
        </w:drawing>
      </w:r>
      <w:r>
        <w:rPr>
          <w:sz w:val="24"/>
        </w:rPr>
        <w:t>Eventos atendiendo al aforo del lugar donde se lleve a cabo el evento con venta de bebidas de baja graduación</w:t>
      </w:r>
      <w:r>
        <w:rPr>
          <w:spacing w:val="-2"/>
          <w:sz w:val="24"/>
        </w:rPr>
        <w:t> </w:t>
      </w:r>
      <w:r>
        <w:rPr>
          <w:sz w:val="24"/>
        </w:rPr>
        <w:t>de:</w:t>
      </w:r>
    </w:p>
    <w:p>
      <w:pPr>
        <w:pStyle w:val="BodyText"/>
        <w:spacing w:before="8"/>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03"/>
        <w:gridCol w:w="2599"/>
        <w:gridCol w:w="1221"/>
      </w:tblGrid>
      <w:tr>
        <w:trPr>
          <w:trHeight w:val="340" w:hRule="atLeast"/>
        </w:trPr>
        <w:tc>
          <w:tcPr>
            <w:tcW w:w="5703" w:type="dxa"/>
          </w:tcPr>
          <w:p>
            <w:pPr>
              <w:pStyle w:val="TableParagraph"/>
              <w:spacing w:line="268" w:lineRule="exact"/>
              <w:ind w:left="50"/>
              <w:rPr>
                <w:b/>
                <w:sz w:val="24"/>
              </w:rPr>
            </w:pPr>
            <w:r>
              <w:rPr>
                <w:b/>
                <w:sz w:val="24"/>
              </w:rPr>
              <w:t>Concepto</w:t>
            </w:r>
          </w:p>
        </w:tc>
        <w:tc>
          <w:tcPr>
            <w:tcW w:w="2599" w:type="dxa"/>
          </w:tcPr>
          <w:p>
            <w:pPr>
              <w:pStyle w:val="TableParagraph"/>
              <w:spacing w:line="268" w:lineRule="exact"/>
              <w:ind w:right="99"/>
              <w:jc w:val="right"/>
              <w:rPr>
                <w:b/>
                <w:sz w:val="24"/>
              </w:rPr>
            </w:pPr>
            <w:r>
              <w:rPr>
                <w:b/>
                <w:w w:val="95"/>
                <w:sz w:val="24"/>
              </w:rPr>
              <w:t>Pesos</w:t>
            </w:r>
          </w:p>
        </w:tc>
        <w:tc>
          <w:tcPr>
            <w:tcW w:w="1221" w:type="dxa"/>
          </w:tcPr>
          <w:p>
            <w:pPr>
              <w:pStyle w:val="TableParagraph"/>
              <w:rPr>
                <w:rFonts w:ascii="Times New Roman"/>
                <w:sz w:val="24"/>
              </w:rPr>
            </w:pPr>
          </w:p>
        </w:tc>
      </w:tr>
      <w:tr>
        <w:trPr>
          <w:trHeight w:val="344" w:hRule="atLeast"/>
        </w:trPr>
        <w:tc>
          <w:tcPr>
            <w:tcW w:w="5703" w:type="dxa"/>
          </w:tcPr>
          <w:p>
            <w:pPr>
              <w:pStyle w:val="TableParagraph"/>
              <w:tabs>
                <w:tab w:pos="808" w:val="left" w:leader="none"/>
              </w:tabs>
              <w:spacing w:line="260" w:lineRule="exact" w:before="64"/>
              <w:ind w:left="383"/>
              <w:rPr>
                <w:sz w:val="24"/>
              </w:rPr>
            </w:pPr>
            <w:r>
              <w:rPr>
                <w:sz w:val="24"/>
              </w:rPr>
              <w:t>1)</w:t>
              <w:tab/>
              <w:t>Hasta 300</w:t>
            </w:r>
            <w:r>
              <w:rPr>
                <w:spacing w:val="-3"/>
                <w:sz w:val="24"/>
              </w:rPr>
              <w:t> </w:t>
            </w:r>
            <w:r>
              <w:rPr>
                <w:sz w:val="24"/>
              </w:rPr>
              <w:t>personas</w:t>
            </w:r>
          </w:p>
        </w:tc>
        <w:tc>
          <w:tcPr>
            <w:tcW w:w="2599" w:type="dxa"/>
          </w:tcPr>
          <w:p>
            <w:pPr>
              <w:pStyle w:val="TableParagraph"/>
              <w:rPr>
                <w:rFonts w:ascii="Times New Roman"/>
                <w:sz w:val="24"/>
              </w:rPr>
            </w:pPr>
          </w:p>
        </w:tc>
        <w:tc>
          <w:tcPr>
            <w:tcW w:w="1221" w:type="dxa"/>
          </w:tcPr>
          <w:p>
            <w:pPr>
              <w:pStyle w:val="TableParagraph"/>
              <w:spacing w:line="260" w:lineRule="exact" w:before="64"/>
              <w:ind w:right="48"/>
              <w:jc w:val="right"/>
              <w:rPr>
                <w:sz w:val="24"/>
              </w:rPr>
            </w:pPr>
            <w:r>
              <w:rPr>
                <w:sz w:val="24"/>
              </w:rPr>
              <w:t>1,133.93</w:t>
            </w:r>
          </w:p>
        </w:tc>
      </w:tr>
      <w:tr>
        <w:trPr>
          <w:trHeight w:val="275" w:hRule="atLeast"/>
        </w:trPr>
        <w:tc>
          <w:tcPr>
            <w:tcW w:w="5703" w:type="dxa"/>
          </w:tcPr>
          <w:p>
            <w:pPr>
              <w:pStyle w:val="TableParagraph"/>
              <w:tabs>
                <w:tab w:pos="808" w:val="left" w:leader="none"/>
              </w:tabs>
              <w:spacing w:line="256" w:lineRule="exact"/>
              <w:ind w:left="383"/>
              <w:rPr>
                <w:sz w:val="24"/>
              </w:rPr>
            </w:pPr>
            <w:r>
              <w:rPr>
                <w:sz w:val="24"/>
              </w:rPr>
              <w:t>2)</w:t>
              <w:tab/>
              <w:t>301 hasta 1,000</w:t>
            </w:r>
            <w:r>
              <w:rPr>
                <w:spacing w:val="-3"/>
                <w:sz w:val="24"/>
              </w:rPr>
              <w:t> </w:t>
            </w:r>
            <w:r>
              <w:rPr>
                <w:sz w:val="24"/>
              </w:rPr>
              <w:t>personas</w:t>
            </w:r>
          </w:p>
        </w:tc>
        <w:tc>
          <w:tcPr>
            <w:tcW w:w="2599" w:type="dxa"/>
          </w:tcPr>
          <w:p>
            <w:pPr>
              <w:pStyle w:val="TableParagraph"/>
              <w:rPr>
                <w:rFonts w:ascii="Times New Roman"/>
                <w:sz w:val="20"/>
              </w:rPr>
            </w:pPr>
          </w:p>
        </w:tc>
        <w:tc>
          <w:tcPr>
            <w:tcW w:w="1221" w:type="dxa"/>
          </w:tcPr>
          <w:p>
            <w:pPr>
              <w:pStyle w:val="TableParagraph"/>
              <w:spacing w:line="256" w:lineRule="exact"/>
              <w:ind w:right="48"/>
              <w:jc w:val="right"/>
              <w:rPr>
                <w:sz w:val="24"/>
              </w:rPr>
            </w:pPr>
            <w:r>
              <w:rPr>
                <w:sz w:val="24"/>
              </w:rPr>
              <w:t>1,890.18</w:t>
            </w:r>
          </w:p>
        </w:tc>
      </w:tr>
      <w:tr>
        <w:trPr>
          <w:trHeight w:val="275" w:hRule="atLeast"/>
        </w:trPr>
        <w:tc>
          <w:tcPr>
            <w:tcW w:w="5703" w:type="dxa"/>
          </w:tcPr>
          <w:p>
            <w:pPr>
              <w:pStyle w:val="TableParagraph"/>
              <w:tabs>
                <w:tab w:pos="808" w:val="left" w:leader="none"/>
              </w:tabs>
              <w:spacing w:line="256" w:lineRule="exact"/>
              <w:ind w:left="383"/>
              <w:rPr>
                <w:sz w:val="24"/>
              </w:rPr>
            </w:pPr>
            <w:r>
              <w:rPr>
                <w:sz w:val="24"/>
              </w:rPr>
              <w:t>3)</w:t>
              <w:tab/>
              <w:t>1,001 hasta 2,000</w:t>
            </w:r>
            <w:r>
              <w:rPr>
                <w:spacing w:val="-4"/>
                <w:sz w:val="24"/>
              </w:rPr>
              <w:t> </w:t>
            </w:r>
            <w:r>
              <w:rPr>
                <w:sz w:val="24"/>
              </w:rPr>
              <w:t>personas</w:t>
            </w:r>
          </w:p>
        </w:tc>
        <w:tc>
          <w:tcPr>
            <w:tcW w:w="2599" w:type="dxa"/>
          </w:tcPr>
          <w:p>
            <w:pPr>
              <w:pStyle w:val="TableParagraph"/>
              <w:rPr>
                <w:rFonts w:ascii="Times New Roman"/>
                <w:sz w:val="20"/>
              </w:rPr>
            </w:pPr>
          </w:p>
        </w:tc>
        <w:tc>
          <w:tcPr>
            <w:tcW w:w="1221" w:type="dxa"/>
          </w:tcPr>
          <w:p>
            <w:pPr>
              <w:pStyle w:val="TableParagraph"/>
              <w:spacing w:line="256" w:lineRule="exact"/>
              <w:ind w:right="48"/>
              <w:jc w:val="right"/>
              <w:rPr>
                <w:sz w:val="24"/>
              </w:rPr>
            </w:pPr>
            <w:r>
              <w:rPr>
                <w:sz w:val="24"/>
              </w:rPr>
              <w:t>5,294.64</w:t>
            </w:r>
          </w:p>
        </w:tc>
      </w:tr>
      <w:tr>
        <w:trPr>
          <w:trHeight w:val="276" w:hRule="atLeast"/>
        </w:trPr>
        <w:tc>
          <w:tcPr>
            <w:tcW w:w="5703" w:type="dxa"/>
          </w:tcPr>
          <w:p>
            <w:pPr>
              <w:pStyle w:val="TableParagraph"/>
              <w:tabs>
                <w:tab w:pos="808" w:val="left" w:leader="none"/>
              </w:tabs>
              <w:spacing w:line="256" w:lineRule="exact"/>
              <w:ind w:left="383"/>
              <w:rPr>
                <w:sz w:val="24"/>
              </w:rPr>
            </w:pPr>
            <w:r>
              <w:rPr>
                <w:sz w:val="24"/>
              </w:rPr>
              <w:t>4)</w:t>
              <w:tab/>
              <w:t>2001 hasta 4,000</w:t>
            </w:r>
            <w:r>
              <w:rPr>
                <w:spacing w:val="-4"/>
                <w:sz w:val="24"/>
              </w:rPr>
              <w:t> </w:t>
            </w:r>
            <w:r>
              <w:rPr>
                <w:sz w:val="24"/>
              </w:rPr>
              <w:t>personas</w:t>
            </w:r>
          </w:p>
        </w:tc>
        <w:tc>
          <w:tcPr>
            <w:tcW w:w="2599" w:type="dxa"/>
          </w:tcPr>
          <w:p>
            <w:pPr>
              <w:pStyle w:val="TableParagraph"/>
              <w:rPr>
                <w:rFonts w:ascii="Times New Roman"/>
                <w:sz w:val="20"/>
              </w:rPr>
            </w:pPr>
          </w:p>
        </w:tc>
        <w:tc>
          <w:tcPr>
            <w:tcW w:w="1221" w:type="dxa"/>
          </w:tcPr>
          <w:p>
            <w:pPr>
              <w:pStyle w:val="TableParagraph"/>
              <w:spacing w:line="256" w:lineRule="exact"/>
              <w:ind w:right="49"/>
              <w:jc w:val="right"/>
              <w:rPr>
                <w:sz w:val="24"/>
              </w:rPr>
            </w:pPr>
            <w:r>
              <w:rPr>
                <w:sz w:val="24"/>
              </w:rPr>
              <w:t>11,347.32</w:t>
            </w:r>
          </w:p>
        </w:tc>
      </w:tr>
      <w:tr>
        <w:trPr>
          <w:trHeight w:val="275" w:hRule="atLeast"/>
        </w:trPr>
        <w:tc>
          <w:tcPr>
            <w:tcW w:w="5703" w:type="dxa"/>
          </w:tcPr>
          <w:p>
            <w:pPr>
              <w:pStyle w:val="TableParagraph"/>
              <w:tabs>
                <w:tab w:pos="808" w:val="left" w:leader="none"/>
              </w:tabs>
              <w:spacing w:line="256" w:lineRule="exact"/>
              <w:ind w:left="383"/>
              <w:rPr>
                <w:sz w:val="24"/>
              </w:rPr>
            </w:pPr>
            <w:r>
              <w:rPr>
                <w:sz w:val="24"/>
              </w:rPr>
              <w:t>5)</w:t>
              <w:tab/>
              <w:t>4001 hasta</w:t>
            </w:r>
            <w:r>
              <w:rPr>
                <w:spacing w:val="-2"/>
                <w:sz w:val="24"/>
              </w:rPr>
              <w:t> </w:t>
            </w:r>
            <w:r>
              <w:rPr>
                <w:sz w:val="24"/>
              </w:rPr>
              <w:t>6,000personas</w:t>
            </w:r>
          </w:p>
        </w:tc>
        <w:tc>
          <w:tcPr>
            <w:tcW w:w="2599" w:type="dxa"/>
          </w:tcPr>
          <w:p>
            <w:pPr>
              <w:pStyle w:val="TableParagraph"/>
              <w:rPr>
                <w:rFonts w:ascii="Times New Roman"/>
                <w:sz w:val="20"/>
              </w:rPr>
            </w:pPr>
          </w:p>
        </w:tc>
        <w:tc>
          <w:tcPr>
            <w:tcW w:w="1221" w:type="dxa"/>
          </w:tcPr>
          <w:p>
            <w:pPr>
              <w:pStyle w:val="TableParagraph"/>
              <w:spacing w:line="256" w:lineRule="exact"/>
              <w:ind w:right="49"/>
              <w:jc w:val="right"/>
              <w:rPr>
                <w:sz w:val="24"/>
              </w:rPr>
            </w:pPr>
            <w:r>
              <w:rPr>
                <w:sz w:val="24"/>
              </w:rPr>
              <w:t>13,616.07</w:t>
            </w:r>
          </w:p>
        </w:tc>
      </w:tr>
      <w:tr>
        <w:trPr>
          <w:trHeight w:val="276" w:hRule="atLeast"/>
        </w:trPr>
        <w:tc>
          <w:tcPr>
            <w:tcW w:w="5703" w:type="dxa"/>
          </w:tcPr>
          <w:p>
            <w:pPr>
              <w:pStyle w:val="TableParagraph"/>
              <w:tabs>
                <w:tab w:pos="808" w:val="left" w:leader="none"/>
              </w:tabs>
              <w:spacing w:line="256" w:lineRule="exact"/>
              <w:ind w:left="383"/>
              <w:rPr>
                <w:sz w:val="24"/>
              </w:rPr>
            </w:pPr>
            <w:r>
              <w:rPr>
                <w:sz w:val="24"/>
              </w:rPr>
              <w:t>6)</w:t>
              <w:tab/>
              <w:t>6001 hasta</w:t>
            </w:r>
            <w:r>
              <w:rPr>
                <w:spacing w:val="-2"/>
                <w:sz w:val="24"/>
              </w:rPr>
              <w:t> </w:t>
            </w:r>
            <w:r>
              <w:rPr>
                <w:sz w:val="24"/>
              </w:rPr>
              <w:t>8,000personas</w:t>
            </w:r>
          </w:p>
        </w:tc>
        <w:tc>
          <w:tcPr>
            <w:tcW w:w="2599" w:type="dxa"/>
          </w:tcPr>
          <w:p>
            <w:pPr>
              <w:pStyle w:val="TableParagraph"/>
              <w:rPr>
                <w:rFonts w:ascii="Times New Roman"/>
                <w:sz w:val="20"/>
              </w:rPr>
            </w:pPr>
          </w:p>
        </w:tc>
        <w:tc>
          <w:tcPr>
            <w:tcW w:w="1221" w:type="dxa"/>
          </w:tcPr>
          <w:p>
            <w:pPr>
              <w:pStyle w:val="TableParagraph"/>
              <w:spacing w:line="256" w:lineRule="exact"/>
              <w:ind w:right="49"/>
              <w:jc w:val="right"/>
              <w:rPr>
                <w:sz w:val="24"/>
              </w:rPr>
            </w:pPr>
            <w:r>
              <w:rPr>
                <w:sz w:val="24"/>
              </w:rPr>
              <w:t>15,886.61</w:t>
            </w:r>
          </w:p>
        </w:tc>
      </w:tr>
      <w:tr>
        <w:trPr>
          <w:trHeight w:val="275" w:hRule="atLeast"/>
        </w:trPr>
        <w:tc>
          <w:tcPr>
            <w:tcW w:w="5703" w:type="dxa"/>
          </w:tcPr>
          <w:p>
            <w:pPr>
              <w:pStyle w:val="TableParagraph"/>
              <w:tabs>
                <w:tab w:pos="808" w:val="left" w:leader="none"/>
              </w:tabs>
              <w:spacing w:line="256" w:lineRule="exact"/>
              <w:ind w:left="383"/>
              <w:rPr>
                <w:sz w:val="24"/>
              </w:rPr>
            </w:pPr>
            <w:r>
              <w:rPr>
                <w:sz w:val="24"/>
              </w:rPr>
              <w:t>7)</w:t>
              <w:tab/>
              <w:t>8001 hasta</w:t>
            </w:r>
            <w:r>
              <w:rPr>
                <w:spacing w:val="-2"/>
                <w:sz w:val="24"/>
              </w:rPr>
              <w:t> </w:t>
            </w:r>
            <w:r>
              <w:rPr>
                <w:sz w:val="24"/>
              </w:rPr>
              <w:t>10,000personas</w:t>
            </w:r>
          </w:p>
        </w:tc>
        <w:tc>
          <w:tcPr>
            <w:tcW w:w="2599" w:type="dxa"/>
          </w:tcPr>
          <w:p>
            <w:pPr>
              <w:pStyle w:val="TableParagraph"/>
              <w:rPr>
                <w:rFonts w:ascii="Times New Roman"/>
                <w:sz w:val="20"/>
              </w:rPr>
            </w:pPr>
          </w:p>
        </w:tc>
        <w:tc>
          <w:tcPr>
            <w:tcW w:w="1221" w:type="dxa"/>
          </w:tcPr>
          <w:p>
            <w:pPr>
              <w:pStyle w:val="TableParagraph"/>
              <w:spacing w:line="256" w:lineRule="exact"/>
              <w:ind w:right="49"/>
              <w:jc w:val="right"/>
              <w:rPr>
                <w:sz w:val="24"/>
              </w:rPr>
            </w:pPr>
            <w:r>
              <w:rPr>
                <w:sz w:val="24"/>
              </w:rPr>
              <w:t>18,156.25</w:t>
            </w:r>
          </w:p>
        </w:tc>
      </w:tr>
      <w:tr>
        <w:trPr>
          <w:trHeight w:val="272" w:hRule="atLeast"/>
        </w:trPr>
        <w:tc>
          <w:tcPr>
            <w:tcW w:w="5703" w:type="dxa"/>
          </w:tcPr>
          <w:p>
            <w:pPr>
              <w:pStyle w:val="TableParagraph"/>
              <w:tabs>
                <w:tab w:pos="808" w:val="left" w:leader="none"/>
              </w:tabs>
              <w:spacing w:line="252" w:lineRule="exact"/>
              <w:ind w:left="383"/>
              <w:rPr>
                <w:sz w:val="24"/>
              </w:rPr>
            </w:pPr>
            <w:r>
              <w:rPr>
                <w:sz w:val="24"/>
              </w:rPr>
              <w:t>8)</w:t>
              <w:tab/>
              <w:t>10,001 personas en</w:t>
            </w:r>
            <w:r>
              <w:rPr>
                <w:spacing w:val="-5"/>
                <w:sz w:val="24"/>
              </w:rPr>
              <w:t> </w:t>
            </w:r>
            <w:r>
              <w:rPr>
                <w:sz w:val="24"/>
              </w:rPr>
              <w:t>adelante</w:t>
            </w:r>
          </w:p>
        </w:tc>
        <w:tc>
          <w:tcPr>
            <w:tcW w:w="2599" w:type="dxa"/>
          </w:tcPr>
          <w:p>
            <w:pPr>
              <w:pStyle w:val="TableParagraph"/>
              <w:rPr>
                <w:rFonts w:ascii="Times New Roman"/>
                <w:sz w:val="20"/>
              </w:rPr>
            </w:pPr>
          </w:p>
        </w:tc>
        <w:tc>
          <w:tcPr>
            <w:tcW w:w="1221" w:type="dxa"/>
          </w:tcPr>
          <w:p>
            <w:pPr>
              <w:pStyle w:val="TableParagraph"/>
              <w:spacing w:line="252" w:lineRule="exact"/>
              <w:ind w:right="49"/>
              <w:jc w:val="right"/>
              <w:rPr>
                <w:sz w:val="24"/>
              </w:rPr>
            </w:pPr>
            <w:r>
              <w:rPr>
                <w:sz w:val="24"/>
              </w:rPr>
              <w:t>18,912.50</w:t>
            </w:r>
          </w:p>
        </w:tc>
      </w:tr>
    </w:tbl>
    <w:p>
      <w:pPr>
        <w:pStyle w:val="BodyText"/>
      </w:pPr>
    </w:p>
    <w:p>
      <w:pPr>
        <w:pStyle w:val="ListParagraph"/>
        <w:numPr>
          <w:ilvl w:val="1"/>
          <w:numId w:val="45"/>
        </w:numPr>
        <w:tabs>
          <w:tab w:pos="1253" w:val="left" w:leader="none"/>
        </w:tabs>
        <w:spacing w:line="240" w:lineRule="auto" w:before="0" w:after="0"/>
        <w:ind w:left="1252" w:right="432" w:hanging="569"/>
        <w:jc w:val="both"/>
        <w:rPr>
          <w:sz w:val="24"/>
        </w:rPr>
      </w:pPr>
      <w:r>
        <w:rPr>
          <w:sz w:val="24"/>
        </w:rPr>
        <w:t>Eventos organizados por las delegaciones o poblados del municipio, siempre y cuando los ingresos sean destinados exclusivamente para el mejoramiento o beneficio de las</w:t>
      </w:r>
      <w:r>
        <w:rPr>
          <w:spacing w:val="-3"/>
          <w:sz w:val="24"/>
        </w:rPr>
        <w:t> </w:t>
      </w:r>
      <w:r>
        <w:rPr>
          <w:sz w:val="24"/>
        </w:rPr>
        <w:t>mismas:</w:t>
      </w:r>
    </w:p>
    <w:p>
      <w:pPr>
        <w:pStyle w:val="BodyText"/>
      </w:pPr>
    </w:p>
    <w:p>
      <w:pPr>
        <w:pStyle w:val="Heading1"/>
        <w:tabs>
          <w:tab w:pos="9238" w:val="left" w:leader="none"/>
        </w:tabs>
        <w:ind w:left="400"/>
      </w:pPr>
      <w:r>
        <w:rPr/>
        <w:t>Concepto</w:t>
        <w:tab/>
        <w:t>Pesos</w:t>
      </w:r>
    </w:p>
    <w:p>
      <w:pPr>
        <w:pStyle w:val="ListParagraph"/>
        <w:numPr>
          <w:ilvl w:val="0"/>
          <w:numId w:val="46"/>
        </w:numPr>
        <w:tabs>
          <w:tab w:pos="1152" w:val="left" w:leader="none"/>
          <w:tab w:pos="9947" w:val="right" w:leader="none"/>
        </w:tabs>
        <w:spacing w:line="240" w:lineRule="auto" w:before="5" w:after="0"/>
        <w:ind w:left="1151" w:right="0" w:hanging="392"/>
        <w:jc w:val="left"/>
        <w:rPr>
          <w:sz w:val="24"/>
        </w:rPr>
      </w:pPr>
      <w:r>
        <w:rPr>
          <w:sz w:val="24"/>
        </w:rPr>
        <w:t>Bebidas alcohólicas de</w:t>
      </w:r>
      <w:r>
        <w:rPr>
          <w:spacing w:val="-5"/>
          <w:sz w:val="24"/>
        </w:rPr>
        <w:t> </w:t>
      </w:r>
      <w:r>
        <w:rPr>
          <w:sz w:val="24"/>
        </w:rPr>
        <w:t>alta</w:t>
      </w:r>
      <w:r>
        <w:rPr>
          <w:spacing w:val="-2"/>
          <w:sz w:val="24"/>
        </w:rPr>
        <w:t> </w:t>
      </w:r>
      <w:r>
        <w:rPr>
          <w:sz w:val="24"/>
        </w:rPr>
        <w:t>graduación</w:t>
        <w:tab/>
        <w:t>756.25</w:t>
      </w:r>
    </w:p>
    <w:p>
      <w:pPr>
        <w:pStyle w:val="ListParagraph"/>
        <w:numPr>
          <w:ilvl w:val="0"/>
          <w:numId w:val="46"/>
        </w:numPr>
        <w:tabs>
          <w:tab w:pos="1152" w:val="left" w:leader="none"/>
          <w:tab w:pos="9947" w:val="right" w:leader="none"/>
        </w:tabs>
        <w:spacing w:line="240" w:lineRule="auto" w:before="0" w:after="0"/>
        <w:ind w:left="1151" w:right="0" w:hanging="392"/>
        <w:jc w:val="left"/>
        <w:rPr>
          <w:sz w:val="24"/>
        </w:rPr>
      </w:pPr>
      <w:r>
        <w:rPr>
          <w:sz w:val="24"/>
        </w:rPr>
        <w:t>Bebidas alcohólicas de</w:t>
      </w:r>
      <w:r>
        <w:rPr>
          <w:spacing w:val="-5"/>
          <w:sz w:val="24"/>
        </w:rPr>
        <w:t> </w:t>
      </w:r>
      <w:r>
        <w:rPr>
          <w:sz w:val="24"/>
        </w:rPr>
        <w:t>baja</w:t>
      </w:r>
      <w:r>
        <w:rPr>
          <w:spacing w:val="-2"/>
          <w:sz w:val="24"/>
        </w:rPr>
        <w:t> </w:t>
      </w:r>
      <w:r>
        <w:rPr>
          <w:sz w:val="24"/>
        </w:rPr>
        <w:t>graduación</w:t>
        <w:tab/>
        <w:t>377.68</w:t>
      </w:r>
    </w:p>
    <w:p>
      <w:pPr>
        <w:pStyle w:val="ListParagraph"/>
        <w:numPr>
          <w:ilvl w:val="1"/>
          <w:numId w:val="45"/>
        </w:numPr>
        <w:tabs>
          <w:tab w:pos="1253" w:val="left" w:leader="none"/>
        </w:tabs>
        <w:spacing w:line="240" w:lineRule="auto" w:before="279" w:after="0"/>
        <w:ind w:left="1252" w:right="442" w:hanging="569"/>
        <w:jc w:val="both"/>
        <w:rPr>
          <w:sz w:val="24"/>
        </w:rPr>
      </w:pPr>
      <w:r>
        <w:rPr>
          <w:sz w:val="24"/>
        </w:rPr>
        <w:t>Permiso para degustación de bebidas alcohólicas de alta o baja graduación en forma</w:t>
      </w:r>
      <w:r>
        <w:rPr>
          <w:spacing w:val="-3"/>
          <w:sz w:val="24"/>
        </w:rPr>
        <w:t> </w:t>
      </w:r>
      <w:r>
        <w:rPr>
          <w:sz w:val="24"/>
        </w:rPr>
        <w:t>promocional.</w:t>
      </w:r>
    </w:p>
    <w:p>
      <w:pPr>
        <w:pStyle w:val="BodyText"/>
        <w:tabs>
          <w:tab w:pos="9315" w:val="left" w:leader="none"/>
        </w:tabs>
        <w:spacing w:before="276"/>
        <w:ind w:left="544"/>
      </w:pPr>
      <w:r>
        <w:rPr/>
        <w:t>Concepto</w:t>
        <w:tab/>
        <w:t>Pesos</w:t>
      </w:r>
    </w:p>
    <w:p>
      <w:pPr>
        <w:pStyle w:val="BodyText"/>
        <w:tabs>
          <w:tab w:pos="1737" w:val="left" w:leader="none"/>
          <w:tab w:pos="9983" w:val="right" w:leader="none"/>
        </w:tabs>
        <w:ind w:left="1170"/>
      </w:pPr>
      <w:r>
        <w:rPr/>
        <w:t>1.</w:t>
        <w:tab/>
        <w:t>Por</w:t>
      </w:r>
      <w:r>
        <w:rPr>
          <w:spacing w:val="-1"/>
        </w:rPr>
        <w:t> </w:t>
      </w:r>
      <w:r>
        <w:rPr/>
        <w:t>día</w:t>
        <w:tab/>
        <w:t>150.89</w:t>
      </w:r>
    </w:p>
    <w:p>
      <w:pPr>
        <w:pStyle w:val="ListParagraph"/>
        <w:numPr>
          <w:ilvl w:val="1"/>
          <w:numId w:val="45"/>
        </w:numPr>
        <w:tabs>
          <w:tab w:pos="1253" w:val="left" w:leader="none"/>
        </w:tabs>
        <w:spacing w:line="240" w:lineRule="auto" w:before="276" w:after="0"/>
        <w:ind w:left="1252" w:right="433" w:hanging="569"/>
        <w:jc w:val="both"/>
        <w:rPr>
          <w:sz w:val="24"/>
        </w:rPr>
      </w:pPr>
      <w:r>
        <w:rPr>
          <w:sz w:val="24"/>
        </w:rPr>
        <w:t>Permiso para realizar la venta de bebidas alcohólicas de alta y baja graduación (cantaritos y bebidas preparadas) en puestos semifijos dentro de un baile, concierto, tertulias, ferias y kermeses públicas</w:t>
      </w:r>
      <w:r>
        <w:rPr>
          <w:spacing w:val="-7"/>
          <w:sz w:val="24"/>
        </w:rPr>
        <w:t> </w:t>
      </w:r>
      <w:r>
        <w:rPr>
          <w:sz w:val="24"/>
        </w:rPr>
        <w:t>pagarán:</w:t>
      </w:r>
    </w:p>
    <w:p>
      <w:pPr>
        <w:pStyle w:val="BodyText"/>
        <w:tabs>
          <w:tab w:pos="9284" w:val="left" w:leader="none"/>
        </w:tabs>
        <w:spacing w:before="276"/>
        <w:ind w:left="573"/>
      </w:pPr>
      <w:r>
        <w:rPr/>
        <w:t>Concepto</w:t>
        <w:tab/>
        <w:t>Pesos</w:t>
      </w:r>
    </w:p>
    <w:p>
      <w:pPr>
        <w:pStyle w:val="BodyText"/>
        <w:tabs>
          <w:tab w:pos="1765" w:val="left" w:leader="none"/>
          <w:tab w:pos="9951" w:val="right" w:leader="none"/>
        </w:tabs>
        <w:spacing w:before="132"/>
        <w:ind w:left="1199"/>
      </w:pPr>
      <w:r>
        <w:rPr/>
        <w:t>1.</w:t>
        <w:tab/>
        <w:t>Por</w:t>
      </w:r>
      <w:r>
        <w:rPr>
          <w:spacing w:val="-1"/>
        </w:rPr>
        <w:t> </w:t>
      </w:r>
      <w:r>
        <w:rPr/>
        <w:t>día</w:t>
        <w:tab/>
        <w:t>377.68</w:t>
      </w:r>
    </w:p>
    <w:p>
      <w:pPr>
        <w:pStyle w:val="ListParagraph"/>
        <w:numPr>
          <w:ilvl w:val="0"/>
          <w:numId w:val="45"/>
        </w:numPr>
        <w:tabs>
          <w:tab w:pos="966" w:val="left" w:leader="none"/>
          <w:tab w:pos="967" w:val="left" w:leader="none"/>
        </w:tabs>
        <w:spacing w:line="240" w:lineRule="auto" w:before="408" w:after="0"/>
        <w:ind w:left="966" w:right="441" w:hanging="567"/>
        <w:jc w:val="left"/>
        <w:rPr>
          <w:sz w:val="24"/>
        </w:rPr>
      </w:pPr>
      <w:r>
        <w:rPr>
          <w:sz w:val="24"/>
        </w:rPr>
        <w:t>Espectáculos públicos en locales de propiedad privada y pública, sin venta de bebidas alcohólicas, conforme la siguiente</w:t>
      </w:r>
      <w:r>
        <w:rPr>
          <w:spacing w:val="-5"/>
          <w:sz w:val="24"/>
        </w:rPr>
        <w:t> </w:t>
      </w:r>
      <w:r>
        <w:rPr>
          <w:sz w:val="24"/>
        </w:rPr>
        <w:t>tabla:</w:t>
      </w:r>
    </w:p>
    <w:p>
      <w:pPr>
        <w:pStyle w:val="BodyText"/>
        <w:spacing w:before="6"/>
      </w:pPr>
    </w:p>
    <w:tbl>
      <w:tblPr>
        <w:tblW w:w="0" w:type="auto"/>
        <w:jc w:val="left"/>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1"/>
        <w:gridCol w:w="1259"/>
      </w:tblGrid>
      <w:tr>
        <w:trPr>
          <w:trHeight w:val="272" w:hRule="atLeast"/>
        </w:trPr>
        <w:tc>
          <w:tcPr>
            <w:tcW w:w="7671" w:type="dxa"/>
          </w:tcPr>
          <w:p>
            <w:pPr>
              <w:pStyle w:val="TableParagraph"/>
              <w:spacing w:line="252" w:lineRule="exact"/>
              <w:ind w:left="2215"/>
              <w:rPr>
                <w:sz w:val="24"/>
              </w:rPr>
            </w:pPr>
            <w:r>
              <w:rPr>
                <w:sz w:val="24"/>
              </w:rPr>
              <w:t>Concepto</w:t>
            </w:r>
          </w:p>
        </w:tc>
        <w:tc>
          <w:tcPr>
            <w:tcW w:w="1259" w:type="dxa"/>
          </w:tcPr>
          <w:p>
            <w:pPr>
              <w:pStyle w:val="TableParagraph"/>
              <w:spacing w:line="252" w:lineRule="exact"/>
              <w:ind w:right="47"/>
              <w:jc w:val="right"/>
              <w:rPr>
                <w:sz w:val="24"/>
              </w:rPr>
            </w:pPr>
            <w:r>
              <w:rPr>
                <w:w w:val="95"/>
                <w:sz w:val="24"/>
              </w:rPr>
              <w:t>Pesos</w:t>
            </w:r>
          </w:p>
        </w:tc>
      </w:tr>
      <w:tr>
        <w:trPr>
          <w:trHeight w:val="276" w:hRule="atLeast"/>
        </w:trPr>
        <w:tc>
          <w:tcPr>
            <w:tcW w:w="7671" w:type="dxa"/>
          </w:tcPr>
          <w:p>
            <w:pPr>
              <w:pStyle w:val="TableParagraph"/>
              <w:spacing w:line="256" w:lineRule="exact"/>
              <w:ind w:left="50"/>
              <w:rPr>
                <w:sz w:val="24"/>
              </w:rPr>
            </w:pPr>
            <w:r>
              <w:rPr>
                <w:sz w:val="24"/>
              </w:rPr>
              <w:t>a) Funciones de circo por día.</w:t>
            </w:r>
          </w:p>
        </w:tc>
        <w:tc>
          <w:tcPr>
            <w:tcW w:w="1259" w:type="dxa"/>
          </w:tcPr>
          <w:p>
            <w:pPr>
              <w:pStyle w:val="TableParagraph"/>
              <w:spacing w:line="256" w:lineRule="exact"/>
              <w:ind w:right="48"/>
              <w:jc w:val="right"/>
              <w:rPr>
                <w:sz w:val="24"/>
              </w:rPr>
            </w:pPr>
            <w:r>
              <w:rPr>
                <w:sz w:val="24"/>
              </w:rPr>
              <w:t>755.36</w:t>
            </w:r>
          </w:p>
        </w:tc>
      </w:tr>
      <w:tr>
        <w:trPr>
          <w:trHeight w:val="276" w:hRule="atLeast"/>
        </w:trPr>
        <w:tc>
          <w:tcPr>
            <w:tcW w:w="7671" w:type="dxa"/>
          </w:tcPr>
          <w:p>
            <w:pPr>
              <w:pStyle w:val="TableParagraph"/>
              <w:spacing w:line="256" w:lineRule="exact"/>
              <w:ind w:left="50"/>
              <w:rPr>
                <w:sz w:val="24"/>
              </w:rPr>
            </w:pPr>
            <w:r>
              <w:rPr>
                <w:sz w:val="24"/>
              </w:rPr>
              <w:t>b) Obras de teatro comerciales.</w:t>
            </w:r>
          </w:p>
        </w:tc>
        <w:tc>
          <w:tcPr>
            <w:tcW w:w="1259" w:type="dxa"/>
          </w:tcPr>
          <w:p>
            <w:pPr>
              <w:pStyle w:val="TableParagraph"/>
              <w:spacing w:line="256" w:lineRule="exact"/>
              <w:ind w:right="48"/>
              <w:jc w:val="right"/>
              <w:rPr>
                <w:sz w:val="24"/>
              </w:rPr>
            </w:pPr>
            <w:r>
              <w:rPr>
                <w:sz w:val="24"/>
              </w:rPr>
              <w:t>1,512.50</w:t>
            </w:r>
          </w:p>
        </w:tc>
      </w:tr>
      <w:tr>
        <w:trPr>
          <w:trHeight w:val="275" w:hRule="atLeast"/>
        </w:trPr>
        <w:tc>
          <w:tcPr>
            <w:tcW w:w="7671" w:type="dxa"/>
          </w:tcPr>
          <w:p>
            <w:pPr>
              <w:pStyle w:val="TableParagraph"/>
              <w:spacing w:line="256" w:lineRule="exact"/>
              <w:ind w:left="50"/>
              <w:rPr>
                <w:sz w:val="24"/>
              </w:rPr>
            </w:pPr>
            <w:r>
              <w:rPr>
                <w:sz w:val="24"/>
              </w:rPr>
              <w:t>c) Funciones de box, lucha libre, fútbol, básquetbol, béisbol, y otros</w:t>
            </w:r>
          </w:p>
        </w:tc>
        <w:tc>
          <w:tcPr>
            <w:tcW w:w="1259" w:type="dxa"/>
          </w:tcPr>
          <w:p>
            <w:pPr>
              <w:pStyle w:val="TableParagraph"/>
              <w:rPr>
                <w:rFonts w:ascii="Times New Roman"/>
                <w:sz w:val="20"/>
              </w:rPr>
            </w:pPr>
          </w:p>
        </w:tc>
      </w:tr>
      <w:tr>
        <w:trPr>
          <w:trHeight w:val="276" w:hRule="atLeast"/>
        </w:trPr>
        <w:tc>
          <w:tcPr>
            <w:tcW w:w="7671" w:type="dxa"/>
          </w:tcPr>
          <w:p>
            <w:pPr>
              <w:pStyle w:val="TableParagraph"/>
              <w:spacing w:line="256" w:lineRule="exact"/>
              <w:ind w:left="50"/>
              <w:rPr>
                <w:sz w:val="24"/>
              </w:rPr>
            </w:pPr>
            <w:r>
              <w:rPr>
                <w:sz w:val="24"/>
              </w:rPr>
              <w:t>espectáculos públicos deportivos.</w:t>
            </w:r>
          </w:p>
        </w:tc>
        <w:tc>
          <w:tcPr>
            <w:tcW w:w="1259" w:type="dxa"/>
          </w:tcPr>
          <w:p>
            <w:pPr>
              <w:pStyle w:val="TableParagraph"/>
              <w:spacing w:line="256" w:lineRule="exact"/>
              <w:ind w:right="48"/>
              <w:jc w:val="right"/>
              <w:rPr>
                <w:sz w:val="24"/>
              </w:rPr>
            </w:pPr>
            <w:r>
              <w:rPr>
                <w:sz w:val="24"/>
              </w:rPr>
              <w:t>756.25</w:t>
            </w:r>
          </w:p>
        </w:tc>
      </w:tr>
      <w:tr>
        <w:trPr>
          <w:trHeight w:val="275" w:hRule="atLeast"/>
        </w:trPr>
        <w:tc>
          <w:tcPr>
            <w:tcW w:w="7671" w:type="dxa"/>
          </w:tcPr>
          <w:p>
            <w:pPr>
              <w:pStyle w:val="TableParagraph"/>
              <w:spacing w:line="256" w:lineRule="exact"/>
              <w:ind w:left="50"/>
              <w:rPr>
                <w:sz w:val="24"/>
              </w:rPr>
            </w:pPr>
            <w:r>
              <w:rPr>
                <w:sz w:val="24"/>
              </w:rPr>
              <w:t>d) Conciertos, convenciones y audiciones musicales.</w:t>
            </w:r>
          </w:p>
        </w:tc>
        <w:tc>
          <w:tcPr>
            <w:tcW w:w="1259" w:type="dxa"/>
          </w:tcPr>
          <w:p>
            <w:pPr>
              <w:pStyle w:val="TableParagraph"/>
              <w:spacing w:line="256" w:lineRule="exact"/>
              <w:ind w:right="48"/>
              <w:jc w:val="right"/>
              <w:rPr>
                <w:sz w:val="24"/>
              </w:rPr>
            </w:pPr>
            <w:r>
              <w:rPr>
                <w:sz w:val="24"/>
              </w:rPr>
              <w:t>2,268.75</w:t>
            </w:r>
          </w:p>
        </w:tc>
      </w:tr>
      <w:tr>
        <w:trPr>
          <w:trHeight w:val="275" w:hRule="atLeast"/>
        </w:trPr>
        <w:tc>
          <w:tcPr>
            <w:tcW w:w="7671" w:type="dxa"/>
          </w:tcPr>
          <w:p>
            <w:pPr>
              <w:pStyle w:val="TableParagraph"/>
              <w:spacing w:line="256" w:lineRule="exact"/>
              <w:ind w:left="50"/>
              <w:rPr>
                <w:sz w:val="24"/>
              </w:rPr>
            </w:pPr>
            <w:r>
              <w:rPr>
                <w:sz w:val="24"/>
              </w:rPr>
              <w:t>e) Tardeadas</w:t>
            </w:r>
          </w:p>
        </w:tc>
        <w:tc>
          <w:tcPr>
            <w:tcW w:w="1259" w:type="dxa"/>
          </w:tcPr>
          <w:p>
            <w:pPr>
              <w:pStyle w:val="TableParagraph"/>
              <w:spacing w:line="256" w:lineRule="exact"/>
              <w:ind w:right="48"/>
              <w:jc w:val="right"/>
              <w:rPr>
                <w:sz w:val="24"/>
              </w:rPr>
            </w:pPr>
            <w:r>
              <w:rPr>
                <w:sz w:val="24"/>
              </w:rPr>
              <w:t>377.68</w:t>
            </w:r>
          </w:p>
        </w:tc>
      </w:tr>
      <w:tr>
        <w:trPr>
          <w:trHeight w:val="272" w:hRule="atLeast"/>
        </w:trPr>
        <w:tc>
          <w:tcPr>
            <w:tcW w:w="7671" w:type="dxa"/>
          </w:tcPr>
          <w:p>
            <w:pPr>
              <w:pStyle w:val="TableParagraph"/>
              <w:spacing w:line="252" w:lineRule="exact"/>
              <w:ind w:left="50"/>
              <w:rPr>
                <w:sz w:val="24"/>
              </w:rPr>
            </w:pPr>
            <w:r>
              <w:rPr>
                <w:sz w:val="24"/>
              </w:rPr>
              <w:t>f) kermes, tertulias o ferias</w:t>
            </w:r>
          </w:p>
        </w:tc>
        <w:tc>
          <w:tcPr>
            <w:tcW w:w="1259" w:type="dxa"/>
          </w:tcPr>
          <w:p>
            <w:pPr>
              <w:pStyle w:val="TableParagraph"/>
              <w:spacing w:line="252" w:lineRule="exact"/>
              <w:ind w:right="48"/>
              <w:jc w:val="right"/>
              <w:rPr>
                <w:sz w:val="24"/>
              </w:rPr>
            </w:pPr>
            <w:r>
              <w:rPr>
                <w:sz w:val="24"/>
              </w:rPr>
              <w:t>377.68</w:t>
            </w:r>
          </w:p>
        </w:tc>
      </w:tr>
    </w:tbl>
    <w:p>
      <w:pPr>
        <w:spacing w:after="0" w:line="252" w:lineRule="exact"/>
        <w:jc w:val="right"/>
        <w:rPr>
          <w:sz w:val="24"/>
        </w:rPr>
        <w:sectPr>
          <w:pgSz w:w="12250" w:h="15850"/>
          <w:pgMar w:header="730" w:footer="0" w:top="1000" w:bottom="280" w:left="860" w:right="820"/>
        </w:sectPr>
      </w:pPr>
    </w:p>
    <w:p>
      <w:pPr>
        <w:pStyle w:val="BodyText"/>
        <w:tabs>
          <w:tab w:pos="8321" w:val="left" w:leader="none"/>
        </w:tabs>
        <w:spacing w:before="183"/>
        <w:ind w:left="400" w:right="438"/>
        <w:jc w:val="both"/>
      </w:pPr>
      <w:r>
        <w:rPr>
          <w:b/>
        </w:rPr>
        <w:t>Artículo 24.- </w:t>
      </w:r>
      <w:r>
        <w:rPr/>
        <w:t>Para efectos del artículo anterior, se tiene que, por cada anuencia o conformidad para la expedición de permisos de funcionamiento en el ramo de alcoholes, se</w:t>
      </w:r>
      <w:r>
        <w:rPr>
          <w:spacing w:val="-1"/>
        </w:rPr>
        <w:t> </w:t>
      </w:r>
      <w:r>
        <w:rPr/>
        <w:t>pagará</w:t>
        <w:tab/>
        <w:t>$7,564.29</w:t>
      </w:r>
    </w:p>
    <w:p>
      <w:pPr>
        <w:pStyle w:val="BodyText"/>
        <w:rPr>
          <w:sz w:val="28"/>
        </w:rPr>
      </w:pPr>
    </w:p>
    <w:p>
      <w:pPr>
        <w:pStyle w:val="BodyText"/>
        <w:ind w:left="400" w:right="440"/>
        <w:jc w:val="both"/>
      </w:pPr>
      <w:r>
        <w:rPr/>
        <w:drawing>
          <wp:anchor distT="0" distB="0" distL="0" distR="0" allowOverlap="1" layoutInCell="1" locked="0" behindDoc="1" simplePos="0" relativeHeight="227512320">
            <wp:simplePos x="0" y="0"/>
            <wp:positionH relativeFrom="page">
              <wp:posOffset>1239220</wp:posOffset>
            </wp:positionH>
            <wp:positionV relativeFrom="paragraph">
              <wp:posOffset>564081</wp:posOffset>
            </wp:positionV>
            <wp:extent cx="5022641" cy="5144769"/>
            <wp:effectExtent l="0" t="0" r="0" b="0"/>
            <wp:wrapNone/>
            <wp:docPr id="87" name="image39.png"/>
            <wp:cNvGraphicFramePr>
              <a:graphicFrameLocks noChangeAspect="1"/>
            </wp:cNvGraphicFramePr>
            <a:graphic>
              <a:graphicData uri="http://schemas.openxmlformats.org/drawingml/2006/picture">
                <pic:pic>
                  <pic:nvPicPr>
                    <pic:cNvPr id="88" name="image39.png"/>
                    <pic:cNvPicPr/>
                  </pic:nvPicPr>
                  <pic:blipFill>
                    <a:blip r:embed="rId49" cstate="print"/>
                    <a:stretch>
                      <a:fillRect/>
                    </a:stretch>
                  </pic:blipFill>
                  <pic:spPr>
                    <a:xfrm>
                      <a:off x="0" y="0"/>
                      <a:ext cx="5022641" cy="5144769"/>
                    </a:xfrm>
                    <a:prstGeom prst="rect">
                      <a:avLst/>
                    </a:prstGeom>
                  </pic:spPr>
                </pic:pic>
              </a:graphicData>
            </a:graphic>
          </wp:anchor>
        </w:drawing>
      </w:r>
      <w:r>
        <w:rPr>
          <w:b/>
        </w:rPr>
        <w:t>Artículo 25.- </w:t>
      </w:r>
      <w:r>
        <w:rPr/>
        <w:t>Las personas físicas o morales que, previa autorización de la dependencia facultada, hagan uso del piso o de áreas en la vía pública para la realización de actividades comerciales o de prestación de servicios, en forma permanente o temporal, pagarán los derechos correspondientes conforme a la siguiente</w:t>
      </w:r>
      <w:r>
        <w:rPr>
          <w:spacing w:val="-9"/>
        </w:rPr>
        <w:t> </w:t>
      </w:r>
      <w:r>
        <w:rPr/>
        <w:t>tarifa:</w:t>
      </w:r>
    </w:p>
    <w:p>
      <w:pPr>
        <w:pStyle w:val="BodyText"/>
      </w:pPr>
    </w:p>
    <w:p>
      <w:pPr>
        <w:tabs>
          <w:tab w:pos="9483" w:val="left" w:leader="none"/>
        </w:tabs>
        <w:spacing w:before="0"/>
        <w:ind w:left="4195" w:right="0" w:firstLine="0"/>
        <w:jc w:val="left"/>
        <w:rPr>
          <w:sz w:val="23"/>
        </w:rPr>
      </w:pPr>
      <w:r>
        <w:rPr>
          <w:sz w:val="23"/>
        </w:rPr>
        <w:t>Conceptos</w:t>
        <w:tab/>
        <w:t>Pesos</w:t>
      </w:r>
    </w:p>
    <w:p>
      <w:pPr>
        <w:spacing w:after="0"/>
        <w:jc w:val="left"/>
        <w:rPr>
          <w:sz w:val="23"/>
        </w:rPr>
        <w:sectPr>
          <w:pgSz w:w="12250" w:h="15850"/>
          <w:pgMar w:header="730" w:footer="0" w:top="1000" w:bottom="280" w:left="860" w:right="820"/>
        </w:sectPr>
      </w:pPr>
    </w:p>
    <w:p>
      <w:pPr>
        <w:pStyle w:val="ListParagraph"/>
        <w:numPr>
          <w:ilvl w:val="0"/>
          <w:numId w:val="47"/>
        </w:numPr>
        <w:tabs>
          <w:tab w:pos="1573" w:val="left" w:leader="none"/>
          <w:tab w:pos="1574" w:val="left" w:leader="none"/>
        </w:tabs>
        <w:spacing w:line="240" w:lineRule="auto" w:before="2" w:after="0"/>
        <w:ind w:left="1574" w:right="38" w:hanging="852"/>
        <w:jc w:val="left"/>
        <w:rPr>
          <w:sz w:val="23"/>
        </w:rPr>
      </w:pPr>
      <w:r>
        <w:rPr>
          <w:sz w:val="23"/>
        </w:rPr>
        <w:t>Expedición de permiso, por inicio de actividades o Refrendo de puestos móviles, fijos y</w:t>
      </w:r>
      <w:r>
        <w:rPr>
          <w:spacing w:val="-2"/>
          <w:sz w:val="23"/>
        </w:rPr>
        <w:t> </w:t>
      </w:r>
      <w:r>
        <w:rPr>
          <w:sz w:val="23"/>
        </w:rPr>
        <w:t>semifijos</w:t>
      </w:r>
    </w:p>
    <w:p>
      <w:pPr>
        <w:pStyle w:val="ListParagraph"/>
        <w:numPr>
          <w:ilvl w:val="0"/>
          <w:numId w:val="47"/>
        </w:numPr>
        <w:tabs>
          <w:tab w:pos="1573" w:val="left" w:leader="none"/>
          <w:tab w:pos="1574" w:val="left" w:leader="none"/>
        </w:tabs>
        <w:spacing w:line="240" w:lineRule="auto" w:before="0" w:after="0"/>
        <w:ind w:left="1574" w:right="41" w:hanging="852"/>
        <w:jc w:val="left"/>
        <w:rPr>
          <w:sz w:val="23"/>
        </w:rPr>
      </w:pPr>
      <w:r>
        <w:rPr>
          <w:sz w:val="23"/>
        </w:rPr>
        <w:t>Puestos fijos, semifijos y móviles o ambulante, diariamente por metro</w:t>
      </w:r>
      <w:r>
        <w:rPr>
          <w:spacing w:val="-2"/>
          <w:sz w:val="23"/>
        </w:rPr>
        <w:t> </w:t>
      </w:r>
      <w:r>
        <w:rPr>
          <w:sz w:val="23"/>
        </w:rPr>
        <w:t>lineal.</w:t>
      </w:r>
    </w:p>
    <w:p>
      <w:pPr>
        <w:spacing w:before="2"/>
        <w:ind w:left="722" w:right="0" w:firstLine="0"/>
        <w:jc w:val="left"/>
        <w:rPr>
          <w:sz w:val="23"/>
        </w:rPr>
      </w:pPr>
      <w:r>
        <w:rPr/>
        <w:br w:type="column"/>
      </w:r>
      <w:r>
        <w:rPr>
          <w:sz w:val="23"/>
        </w:rPr>
        <w:t>377.68</w:t>
      </w:r>
    </w:p>
    <w:p>
      <w:pPr>
        <w:spacing w:after="0"/>
        <w:jc w:val="left"/>
        <w:rPr>
          <w:sz w:val="23"/>
        </w:rPr>
        <w:sectPr>
          <w:type w:val="continuous"/>
          <w:pgSz w:w="12250" w:h="15850"/>
          <w:pgMar w:top="840" w:bottom="280" w:left="860" w:right="820"/>
          <w:cols w:num="2" w:equalWidth="0">
            <w:col w:w="8406" w:space="291"/>
            <w:col w:w="1873"/>
          </w:cols>
        </w:sectPr>
      </w:pPr>
    </w:p>
    <w:p>
      <w:pPr>
        <w:pStyle w:val="ListParagraph"/>
        <w:numPr>
          <w:ilvl w:val="1"/>
          <w:numId w:val="47"/>
        </w:numPr>
        <w:tabs>
          <w:tab w:pos="1855" w:val="left" w:leader="none"/>
          <w:tab w:pos="9521" w:val="left" w:leader="none"/>
        </w:tabs>
        <w:spacing w:line="275" w:lineRule="exact" w:before="0" w:after="0"/>
        <w:ind w:left="1854" w:right="0" w:hanging="281"/>
        <w:jc w:val="left"/>
        <w:rPr>
          <w:sz w:val="24"/>
        </w:rPr>
      </w:pPr>
      <w:r>
        <w:rPr>
          <w:sz w:val="24"/>
        </w:rPr>
        <w:t>En zona</w:t>
      </w:r>
      <w:r>
        <w:rPr>
          <w:spacing w:val="-3"/>
          <w:sz w:val="24"/>
        </w:rPr>
        <w:t> </w:t>
      </w:r>
      <w:r>
        <w:rPr>
          <w:sz w:val="24"/>
        </w:rPr>
        <w:t>centro:</w:t>
        <w:tab/>
        <w:t>10.00</w:t>
      </w:r>
    </w:p>
    <w:p>
      <w:pPr>
        <w:pStyle w:val="ListParagraph"/>
        <w:numPr>
          <w:ilvl w:val="1"/>
          <w:numId w:val="47"/>
        </w:numPr>
        <w:tabs>
          <w:tab w:pos="1857" w:val="left" w:leader="none"/>
        </w:tabs>
        <w:spacing w:line="240" w:lineRule="auto" w:before="0" w:after="0"/>
        <w:ind w:left="1856" w:right="0" w:hanging="283"/>
        <w:jc w:val="left"/>
        <w:rPr>
          <w:sz w:val="24"/>
        </w:rPr>
      </w:pPr>
      <w:r>
        <w:rPr>
          <w:sz w:val="24"/>
        </w:rPr>
        <w:t>En zona periférica: (Las que no se encuentran</w:t>
      </w:r>
      <w:r>
        <w:rPr>
          <w:spacing w:val="8"/>
          <w:sz w:val="24"/>
        </w:rPr>
        <w:t> </w:t>
      </w:r>
      <w:r>
        <w:rPr>
          <w:sz w:val="24"/>
        </w:rPr>
        <w:t>comprendidas</w:t>
      </w:r>
    </w:p>
    <w:p>
      <w:pPr>
        <w:pStyle w:val="BodyText"/>
        <w:tabs>
          <w:tab w:pos="9521" w:val="left" w:leader="none"/>
        </w:tabs>
        <w:ind w:left="1857"/>
      </w:pPr>
      <w:r>
        <w:rPr/>
        <w:t>en el</w:t>
      </w:r>
      <w:r>
        <w:rPr>
          <w:spacing w:val="-3"/>
        </w:rPr>
        <w:t> </w:t>
      </w:r>
      <w:r>
        <w:rPr/>
        <w:t>inciso anterior).</w:t>
        <w:tab/>
        <w:t>10.00</w:t>
      </w:r>
    </w:p>
    <w:p>
      <w:pPr>
        <w:spacing w:after="0"/>
        <w:sectPr>
          <w:type w:val="continuous"/>
          <w:pgSz w:w="12250" w:h="15850"/>
          <w:pgMar w:top="840" w:bottom="280" w:left="860" w:right="820"/>
        </w:sectPr>
      </w:pPr>
    </w:p>
    <w:p>
      <w:pPr>
        <w:pStyle w:val="ListParagraph"/>
        <w:numPr>
          <w:ilvl w:val="0"/>
          <w:numId w:val="47"/>
        </w:numPr>
        <w:tabs>
          <w:tab w:pos="1574" w:val="left" w:leader="none"/>
        </w:tabs>
        <w:spacing w:line="240" w:lineRule="auto" w:before="0" w:after="0"/>
        <w:ind w:left="1574" w:right="41" w:hanging="852"/>
        <w:jc w:val="both"/>
        <w:rPr>
          <w:sz w:val="24"/>
        </w:rPr>
      </w:pPr>
      <w:r>
        <w:rPr>
          <w:sz w:val="24"/>
        </w:rPr>
        <w:t>Para uso diferente del que corresponda a la naturaleza de la vía pública, tales como banquetas, jardines de edificios públicos o privados y otros; diariamente por metro</w:t>
      </w:r>
      <w:r>
        <w:rPr>
          <w:spacing w:val="-14"/>
          <w:sz w:val="24"/>
        </w:rPr>
        <w:t> </w:t>
      </w:r>
      <w:r>
        <w:rPr>
          <w:sz w:val="24"/>
        </w:rPr>
        <w:t>lineal:</w:t>
      </w:r>
    </w:p>
    <w:p>
      <w:pPr>
        <w:pStyle w:val="ListParagraph"/>
        <w:numPr>
          <w:ilvl w:val="0"/>
          <w:numId w:val="47"/>
        </w:numPr>
        <w:tabs>
          <w:tab w:pos="1574" w:val="left" w:leader="none"/>
        </w:tabs>
        <w:spacing w:line="240" w:lineRule="auto" w:before="0" w:after="0"/>
        <w:ind w:left="1574" w:right="38" w:hanging="852"/>
        <w:jc w:val="both"/>
        <w:rPr>
          <w:sz w:val="24"/>
        </w:rPr>
      </w:pPr>
      <w:r>
        <w:rPr>
          <w:sz w:val="24"/>
        </w:rPr>
        <w:t>Por emitir constancia de permisos a comercios fijos, semifijos y móviles:</w:t>
      </w:r>
    </w:p>
    <w:p>
      <w:pPr>
        <w:pStyle w:val="ListParagraph"/>
        <w:numPr>
          <w:ilvl w:val="0"/>
          <w:numId w:val="47"/>
        </w:numPr>
        <w:tabs>
          <w:tab w:pos="1574" w:val="left" w:leader="none"/>
        </w:tabs>
        <w:spacing w:line="240" w:lineRule="auto" w:before="0" w:after="0"/>
        <w:ind w:left="1574" w:right="44" w:hanging="852"/>
        <w:jc w:val="both"/>
        <w:rPr>
          <w:sz w:val="24"/>
        </w:rPr>
      </w:pPr>
      <w:r>
        <w:rPr>
          <w:sz w:val="24"/>
        </w:rPr>
        <w:t>Puestos que se establezcan en forma eventual, para promoción comercial, eventos especiales, de temporada u otros espacios no previstos, diariamente por metro</w:t>
      </w:r>
      <w:r>
        <w:rPr>
          <w:spacing w:val="-7"/>
          <w:sz w:val="24"/>
        </w:rPr>
        <w:t> </w:t>
      </w:r>
      <w:r>
        <w:rPr>
          <w:sz w:val="24"/>
        </w:rPr>
        <w:t>lineal:</w:t>
      </w:r>
    </w:p>
    <w:p>
      <w:pPr>
        <w:pStyle w:val="ListParagraph"/>
        <w:numPr>
          <w:ilvl w:val="0"/>
          <w:numId w:val="47"/>
        </w:numPr>
        <w:tabs>
          <w:tab w:pos="1574" w:val="left" w:leader="none"/>
        </w:tabs>
        <w:spacing w:line="240" w:lineRule="auto" w:before="0" w:after="0"/>
        <w:ind w:left="1574" w:right="45" w:hanging="814"/>
        <w:jc w:val="both"/>
        <w:rPr>
          <w:sz w:val="24"/>
        </w:rPr>
      </w:pPr>
      <w:r>
        <w:rPr>
          <w:sz w:val="24"/>
        </w:rPr>
        <w:t>Por instalación de juegos mecánicos en la vía pública diariamente; por metro</w:t>
      </w:r>
      <w:r>
        <w:rPr>
          <w:spacing w:val="-3"/>
          <w:sz w:val="24"/>
        </w:rPr>
        <w:t> </w:t>
      </w:r>
      <w:r>
        <w:rPr>
          <w:sz w:val="24"/>
        </w:rPr>
        <w:t>lineal:</w:t>
      </w:r>
    </w:p>
    <w:p>
      <w:pPr>
        <w:pStyle w:val="ListParagraph"/>
        <w:numPr>
          <w:ilvl w:val="0"/>
          <w:numId w:val="47"/>
        </w:numPr>
        <w:tabs>
          <w:tab w:pos="1574" w:val="left" w:leader="none"/>
        </w:tabs>
        <w:spacing w:line="240" w:lineRule="auto" w:before="0" w:after="0"/>
        <w:ind w:left="1574" w:right="46" w:hanging="852"/>
        <w:jc w:val="both"/>
        <w:rPr>
          <w:sz w:val="24"/>
        </w:rPr>
      </w:pPr>
      <w:r>
        <w:rPr>
          <w:sz w:val="24"/>
        </w:rPr>
        <w:t>Por la utilización de la vía pública para la instalación de tianguis, diariamente; por cada 2.5 metros lineales se considerará un</w:t>
      </w:r>
      <w:r>
        <w:rPr>
          <w:spacing w:val="-5"/>
          <w:sz w:val="24"/>
        </w:rPr>
        <w:t> </w:t>
      </w:r>
      <w:r>
        <w:rPr>
          <w:sz w:val="24"/>
        </w:rPr>
        <w:t>espacio:</w:t>
      </w:r>
    </w:p>
    <w:p>
      <w:pPr>
        <w:pStyle w:val="ListParagraph"/>
        <w:numPr>
          <w:ilvl w:val="0"/>
          <w:numId w:val="47"/>
        </w:numPr>
        <w:tabs>
          <w:tab w:pos="1574" w:val="left" w:leader="none"/>
        </w:tabs>
        <w:spacing w:line="240" w:lineRule="auto" w:before="0" w:after="0"/>
        <w:ind w:left="1574" w:right="45" w:hanging="852"/>
        <w:jc w:val="both"/>
        <w:rPr>
          <w:sz w:val="24"/>
        </w:rPr>
      </w:pPr>
      <w:r>
        <w:rPr>
          <w:sz w:val="24"/>
        </w:rPr>
        <w:t>Instalación de máquinas despachadoras de refresco, pan, botanas y frituras,</w:t>
      </w:r>
      <w:r>
        <w:rPr>
          <w:spacing w:val="-5"/>
          <w:sz w:val="24"/>
        </w:rPr>
        <w:t> </w:t>
      </w:r>
      <w:r>
        <w:rPr>
          <w:sz w:val="24"/>
        </w:rPr>
        <w:t>anualmente:</w:t>
      </w:r>
    </w:p>
    <w:p>
      <w:pPr>
        <w:pStyle w:val="BodyText"/>
        <w:ind w:right="437"/>
        <w:jc w:val="right"/>
      </w:pPr>
      <w:r>
        <w:rPr/>
        <w:br w:type="column"/>
      </w:r>
      <w:r>
        <w:rPr>
          <w:spacing w:val="-1"/>
        </w:rPr>
        <w:t>75.00</w:t>
      </w:r>
    </w:p>
    <w:p>
      <w:pPr>
        <w:pStyle w:val="BodyText"/>
        <w:rPr>
          <w:sz w:val="26"/>
        </w:rPr>
      </w:pPr>
    </w:p>
    <w:p>
      <w:pPr>
        <w:pStyle w:val="BodyText"/>
        <w:rPr>
          <w:sz w:val="22"/>
        </w:rPr>
      </w:pPr>
    </w:p>
    <w:p>
      <w:pPr>
        <w:pStyle w:val="BodyText"/>
        <w:ind w:right="437"/>
        <w:jc w:val="right"/>
      </w:pPr>
      <w:r>
        <w:rPr>
          <w:spacing w:val="-1"/>
        </w:rPr>
        <w:t>188.39</w:t>
      </w:r>
    </w:p>
    <w:p>
      <w:pPr>
        <w:pStyle w:val="BodyText"/>
      </w:pPr>
    </w:p>
    <w:p>
      <w:pPr>
        <w:pStyle w:val="BodyText"/>
        <w:ind w:right="437"/>
        <w:jc w:val="right"/>
      </w:pPr>
      <w:r>
        <w:rPr>
          <w:spacing w:val="-1"/>
        </w:rPr>
        <w:t>150.89</w:t>
      </w:r>
    </w:p>
    <w:p>
      <w:pPr>
        <w:pStyle w:val="BodyText"/>
        <w:rPr>
          <w:sz w:val="26"/>
        </w:rPr>
      </w:pPr>
    </w:p>
    <w:p>
      <w:pPr>
        <w:pStyle w:val="BodyText"/>
        <w:rPr>
          <w:sz w:val="22"/>
        </w:rPr>
      </w:pPr>
    </w:p>
    <w:p>
      <w:pPr>
        <w:pStyle w:val="BodyText"/>
        <w:ind w:right="437"/>
        <w:jc w:val="right"/>
      </w:pPr>
      <w:r>
        <w:rPr>
          <w:spacing w:val="-1"/>
        </w:rPr>
        <w:t>17.86</w:t>
      </w:r>
    </w:p>
    <w:p>
      <w:pPr>
        <w:pStyle w:val="BodyText"/>
      </w:pPr>
    </w:p>
    <w:p>
      <w:pPr>
        <w:pStyle w:val="BodyText"/>
        <w:ind w:right="437"/>
        <w:jc w:val="right"/>
      </w:pPr>
      <w:r>
        <w:rPr/>
        <w:t>5.00</w:t>
      </w:r>
    </w:p>
    <w:p>
      <w:pPr>
        <w:pStyle w:val="BodyText"/>
        <w:rPr>
          <w:sz w:val="26"/>
        </w:rPr>
      </w:pPr>
    </w:p>
    <w:p>
      <w:pPr>
        <w:pStyle w:val="BodyText"/>
        <w:rPr>
          <w:sz w:val="22"/>
        </w:rPr>
      </w:pPr>
    </w:p>
    <w:p>
      <w:pPr>
        <w:pStyle w:val="BodyText"/>
        <w:ind w:right="437"/>
        <w:jc w:val="right"/>
      </w:pPr>
      <w:r>
        <w:rPr>
          <w:spacing w:val="-1"/>
        </w:rPr>
        <w:t>1,925.89</w:t>
      </w:r>
    </w:p>
    <w:p>
      <w:pPr>
        <w:spacing w:after="0"/>
        <w:jc w:val="right"/>
        <w:sectPr>
          <w:type w:val="continuous"/>
          <w:pgSz w:w="12250" w:h="15850"/>
          <w:pgMar w:top="840" w:bottom="280" w:left="860" w:right="820"/>
          <w:cols w:num="2" w:equalWidth="0">
            <w:col w:w="8412" w:space="55"/>
            <w:col w:w="2103"/>
          </w:cols>
        </w:sectPr>
      </w:pPr>
    </w:p>
    <w:p>
      <w:pPr>
        <w:pStyle w:val="BodyText"/>
        <w:rPr>
          <w:sz w:val="20"/>
        </w:rPr>
      </w:pPr>
    </w:p>
    <w:p>
      <w:pPr>
        <w:pStyle w:val="BodyText"/>
        <w:spacing w:before="92"/>
        <w:ind w:left="400" w:right="439"/>
        <w:jc w:val="both"/>
      </w:pPr>
      <w:r>
        <w:rPr>
          <w:b/>
        </w:rPr>
        <w:t>Artículo 26.- </w:t>
      </w:r>
      <w:r>
        <w:rPr/>
        <w:t>Las personas físicas o morales que realicen actividades comerciales, industriales o de prestación de servicios en locales propiedad privada o pública, están obligadas a la obtención de la licencia municipal y tarjeta de identificación de giro correspondiente.</w:t>
      </w:r>
    </w:p>
    <w:p>
      <w:pPr>
        <w:pStyle w:val="BodyText"/>
        <w:spacing w:before="1"/>
      </w:pPr>
    </w:p>
    <w:p>
      <w:pPr>
        <w:pStyle w:val="BodyText"/>
        <w:ind w:left="400" w:right="441"/>
        <w:jc w:val="both"/>
      </w:pPr>
      <w:r>
        <w:rPr/>
        <w:t>Previo a lo anterior, deberán obtener los dictámenes y licencias emitidos por la Dirección de Protección Civil, Dirección General de Desarrollo Urbano y Ecología, la Dirección General de Bienestar Social y en su caso por las Dependencias que por motivo del giro comercial, evento o actividad, tengan intervención por disposición de la Ley o los reglamentos</w:t>
      </w:r>
      <w:r>
        <w:rPr>
          <w:spacing w:val="-1"/>
        </w:rPr>
        <w:t> </w:t>
      </w:r>
      <w:r>
        <w:rPr/>
        <w:t>aplicables.</w:t>
      </w:r>
    </w:p>
    <w:p>
      <w:pPr>
        <w:pStyle w:val="BodyText"/>
        <w:spacing w:before="11"/>
        <w:rPr>
          <w:sz w:val="27"/>
        </w:rPr>
      </w:pPr>
    </w:p>
    <w:p>
      <w:pPr>
        <w:pStyle w:val="BodyText"/>
        <w:ind w:left="400" w:right="432"/>
        <w:jc w:val="both"/>
      </w:pPr>
      <w:r>
        <w:rPr>
          <w:b/>
        </w:rPr>
        <w:t>Artículo 27.- </w:t>
      </w:r>
      <w:r>
        <w:rPr/>
        <w:t>Toda licencia de funcionamiento de negocios, tarjeta de identificación de giro y los dictámenes y licencias emitidas por la Dirección de Protección Civil, Dirección General de Desarrollo Urbano y Ecología, Dirección General de Bienestar Social y en su caso por las dependencias que por motivo del giro comercial, evento o actividad, tengan su intervención</w:t>
      </w:r>
      <w:r>
        <w:rPr>
          <w:spacing w:val="26"/>
        </w:rPr>
        <w:t> </w:t>
      </w:r>
      <w:r>
        <w:rPr/>
        <w:t>por</w:t>
      </w:r>
      <w:r>
        <w:rPr>
          <w:spacing w:val="25"/>
        </w:rPr>
        <w:t> </w:t>
      </w:r>
      <w:r>
        <w:rPr/>
        <w:t>disposición</w:t>
      </w:r>
      <w:r>
        <w:rPr>
          <w:spacing w:val="27"/>
        </w:rPr>
        <w:t> </w:t>
      </w:r>
      <w:r>
        <w:rPr/>
        <w:t>de</w:t>
      </w:r>
      <w:r>
        <w:rPr>
          <w:spacing w:val="26"/>
        </w:rPr>
        <w:t> </w:t>
      </w:r>
      <w:r>
        <w:rPr/>
        <w:t>la</w:t>
      </w:r>
      <w:r>
        <w:rPr>
          <w:spacing w:val="27"/>
        </w:rPr>
        <w:t> </w:t>
      </w:r>
      <w:r>
        <w:rPr/>
        <w:t>Ley</w:t>
      </w:r>
      <w:r>
        <w:rPr>
          <w:spacing w:val="24"/>
        </w:rPr>
        <w:t> </w:t>
      </w:r>
      <w:r>
        <w:rPr/>
        <w:t>o</w:t>
      </w:r>
      <w:r>
        <w:rPr>
          <w:spacing w:val="26"/>
        </w:rPr>
        <w:t> </w:t>
      </w:r>
      <w:r>
        <w:rPr/>
        <w:t>los</w:t>
      </w:r>
      <w:r>
        <w:rPr>
          <w:spacing w:val="25"/>
        </w:rPr>
        <w:t> </w:t>
      </w:r>
      <w:r>
        <w:rPr/>
        <w:t>reglamentos</w:t>
      </w:r>
      <w:r>
        <w:rPr>
          <w:spacing w:val="26"/>
        </w:rPr>
        <w:t> </w:t>
      </w:r>
      <w:r>
        <w:rPr/>
        <w:t>aplicables,</w:t>
      </w:r>
      <w:r>
        <w:rPr>
          <w:spacing w:val="26"/>
        </w:rPr>
        <w:t> </w:t>
      </w:r>
      <w:r>
        <w:rPr/>
        <w:t>deberán</w:t>
      </w:r>
      <w:r>
        <w:rPr>
          <w:spacing w:val="27"/>
        </w:rPr>
        <w:t> </w:t>
      </w:r>
      <w:r>
        <w:rPr/>
        <w:t>refrendarse</w:t>
      </w:r>
    </w:p>
    <w:p>
      <w:pPr>
        <w:spacing w:after="0"/>
        <w:jc w:val="both"/>
        <w:sectPr>
          <w:type w:val="continuous"/>
          <w:pgSz w:w="12250" w:h="15850"/>
          <w:pgMar w:top="840" w:bottom="280" w:left="860" w:right="820"/>
        </w:sectPr>
      </w:pPr>
    </w:p>
    <w:p>
      <w:pPr>
        <w:pStyle w:val="BodyText"/>
        <w:spacing w:before="1"/>
        <w:rPr>
          <w:sz w:val="9"/>
        </w:rPr>
      </w:pPr>
    </w:p>
    <w:p>
      <w:pPr>
        <w:pStyle w:val="BodyText"/>
        <w:spacing w:before="93"/>
        <w:ind w:left="400" w:right="435"/>
        <w:jc w:val="both"/>
      </w:pPr>
      <w:r>
        <w:rPr/>
        <w:t>anualmente según el catálogo de giros vigente, durante el periodo comprendido entre el primero de enero y el último día hábil del mes de marzo. Para lo cual será necesaria la exhibición de las licencias, documentos y dictámenes anteriormente mencionados correspondientes al ejercicio fiscal inmediato anterior.</w:t>
      </w:r>
    </w:p>
    <w:p>
      <w:pPr>
        <w:pStyle w:val="BodyText"/>
      </w:pPr>
    </w:p>
    <w:p>
      <w:pPr>
        <w:pStyle w:val="BodyText"/>
        <w:ind w:left="400" w:right="442"/>
        <w:jc w:val="both"/>
      </w:pPr>
      <w:r>
        <w:rPr/>
        <w:drawing>
          <wp:anchor distT="0" distB="0" distL="0" distR="0" allowOverlap="1" layoutInCell="1" locked="0" behindDoc="1" simplePos="0" relativeHeight="227513344">
            <wp:simplePos x="0" y="0"/>
            <wp:positionH relativeFrom="page">
              <wp:posOffset>1252555</wp:posOffset>
            </wp:positionH>
            <wp:positionV relativeFrom="paragraph">
              <wp:posOffset>408633</wp:posOffset>
            </wp:positionV>
            <wp:extent cx="5022641" cy="5144769"/>
            <wp:effectExtent l="0" t="0" r="0" b="0"/>
            <wp:wrapNone/>
            <wp:docPr id="89" name="image40.png"/>
            <wp:cNvGraphicFramePr>
              <a:graphicFrameLocks noChangeAspect="1"/>
            </wp:cNvGraphicFramePr>
            <a:graphic>
              <a:graphicData uri="http://schemas.openxmlformats.org/drawingml/2006/picture">
                <pic:pic>
                  <pic:nvPicPr>
                    <pic:cNvPr id="90" name="image40.png"/>
                    <pic:cNvPicPr/>
                  </pic:nvPicPr>
                  <pic:blipFill>
                    <a:blip r:embed="rId50" cstate="print"/>
                    <a:stretch>
                      <a:fillRect/>
                    </a:stretch>
                  </pic:blipFill>
                  <pic:spPr>
                    <a:xfrm>
                      <a:off x="0" y="0"/>
                      <a:ext cx="5022641" cy="5144769"/>
                    </a:xfrm>
                    <a:prstGeom prst="rect">
                      <a:avLst/>
                    </a:prstGeom>
                  </pic:spPr>
                </pic:pic>
              </a:graphicData>
            </a:graphic>
          </wp:anchor>
        </w:drawing>
      </w:r>
      <w:r>
        <w:rPr/>
        <w:t>La omisión al párrafo anterior, generará las sanciones previstas en los reglamentos y disposiciones generales que se establezcan en cada una de las dependencias del Ayuntamiento.</w:t>
      </w:r>
    </w:p>
    <w:p>
      <w:pPr>
        <w:pStyle w:val="BodyText"/>
      </w:pPr>
    </w:p>
    <w:p>
      <w:pPr>
        <w:pStyle w:val="BodyText"/>
        <w:ind w:left="400" w:right="442"/>
        <w:jc w:val="both"/>
      </w:pPr>
      <w:r>
        <w:rPr>
          <w:b/>
        </w:rPr>
        <w:t>Artículo 28.- </w:t>
      </w:r>
      <w:r>
        <w:rPr/>
        <w:t>Todo giro comercial comprendido en el catálogo de giros vigentes y aquellos que contemplen la enajenación de bebidas alcohólicas o la prestación de servicios que incluyan el expendio de dichas bebidas, deberán sujetarse a los días y horarios que se señalen en las leyes y reglamentos correspondientes.</w:t>
      </w:r>
    </w:p>
    <w:p>
      <w:pPr>
        <w:pStyle w:val="BodyText"/>
        <w:spacing w:before="1"/>
      </w:pPr>
    </w:p>
    <w:p>
      <w:pPr>
        <w:pStyle w:val="Heading1"/>
        <w:ind w:left="3770" w:right="3804"/>
        <w:jc w:val="center"/>
      </w:pPr>
      <w:r>
        <w:rPr/>
        <w:t>Capítulo Décimo Segundo Mercados Públicos</w:t>
      </w:r>
    </w:p>
    <w:p>
      <w:pPr>
        <w:pStyle w:val="BodyText"/>
        <w:rPr>
          <w:b/>
        </w:rPr>
      </w:pPr>
    </w:p>
    <w:p>
      <w:pPr>
        <w:pStyle w:val="BodyText"/>
        <w:ind w:left="400"/>
        <w:jc w:val="both"/>
      </w:pPr>
      <w:r>
        <w:rPr>
          <w:b/>
        </w:rPr>
        <w:t>Artículo 29.- </w:t>
      </w:r>
      <w:r>
        <w:rPr/>
        <w:t>Los Derechos generados por los mercados, se regirán de la forma</w:t>
      </w:r>
      <w:r>
        <w:rPr>
          <w:spacing w:val="-23"/>
        </w:rPr>
        <w:t> </w:t>
      </w:r>
      <w:r>
        <w:rPr/>
        <w:t>siguiente:</w:t>
      </w:r>
    </w:p>
    <w:p>
      <w:pPr>
        <w:pStyle w:val="BodyText"/>
      </w:pPr>
    </w:p>
    <w:p>
      <w:pPr>
        <w:pStyle w:val="BodyText"/>
        <w:tabs>
          <w:tab w:pos="9185" w:val="left" w:leader="none"/>
        </w:tabs>
        <w:ind w:left="3993"/>
      </w:pPr>
      <w:r>
        <w:rPr/>
        <w:t>Concepto</w:t>
        <w:tab/>
        <w:t>Importe</w:t>
      </w:r>
    </w:p>
    <w:p>
      <w:pPr>
        <w:pStyle w:val="BodyText"/>
        <w:ind w:left="9594"/>
      </w:pPr>
      <w:r>
        <w:rPr>
          <w:w w:val="99"/>
        </w:rPr>
        <w:t>$</w:t>
      </w:r>
    </w:p>
    <w:p>
      <w:pPr>
        <w:spacing w:after="0"/>
        <w:sectPr>
          <w:pgSz w:w="12250" w:h="15850"/>
          <w:pgMar w:header="730" w:footer="0" w:top="1000" w:bottom="280" w:left="860" w:right="820"/>
        </w:sectPr>
      </w:pPr>
    </w:p>
    <w:p>
      <w:pPr>
        <w:pStyle w:val="ListParagraph"/>
        <w:numPr>
          <w:ilvl w:val="0"/>
          <w:numId w:val="48"/>
        </w:numPr>
        <w:tabs>
          <w:tab w:pos="1709" w:val="left" w:leader="none"/>
        </w:tabs>
        <w:spacing w:line="240" w:lineRule="auto" w:before="0" w:after="0"/>
        <w:ind w:left="1708" w:right="0" w:hanging="346"/>
        <w:jc w:val="both"/>
        <w:rPr>
          <w:sz w:val="24"/>
        </w:rPr>
      </w:pPr>
      <w:r>
        <w:rPr>
          <w:sz w:val="24"/>
        </w:rPr>
        <w:t>Los locatarios en los mercados municipales, Pagarán por puesto</w:t>
      </w:r>
      <w:r>
        <w:rPr>
          <w:spacing w:val="-1"/>
          <w:sz w:val="24"/>
        </w:rPr>
        <w:t> </w:t>
      </w:r>
      <w:r>
        <w:rPr>
          <w:sz w:val="24"/>
        </w:rPr>
        <w:t>diariamente</w:t>
      </w:r>
    </w:p>
    <w:p>
      <w:pPr>
        <w:pStyle w:val="ListParagraph"/>
        <w:numPr>
          <w:ilvl w:val="0"/>
          <w:numId w:val="48"/>
        </w:numPr>
        <w:tabs>
          <w:tab w:pos="1709" w:val="left" w:leader="none"/>
        </w:tabs>
        <w:spacing w:line="240" w:lineRule="auto" w:before="0" w:after="0"/>
        <w:ind w:left="1708" w:right="0" w:hanging="346"/>
        <w:jc w:val="both"/>
        <w:rPr>
          <w:sz w:val="24"/>
        </w:rPr>
      </w:pPr>
      <w:r>
        <w:rPr>
          <w:sz w:val="24"/>
        </w:rPr>
        <w:t>Elaboración de título Concesión y/o refrendo por cada uno de los locales de los Mercados Públicos que se encuentren disponibles y sean otorgados por el Ayuntamiento a Comerciantes de nuevo ingreso el locatario deberá cubrir una cuota</w:t>
      </w:r>
      <w:r>
        <w:rPr>
          <w:spacing w:val="-2"/>
          <w:sz w:val="24"/>
        </w:rPr>
        <w:t> </w:t>
      </w:r>
      <w:r>
        <w:rPr>
          <w:sz w:val="24"/>
        </w:rPr>
        <w:t>de:</w:t>
      </w:r>
    </w:p>
    <w:p>
      <w:pPr>
        <w:pStyle w:val="ListParagraph"/>
        <w:numPr>
          <w:ilvl w:val="0"/>
          <w:numId w:val="48"/>
        </w:numPr>
        <w:tabs>
          <w:tab w:pos="1709" w:val="left" w:leader="none"/>
        </w:tabs>
        <w:spacing w:line="240" w:lineRule="auto" w:before="1" w:after="0"/>
        <w:ind w:left="1708" w:right="0" w:hanging="346"/>
        <w:jc w:val="both"/>
        <w:rPr>
          <w:sz w:val="24"/>
        </w:rPr>
      </w:pPr>
      <w:r>
        <w:rPr>
          <w:sz w:val="24"/>
        </w:rPr>
        <w:t>Por refrendo de Título Concesión de cada uno de los locales de los mercados Morelos y Juan Escutia planta baja y zona nueva, el locatario deberá cubrir una cuota anual</w:t>
      </w:r>
      <w:r>
        <w:rPr>
          <w:spacing w:val="-4"/>
          <w:sz w:val="24"/>
        </w:rPr>
        <w:t> </w:t>
      </w:r>
      <w:r>
        <w:rPr>
          <w:sz w:val="24"/>
        </w:rPr>
        <w:t>de</w:t>
      </w:r>
    </w:p>
    <w:p>
      <w:pPr>
        <w:pStyle w:val="ListParagraph"/>
        <w:numPr>
          <w:ilvl w:val="0"/>
          <w:numId w:val="48"/>
        </w:numPr>
        <w:tabs>
          <w:tab w:pos="1709" w:val="left" w:leader="none"/>
        </w:tabs>
        <w:spacing w:line="240" w:lineRule="auto" w:before="0" w:after="0"/>
        <w:ind w:left="1708" w:right="1" w:hanging="346"/>
        <w:jc w:val="both"/>
        <w:rPr>
          <w:sz w:val="24"/>
        </w:rPr>
      </w:pPr>
      <w:r>
        <w:rPr>
          <w:sz w:val="24"/>
        </w:rPr>
        <w:t>Por refrendo de Título Concesión de cada uno de los locales de los mercados Amado Nervo, H. Casas, del Mar y planta alta del Juan Escutia el locatario deberá cubrir una cuota anual</w:t>
      </w:r>
      <w:r>
        <w:rPr>
          <w:spacing w:val="-14"/>
          <w:sz w:val="24"/>
        </w:rPr>
        <w:t> </w:t>
      </w:r>
      <w:r>
        <w:rPr>
          <w:sz w:val="24"/>
        </w:rPr>
        <w:t>de</w:t>
      </w:r>
    </w:p>
    <w:p>
      <w:pPr>
        <w:pStyle w:val="ListParagraph"/>
        <w:numPr>
          <w:ilvl w:val="0"/>
          <w:numId w:val="48"/>
        </w:numPr>
        <w:tabs>
          <w:tab w:pos="1709" w:val="left" w:leader="none"/>
        </w:tabs>
        <w:spacing w:line="240" w:lineRule="auto" w:before="0" w:after="0"/>
        <w:ind w:left="1708" w:right="1" w:hanging="346"/>
        <w:jc w:val="both"/>
        <w:rPr>
          <w:sz w:val="24"/>
        </w:rPr>
      </w:pPr>
      <w:r>
        <w:rPr>
          <w:sz w:val="24"/>
        </w:rPr>
        <w:t>Por emitir autorización de cambio de giro comercial, por cada uno de los locales, cuando</w:t>
      </w:r>
      <w:r>
        <w:rPr>
          <w:spacing w:val="-8"/>
          <w:sz w:val="24"/>
        </w:rPr>
        <w:t> </w:t>
      </w:r>
      <w:r>
        <w:rPr>
          <w:sz w:val="24"/>
        </w:rPr>
        <w:t>proceda</w:t>
      </w:r>
    </w:p>
    <w:p>
      <w:pPr>
        <w:pStyle w:val="BodyText"/>
        <w:ind w:right="552"/>
        <w:jc w:val="right"/>
      </w:pPr>
      <w:r>
        <w:rPr/>
        <w:br w:type="column"/>
      </w:r>
      <w:r>
        <w:rPr>
          <w:spacing w:val="-1"/>
        </w:rPr>
        <w:t>12.00</w:t>
      </w:r>
    </w:p>
    <w:p>
      <w:pPr>
        <w:pStyle w:val="BodyText"/>
      </w:pPr>
    </w:p>
    <w:p>
      <w:pPr>
        <w:pStyle w:val="BodyText"/>
        <w:ind w:right="552"/>
        <w:jc w:val="right"/>
      </w:pPr>
      <w:r>
        <w:rPr>
          <w:spacing w:val="-1"/>
        </w:rPr>
        <w:t>2,911.61</w:t>
      </w:r>
    </w:p>
    <w:p>
      <w:pPr>
        <w:pStyle w:val="BodyText"/>
        <w:rPr>
          <w:sz w:val="26"/>
        </w:rPr>
      </w:pPr>
    </w:p>
    <w:p>
      <w:pPr>
        <w:pStyle w:val="BodyText"/>
        <w:rPr>
          <w:sz w:val="26"/>
        </w:rPr>
      </w:pPr>
    </w:p>
    <w:p>
      <w:pPr>
        <w:pStyle w:val="BodyText"/>
        <w:rPr>
          <w:sz w:val="26"/>
        </w:rPr>
      </w:pPr>
    </w:p>
    <w:p>
      <w:pPr>
        <w:pStyle w:val="BodyText"/>
        <w:spacing w:before="208"/>
        <w:ind w:right="553"/>
        <w:jc w:val="right"/>
      </w:pPr>
      <w:r>
        <w:rPr>
          <w:spacing w:val="-1"/>
        </w:rPr>
        <w:t>530.36</w:t>
      </w:r>
    </w:p>
    <w:p>
      <w:pPr>
        <w:pStyle w:val="BodyText"/>
        <w:rPr>
          <w:sz w:val="26"/>
        </w:rPr>
      </w:pPr>
    </w:p>
    <w:p>
      <w:pPr>
        <w:pStyle w:val="BodyText"/>
        <w:rPr>
          <w:sz w:val="22"/>
        </w:rPr>
      </w:pPr>
    </w:p>
    <w:p>
      <w:pPr>
        <w:pStyle w:val="BodyText"/>
        <w:ind w:right="553"/>
        <w:jc w:val="right"/>
      </w:pPr>
      <w:r>
        <w:rPr>
          <w:spacing w:val="-1"/>
        </w:rPr>
        <w:t>318.75</w:t>
      </w:r>
    </w:p>
    <w:p>
      <w:pPr>
        <w:pStyle w:val="BodyText"/>
        <w:rPr>
          <w:sz w:val="26"/>
        </w:rPr>
      </w:pPr>
    </w:p>
    <w:p>
      <w:pPr>
        <w:pStyle w:val="BodyText"/>
        <w:spacing w:before="9"/>
        <w:rPr>
          <w:sz w:val="21"/>
        </w:rPr>
      </w:pPr>
    </w:p>
    <w:p>
      <w:pPr>
        <w:pStyle w:val="BodyText"/>
        <w:ind w:right="552"/>
        <w:jc w:val="right"/>
      </w:pPr>
      <w:r>
        <w:rPr>
          <w:spacing w:val="-1"/>
        </w:rPr>
        <w:t>1,892.86</w:t>
      </w:r>
    </w:p>
    <w:p>
      <w:pPr>
        <w:spacing w:after="0"/>
        <w:jc w:val="right"/>
        <w:sectPr>
          <w:type w:val="continuous"/>
          <w:pgSz w:w="12250" w:h="15850"/>
          <w:pgMar w:top="840" w:bottom="280" w:left="860" w:right="820"/>
          <w:cols w:num="2" w:equalWidth="0">
            <w:col w:w="8493" w:space="40"/>
            <w:col w:w="2037"/>
          </w:cols>
        </w:sectPr>
      </w:pPr>
    </w:p>
    <w:p>
      <w:pPr>
        <w:pStyle w:val="ListParagraph"/>
        <w:numPr>
          <w:ilvl w:val="0"/>
          <w:numId w:val="48"/>
        </w:numPr>
        <w:tabs>
          <w:tab w:pos="1709" w:val="left" w:leader="none"/>
          <w:tab w:pos="10007" w:val="right" w:leader="none"/>
        </w:tabs>
        <w:spacing w:line="274" w:lineRule="exact" w:before="0" w:after="0"/>
        <w:ind w:left="1708" w:right="0" w:hanging="347"/>
        <w:jc w:val="left"/>
        <w:rPr>
          <w:sz w:val="24"/>
        </w:rPr>
      </w:pPr>
      <w:r>
        <w:rPr>
          <w:sz w:val="24"/>
        </w:rPr>
        <w:t>Por Reposición de tarjeta</w:t>
      </w:r>
      <w:r>
        <w:rPr>
          <w:spacing w:val="-2"/>
          <w:sz w:val="24"/>
        </w:rPr>
        <w:t> </w:t>
      </w:r>
      <w:r>
        <w:rPr>
          <w:sz w:val="24"/>
        </w:rPr>
        <w:t>de</w:t>
      </w:r>
      <w:r>
        <w:rPr>
          <w:spacing w:val="-2"/>
          <w:sz w:val="24"/>
        </w:rPr>
        <w:t> </w:t>
      </w:r>
      <w:r>
        <w:rPr>
          <w:sz w:val="24"/>
        </w:rPr>
        <w:t>pago</w:t>
        <w:tab/>
        <w:t>91.07</w:t>
      </w:r>
    </w:p>
    <w:p>
      <w:pPr>
        <w:spacing w:after="0" w:line="274" w:lineRule="exact"/>
        <w:jc w:val="left"/>
        <w:rPr>
          <w:sz w:val="24"/>
        </w:rPr>
        <w:sectPr>
          <w:type w:val="continuous"/>
          <w:pgSz w:w="12250" w:h="15850"/>
          <w:pgMar w:top="840" w:bottom="280" w:left="860" w:right="820"/>
        </w:sectPr>
      </w:pPr>
    </w:p>
    <w:p>
      <w:pPr>
        <w:pStyle w:val="ListParagraph"/>
        <w:numPr>
          <w:ilvl w:val="0"/>
          <w:numId w:val="48"/>
        </w:numPr>
        <w:tabs>
          <w:tab w:pos="1709" w:val="left" w:leader="none"/>
        </w:tabs>
        <w:spacing w:line="240" w:lineRule="auto" w:before="0" w:after="0"/>
        <w:ind w:left="1708" w:right="0" w:hanging="346"/>
        <w:jc w:val="left"/>
        <w:rPr>
          <w:sz w:val="24"/>
        </w:rPr>
      </w:pPr>
      <w:r>
        <w:rPr>
          <w:sz w:val="24"/>
        </w:rPr>
        <w:t>Por emitir constancias de índole personal a comerciantes de algún local de los mercados</w:t>
      </w:r>
      <w:r>
        <w:rPr>
          <w:spacing w:val="-7"/>
          <w:sz w:val="24"/>
        </w:rPr>
        <w:t> </w:t>
      </w:r>
      <w:r>
        <w:rPr>
          <w:sz w:val="24"/>
        </w:rPr>
        <w:t>Públicos</w:t>
      </w:r>
    </w:p>
    <w:p>
      <w:pPr>
        <w:pStyle w:val="BodyText"/>
        <w:ind w:left="876"/>
      </w:pPr>
      <w:r>
        <w:rPr/>
        <w:br w:type="column"/>
      </w:r>
      <w:r>
        <w:rPr/>
        <w:t>83.93</w:t>
      </w:r>
    </w:p>
    <w:p>
      <w:pPr>
        <w:spacing w:after="0"/>
        <w:sectPr>
          <w:type w:val="continuous"/>
          <w:pgSz w:w="12250" w:h="15850"/>
          <w:pgMar w:top="840" w:bottom="280" w:left="860" w:right="820"/>
          <w:cols w:num="2" w:equalWidth="0">
            <w:col w:w="8490" w:space="40"/>
            <w:col w:w="2040"/>
          </w:cols>
        </w:sectPr>
      </w:pPr>
    </w:p>
    <w:p>
      <w:pPr>
        <w:pStyle w:val="ListParagraph"/>
        <w:numPr>
          <w:ilvl w:val="0"/>
          <w:numId w:val="48"/>
        </w:numPr>
        <w:tabs>
          <w:tab w:pos="1709" w:val="left" w:leader="none"/>
          <w:tab w:pos="10007" w:val="right" w:leader="none"/>
        </w:tabs>
        <w:spacing w:line="240" w:lineRule="auto" w:before="0" w:after="0"/>
        <w:ind w:left="1708" w:right="0" w:hanging="347"/>
        <w:jc w:val="left"/>
        <w:rPr>
          <w:sz w:val="24"/>
        </w:rPr>
      </w:pPr>
      <w:r>
        <w:rPr>
          <w:sz w:val="24"/>
        </w:rPr>
        <w:t>Por emitir constancia de no adeudo</w:t>
      </w:r>
      <w:r>
        <w:rPr>
          <w:spacing w:val="-8"/>
          <w:sz w:val="24"/>
        </w:rPr>
        <w:t> </w:t>
      </w:r>
      <w:r>
        <w:rPr>
          <w:sz w:val="24"/>
        </w:rPr>
        <w:t>a</w:t>
      </w:r>
      <w:r>
        <w:rPr>
          <w:spacing w:val="-1"/>
          <w:sz w:val="24"/>
        </w:rPr>
        <w:t> </w:t>
      </w:r>
      <w:r>
        <w:rPr>
          <w:sz w:val="24"/>
        </w:rPr>
        <w:t>locatarios</w:t>
        <w:tab/>
        <w:t>83.93</w:t>
      </w:r>
    </w:p>
    <w:p>
      <w:pPr>
        <w:spacing w:after="0" w:line="240" w:lineRule="auto"/>
        <w:jc w:val="left"/>
        <w:rPr>
          <w:sz w:val="24"/>
        </w:rPr>
        <w:sectPr>
          <w:type w:val="continuous"/>
          <w:pgSz w:w="12250" w:h="15850"/>
          <w:pgMar w:top="840" w:bottom="280" w:left="860" w:right="820"/>
        </w:sectPr>
      </w:pPr>
    </w:p>
    <w:p>
      <w:pPr>
        <w:pStyle w:val="ListParagraph"/>
        <w:numPr>
          <w:ilvl w:val="0"/>
          <w:numId w:val="48"/>
        </w:numPr>
        <w:tabs>
          <w:tab w:pos="1709" w:val="left" w:leader="none"/>
        </w:tabs>
        <w:spacing w:line="240" w:lineRule="auto" w:before="0" w:after="0"/>
        <w:ind w:left="1708" w:right="0" w:hanging="346"/>
        <w:jc w:val="left"/>
        <w:rPr>
          <w:sz w:val="24"/>
        </w:rPr>
      </w:pPr>
      <w:r>
        <w:rPr>
          <w:sz w:val="24"/>
        </w:rPr>
        <w:t>Por emitir autorización para remodelación y/adaptación de locales comerciales por cada tres</w:t>
      </w:r>
      <w:r>
        <w:rPr>
          <w:spacing w:val="-3"/>
          <w:sz w:val="24"/>
        </w:rPr>
        <w:t> </w:t>
      </w:r>
      <w:r>
        <w:rPr>
          <w:sz w:val="24"/>
        </w:rPr>
        <w:t>días.</w:t>
      </w:r>
    </w:p>
    <w:p>
      <w:pPr>
        <w:pStyle w:val="ListParagraph"/>
        <w:numPr>
          <w:ilvl w:val="0"/>
          <w:numId w:val="48"/>
        </w:numPr>
        <w:tabs>
          <w:tab w:pos="1709" w:val="left" w:leader="none"/>
        </w:tabs>
        <w:spacing w:line="240" w:lineRule="auto" w:before="0" w:after="0"/>
        <w:ind w:left="1708" w:right="0" w:hanging="347"/>
        <w:jc w:val="left"/>
        <w:rPr>
          <w:sz w:val="24"/>
        </w:rPr>
      </w:pPr>
      <w:r>
        <w:rPr>
          <w:sz w:val="24"/>
        </w:rPr>
        <w:t>Por el uso de servicio sanitario en los mercados</w:t>
      </w:r>
      <w:r>
        <w:rPr>
          <w:spacing w:val="-18"/>
          <w:sz w:val="24"/>
        </w:rPr>
        <w:t> </w:t>
      </w:r>
      <w:r>
        <w:rPr>
          <w:sz w:val="24"/>
        </w:rPr>
        <w:t>municipales:</w:t>
      </w:r>
    </w:p>
    <w:p>
      <w:pPr>
        <w:pStyle w:val="BodyText"/>
        <w:ind w:left="743"/>
      </w:pPr>
      <w:r>
        <w:rPr/>
        <w:br w:type="column"/>
      </w:r>
      <w:r>
        <w:rPr/>
        <w:t>360.71</w:t>
      </w:r>
    </w:p>
    <w:p>
      <w:pPr>
        <w:spacing w:after="0"/>
        <w:sectPr>
          <w:type w:val="continuous"/>
          <w:pgSz w:w="12250" w:h="15850"/>
          <w:pgMar w:top="840" w:bottom="280" w:left="860" w:right="820"/>
          <w:cols w:num="2" w:equalWidth="0">
            <w:col w:w="8489" w:space="40"/>
            <w:col w:w="2041"/>
          </w:cols>
        </w:sectPr>
      </w:pPr>
    </w:p>
    <w:p>
      <w:pPr>
        <w:pStyle w:val="ListParagraph"/>
        <w:numPr>
          <w:ilvl w:val="0"/>
          <w:numId w:val="49"/>
        </w:numPr>
        <w:tabs>
          <w:tab w:pos="1673" w:val="left" w:leader="none"/>
          <w:tab w:pos="9538" w:val="left" w:leader="none"/>
        </w:tabs>
        <w:spacing w:line="240" w:lineRule="auto" w:before="0" w:after="0"/>
        <w:ind w:left="1672" w:right="0" w:hanging="282"/>
        <w:jc w:val="left"/>
        <w:rPr>
          <w:sz w:val="24"/>
        </w:rPr>
      </w:pPr>
      <w:r>
        <w:rPr>
          <w:sz w:val="24"/>
        </w:rPr>
        <w:t>Locatarios</w:t>
        <w:tab/>
        <w:t>3.00</w:t>
      </w:r>
    </w:p>
    <w:p>
      <w:pPr>
        <w:pStyle w:val="ListParagraph"/>
        <w:numPr>
          <w:ilvl w:val="0"/>
          <w:numId w:val="49"/>
        </w:numPr>
        <w:tabs>
          <w:tab w:pos="1673" w:val="left" w:leader="none"/>
          <w:tab w:pos="9538" w:val="left" w:leader="none"/>
        </w:tabs>
        <w:spacing w:line="240" w:lineRule="auto" w:before="0" w:after="0"/>
        <w:ind w:left="1672" w:right="0" w:hanging="282"/>
        <w:jc w:val="left"/>
        <w:rPr>
          <w:sz w:val="24"/>
        </w:rPr>
      </w:pPr>
      <w:r>
        <w:rPr>
          <w:sz w:val="24"/>
        </w:rPr>
        <w:t>Público</w:t>
      </w:r>
      <w:r>
        <w:rPr>
          <w:spacing w:val="-3"/>
          <w:sz w:val="24"/>
        </w:rPr>
        <w:t> </w:t>
      </w:r>
      <w:r>
        <w:rPr>
          <w:sz w:val="24"/>
        </w:rPr>
        <w:t>en</w:t>
      </w:r>
      <w:r>
        <w:rPr>
          <w:spacing w:val="-2"/>
          <w:sz w:val="24"/>
        </w:rPr>
        <w:t> </w:t>
      </w:r>
      <w:r>
        <w:rPr>
          <w:sz w:val="24"/>
        </w:rPr>
        <w:t>general</w:t>
        <w:tab/>
        <w:t>5.00</w:t>
      </w:r>
    </w:p>
    <w:p>
      <w:pPr>
        <w:spacing w:after="0" w:line="240" w:lineRule="auto"/>
        <w:jc w:val="left"/>
        <w:rPr>
          <w:sz w:val="24"/>
        </w:rPr>
        <w:sectPr>
          <w:type w:val="continuous"/>
          <w:pgSz w:w="12250" w:h="15850"/>
          <w:pgMar w:top="840" w:bottom="280" w:left="860" w:right="820"/>
        </w:sectPr>
      </w:pPr>
    </w:p>
    <w:p>
      <w:pPr>
        <w:pStyle w:val="ListParagraph"/>
        <w:numPr>
          <w:ilvl w:val="0"/>
          <w:numId w:val="48"/>
        </w:numPr>
        <w:tabs>
          <w:tab w:pos="1709" w:val="left" w:leader="none"/>
        </w:tabs>
        <w:spacing w:line="240" w:lineRule="auto" w:before="0" w:after="0"/>
        <w:ind w:left="1708" w:right="0" w:hanging="346"/>
        <w:jc w:val="left"/>
        <w:rPr>
          <w:sz w:val="24"/>
        </w:rPr>
      </w:pPr>
      <w:r>
        <w:rPr>
          <w:sz w:val="24"/>
        </w:rPr>
        <w:t>Por autorización de permuta de local comercial, porcada uno de los locales cuando</w:t>
      </w:r>
      <w:r>
        <w:rPr>
          <w:spacing w:val="-3"/>
          <w:sz w:val="24"/>
        </w:rPr>
        <w:t> </w:t>
      </w:r>
      <w:r>
        <w:rPr>
          <w:sz w:val="24"/>
        </w:rPr>
        <w:t>proceda</w:t>
      </w:r>
    </w:p>
    <w:p>
      <w:pPr>
        <w:pStyle w:val="BodyText"/>
        <w:ind w:left="544"/>
      </w:pPr>
      <w:r>
        <w:rPr/>
        <w:br w:type="column"/>
      </w:r>
      <w:r>
        <w:rPr/>
        <w:t>2,079.46</w:t>
      </w:r>
    </w:p>
    <w:p>
      <w:pPr>
        <w:spacing w:after="0"/>
        <w:sectPr>
          <w:type w:val="continuous"/>
          <w:pgSz w:w="12250" w:h="15850"/>
          <w:pgMar w:top="840" w:bottom="280" w:left="860" w:right="820"/>
          <w:cols w:num="2" w:equalWidth="0">
            <w:col w:w="8489" w:space="40"/>
            <w:col w:w="2041"/>
          </w:cols>
        </w:sectPr>
      </w:pPr>
    </w:p>
    <w:p>
      <w:pPr>
        <w:pStyle w:val="BodyText"/>
        <w:spacing w:before="183"/>
        <w:ind w:left="400" w:right="433"/>
        <w:jc w:val="both"/>
      </w:pPr>
      <w:r>
        <w:rPr/>
        <w:t>Para los efectos de la recaudación, los locatarios de los mercados públicos municipales, podrán efectuar dicho pago de forma diaria, semanal o anual, según la comodidad o disposición del obligado.</w:t>
      </w:r>
    </w:p>
    <w:p>
      <w:pPr>
        <w:pStyle w:val="BodyText"/>
      </w:pPr>
    </w:p>
    <w:p>
      <w:pPr>
        <w:pStyle w:val="BodyText"/>
        <w:ind w:left="400" w:right="446"/>
        <w:jc w:val="both"/>
      </w:pPr>
      <w:r>
        <w:rPr/>
        <w:t>Los adeudos anteriores, serán pagados conforme a las tarifas establecidas en la Ley de Ingresos Vigente.</w:t>
      </w:r>
    </w:p>
    <w:p>
      <w:pPr>
        <w:pStyle w:val="BodyText"/>
      </w:pPr>
    </w:p>
    <w:p>
      <w:pPr>
        <w:pStyle w:val="Heading1"/>
        <w:ind w:left="3769" w:right="3804"/>
        <w:jc w:val="center"/>
      </w:pPr>
      <w:r>
        <w:rPr/>
        <w:drawing>
          <wp:anchor distT="0" distB="0" distL="0" distR="0" allowOverlap="1" layoutInCell="1" locked="0" behindDoc="1" simplePos="0" relativeHeight="227514368">
            <wp:simplePos x="0" y="0"/>
            <wp:positionH relativeFrom="page">
              <wp:posOffset>1239220</wp:posOffset>
            </wp:positionH>
            <wp:positionV relativeFrom="paragraph">
              <wp:posOffset>67257</wp:posOffset>
            </wp:positionV>
            <wp:extent cx="5022641" cy="5144769"/>
            <wp:effectExtent l="0" t="0" r="0" b="0"/>
            <wp:wrapNone/>
            <wp:docPr id="91" name="image41.png"/>
            <wp:cNvGraphicFramePr>
              <a:graphicFrameLocks noChangeAspect="1"/>
            </wp:cNvGraphicFramePr>
            <a:graphic>
              <a:graphicData uri="http://schemas.openxmlformats.org/drawingml/2006/picture">
                <pic:pic>
                  <pic:nvPicPr>
                    <pic:cNvPr id="92" name="image41.png"/>
                    <pic:cNvPicPr/>
                  </pic:nvPicPr>
                  <pic:blipFill>
                    <a:blip r:embed="rId51" cstate="print"/>
                    <a:stretch>
                      <a:fillRect/>
                    </a:stretch>
                  </pic:blipFill>
                  <pic:spPr>
                    <a:xfrm>
                      <a:off x="0" y="0"/>
                      <a:ext cx="5022641" cy="5144769"/>
                    </a:xfrm>
                    <a:prstGeom prst="rect">
                      <a:avLst/>
                    </a:prstGeom>
                  </pic:spPr>
                </pic:pic>
              </a:graphicData>
            </a:graphic>
          </wp:anchor>
        </w:drawing>
      </w:r>
      <w:r>
        <w:rPr/>
        <w:t>Capítulo Décimo Tercero Panteones</w:t>
      </w:r>
    </w:p>
    <w:p>
      <w:pPr>
        <w:pStyle w:val="BodyText"/>
        <w:rPr>
          <w:b/>
        </w:rPr>
      </w:pPr>
    </w:p>
    <w:p>
      <w:pPr>
        <w:pStyle w:val="BodyText"/>
        <w:ind w:left="400" w:right="435"/>
        <w:jc w:val="both"/>
      </w:pPr>
      <w:r>
        <w:rPr>
          <w:b/>
        </w:rPr>
        <w:t>Artículo 30.- </w:t>
      </w:r>
      <w:r>
        <w:rPr/>
        <w:t>Por la adquisición de terrenos en los panteones municipales o </w:t>
      </w:r>
      <w:r>
        <w:rPr>
          <w:spacing w:val="4"/>
        </w:rPr>
        <w:t>de </w:t>
      </w:r>
      <w:r>
        <w:rPr/>
        <w:t>criptas o mausoleos individuales propiedad del Ayuntamiento en el Parque Funeral “Jardines de  San Juan”, se pagará de la siguiente</w:t>
      </w:r>
      <w:r>
        <w:rPr>
          <w:spacing w:val="-9"/>
        </w:rPr>
        <w:t> </w:t>
      </w:r>
      <w:r>
        <w:rPr/>
        <w:t>manera:</w:t>
      </w:r>
    </w:p>
    <w:p>
      <w:pPr>
        <w:pStyle w:val="BodyText"/>
        <w:spacing w:before="1"/>
      </w:pPr>
    </w:p>
    <w:p>
      <w:pPr>
        <w:pStyle w:val="ListParagraph"/>
        <w:numPr>
          <w:ilvl w:val="0"/>
          <w:numId w:val="50"/>
        </w:numPr>
        <w:tabs>
          <w:tab w:pos="1120" w:val="left" w:leader="none"/>
          <w:tab w:pos="1121" w:val="left" w:leader="none"/>
        </w:tabs>
        <w:spacing w:line="240" w:lineRule="auto" w:before="0" w:after="0"/>
        <w:ind w:left="1120" w:right="0" w:hanging="438"/>
        <w:jc w:val="left"/>
        <w:rPr>
          <w:sz w:val="24"/>
        </w:rPr>
      </w:pPr>
      <w:r>
        <w:rPr>
          <w:sz w:val="24"/>
        </w:rPr>
        <w:t>Terrenos en panteones</w:t>
      </w:r>
      <w:r>
        <w:rPr>
          <w:spacing w:val="-1"/>
          <w:sz w:val="24"/>
        </w:rPr>
        <w:t> </w:t>
      </w:r>
      <w:r>
        <w:rPr>
          <w:sz w:val="24"/>
        </w:rPr>
        <w:t>municipales:</w:t>
      </w:r>
    </w:p>
    <w:p>
      <w:pPr>
        <w:pStyle w:val="BodyText"/>
      </w:pPr>
    </w:p>
    <w:p>
      <w:pPr>
        <w:pStyle w:val="BodyText"/>
        <w:tabs>
          <w:tab w:pos="9457" w:val="left" w:leader="none"/>
        </w:tabs>
        <w:ind w:left="3240"/>
      </w:pPr>
      <w:r>
        <w:rPr/>
        <w:t>Concepto</w:t>
        <w:tab/>
        <w:t>Pesos</w:t>
      </w:r>
    </w:p>
    <w:p>
      <w:pPr>
        <w:pStyle w:val="ListParagraph"/>
        <w:numPr>
          <w:ilvl w:val="1"/>
          <w:numId w:val="50"/>
        </w:numPr>
        <w:tabs>
          <w:tab w:pos="1538" w:val="left" w:leader="none"/>
          <w:tab w:pos="9123" w:val="left" w:leader="none"/>
        </w:tabs>
        <w:spacing w:line="240" w:lineRule="auto" w:before="0" w:after="0"/>
        <w:ind w:left="1538" w:right="0" w:hanging="281"/>
        <w:jc w:val="left"/>
        <w:rPr>
          <w:sz w:val="24"/>
        </w:rPr>
      </w:pPr>
      <w:r>
        <w:rPr>
          <w:sz w:val="24"/>
        </w:rPr>
        <w:t>A perpetuidad en la cabecera Municipal, por</w:t>
      </w:r>
      <w:r>
        <w:rPr>
          <w:spacing w:val="-15"/>
          <w:sz w:val="24"/>
        </w:rPr>
        <w:t> </w:t>
      </w:r>
      <w:r>
        <w:rPr>
          <w:sz w:val="24"/>
        </w:rPr>
        <w:t>metro</w:t>
      </w:r>
      <w:r>
        <w:rPr>
          <w:spacing w:val="-2"/>
          <w:sz w:val="24"/>
        </w:rPr>
        <w:t> </w:t>
      </w:r>
      <w:r>
        <w:rPr>
          <w:sz w:val="24"/>
        </w:rPr>
        <w:t>cuadrado</w:t>
        <w:tab/>
        <w:t>3,</w:t>
      </w:r>
      <w:r>
        <w:rPr>
          <w:spacing w:val="-4"/>
          <w:sz w:val="24"/>
        </w:rPr>
        <w:t> </w:t>
      </w:r>
      <w:r>
        <w:rPr>
          <w:sz w:val="24"/>
        </w:rPr>
        <w:t>631.25</w:t>
      </w:r>
    </w:p>
    <w:p>
      <w:pPr>
        <w:pStyle w:val="ListParagraph"/>
        <w:numPr>
          <w:ilvl w:val="1"/>
          <w:numId w:val="50"/>
        </w:numPr>
        <w:tabs>
          <w:tab w:pos="1603" w:val="left" w:leader="none"/>
        </w:tabs>
        <w:spacing w:line="240" w:lineRule="auto" w:before="0" w:after="0"/>
        <w:ind w:left="1602" w:right="0" w:hanging="346"/>
        <w:jc w:val="left"/>
        <w:rPr>
          <w:sz w:val="24"/>
        </w:rPr>
      </w:pPr>
      <w:r>
        <w:rPr>
          <w:sz w:val="24"/>
        </w:rPr>
        <w:t>A perpetuidad fuera de la cabecera Municipal, por</w:t>
      </w:r>
      <w:r>
        <w:rPr>
          <w:spacing w:val="32"/>
          <w:sz w:val="24"/>
        </w:rPr>
        <w:t> </w:t>
      </w:r>
      <w:r>
        <w:rPr>
          <w:sz w:val="24"/>
        </w:rPr>
        <w:t>metro</w:t>
      </w:r>
    </w:p>
    <w:p>
      <w:pPr>
        <w:pStyle w:val="BodyText"/>
        <w:tabs>
          <w:tab w:pos="9190" w:val="left" w:leader="none"/>
        </w:tabs>
        <w:ind w:left="1257"/>
      </w:pPr>
      <w:r>
        <w:rPr/>
        <w:t>cuadrado</w:t>
        <w:tab/>
        <w:t>1,133.93</w:t>
      </w:r>
    </w:p>
    <w:p>
      <w:pPr>
        <w:pStyle w:val="ListParagraph"/>
        <w:numPr>
          <w:ilvl w:val="1"/>
          <w:numId w:val="50"/>
        </w:numPr>
        <w:tabs>
          <w:tab w:pos="1548" w:val="left" w:leader="none"/>
        </w:tabs>
        <w:spacing w:line="240" w:lineRule="auto" w:before="0" w:after="0"/>
        <w:ind w:left="1547" w:right="0" w:hanging="291"/>
        <w:jc w:val="left"/>
        <w:rPr>
          <w:sz w:val="24"/>
        </w:rPr>
      </w:pPr>
      <w:r>
        <w:rPr>
          <w:sz w:val="24"/>
        </w:rPr>
        <w:t>Temporalidad</w:t>
      </w:r>
      <w:r>
        <w:rPr>
          <w:spacing w:val="21"/>
          <w:sz w:val="24"/>
        </w:rPr>
        <w:t> </w:t>
      </w:r>
      <w:r>
        <w:rPr>
          <w:sz w:val="24"/>
        </w:rPr>
        <w:t>a</w:t>
      </w:r>
      <w:r>
        <w:rPr>
          <w:spacing w:val="22"/>
          <w:sz w:val="24"/>
        </w:rPr>
        <w:t> </w:t>
      </w:r>
      <w:r>
        <w:rPr>
          <w:sz w:val="24"/>
        </w:rPr>
        <w:t>6</w:t>
      </w:r>
      <w:r>
        <w:rPr>
          <w:spacing w:val="24"/>
          <w:sz w:val="24"/>
        </w:rPr>
        <w:t> </w:t>
      </w:r>
      <w:r>
        <w:rPr>
          <w:sz w:val="24"/>
        </w:rPr>
        <w:t>años</w:t>
      </w:r>
      <w:r>
        <w:rPr>
          <w:spacing w:val="24"/>
          <w:sz w:val="24"/>
        </w:rPr>
        <w:t> </w:t>
      </w:r>
      <w:r>
        <w:rPr>
          <w:sz w:val="24"/>
        </w:rPr>
        <w:t>en</w:t>
      </w:r>
      <w:r>
        <w:rPr>
          <w:spacing w:val="24"/>
          <w:sz w:val="24"/>
        </w:rPr>
        <w:t> </w:t>
      </w:r>
      <w:r>
        <w:rPr>
          <w:sz w:val="24"/>
        </w:rPr>
        <w:t>la</w:t>
      </w:r>
      <w:r>
        <w:rPr>
          <w:spacing w:val="24"/>
          <w:sz w:val="24"/>
        </w:rPr>
        <w:t> </w:t>
      </w:r>
      <w:r>
        <w:rPr>
          <w:sz w:val="24"/>
        </w:rPr>
        <w:t>cabecera</w:t>
      </w:r>
      <w:r>
        <w:rPr>
          <w:spacing w:val="23"/>
          <w:sz w:val="24"/>
        </w:rPr>
        <w:t> </w:t>
      </w:r>
      <w:r>
        <w:rPr>
          <w:sz w:val="24"/>
        </w:rPr>
        <w:t>Municipal,</w:t>
      </w:r>
      <w:r>
        <w:rPr>
          <w:spacing w:val="21"/>
          <w:sz w:val="24"/>
        </w:rPr>
        <w:t> </w:t>
      </w:r>
      <w:r>
        <w:rPr>
          <w:sz w:val="24"/>
        </w:rPr>
        <w:t>por</w:t>
      </w:r>
      <w:r>
        <w:rPr>
          <w:spacing w:val="21"/>
          <w:sz w:val="24"/>
        </w:rPr>
        <w:t> </w:t>
      </w:r>
      <w:r>
        <w:rPr>
          <w:sz w:val="24"/>
        </w:rPr>
        <w:t>metro</w:t>
      </w:r>
    </w:p>
    <w:p>
      <w:pPr>
        <w:pStyle w:val="BodyText"/>
        <w:tabs>
          <w:tab w:pos="10124" w:val="right" w:leader="none"/>
        </w:tabs>
        <w:ind w:left="1257"/>
      </w:pPr>
      <w:r>
        <w:rPr/>
        <w:t>cuadrado</w:t>
        <w:tab/>
        <w:t>603.57</w:t>
      </w:r>
    </w:p>
    <w:p>
      <w:pPr>
        <w:pStyle w:val="ListParagraph"/>
        <w:numPr>
          <w:ilvl w:val="1"/>
          <w:numId w:val="50"/>
        </w:numPr>
        <w:tabs>
          <w:tab w:pos="1567" w:val="left" w:leader="none"/>
        </w:tabs>
        <w:spacing w:line="240" w:lineRule="auto" w:before="0" w:after="0"/>
        <w:ind w:left="1566" w:right="0" w:hanging="310"/>
        <w:jc w:val="left"/>
        <w:rPr>
          <w:sz w:val="24"/>
        </w:rPr>
      </w:pPr>
      <w:r>
        <w:rPr>
          <w:sz w:val="24"/>
        </w:rPr>
        <w:t>Temporalidad</w:t>
      </w:r>
      <w:r>
        <w:rPr>
          <w:spacing w:val="28"/>
          <w:sz w:val="24"/>
        </w:rPr>
        <w:t> </w:t>
      </w:r>
      <w:r>
        <w:rPr>
          <w:sz w:val="24"/>
        </w:rPr>
        <w:t>a</w:t>
      </w:r>
      <w:r>
        <w:rPr>
          <w:spacing w:val="29"/>
          <w:sz w:val="24"/>
        </w:rPr>
        <w:t> </w:t>
      </w:r>
      <w:r>
        <w:rPr>
          <w:sz w:val="24"/>
        </w:rPr>
        <w:t>6</w:t>
      </w:r>
      <w:r>
        <w:rPr>
          <w:spacing w:val="26"/>
          <w:sz w:val="24"/>
        </w:rPr>
        <w:t> </w:t>
      </w:r>
      <w:r>
        <w:rPr>
          <w:sz w:val="24"/>
        </w:rPr>
        <w:t>años</w:t>
      </w:r>
      <w:r>
        <w:rPr>
          <w:spacing w:val="29"/>
          <w:sz w:val="24"/>
        </w:rPr>
        <w:t> </w:t>
      </w:r>
      <w:r>
        <w:rPr>
          <w:sz w:val="24"/>
        </w:rPr>
        <w:t>fuera</w:t>
      </w:r>
      <w:r>
        <w:rPr>
          <w:spacing w:val="25"/>
          <w:sz w:val="24"/>
        </w:rPr>
        <w:t> </w:t>
      </w:r>
      <w:r>
        <w:rPr>
          <w:sz w:val="24"/>
        </w:rPr>
        <w:t>de</w:t>
      </w:r>
      <w:r>
        <w:rPr>
          <w:spacing w:val="29"/>
          <w:sz w:val="24"/>
        </w:rPr>
        <w:t> </w:t>
      </w:r>
      <w:r>
        <w:rPr>
          <w:sz w:val="24"/>
        </w:rPr>
        <w:t>la</w:t>
      </w:r>
      <w:r>
        <w:rPr>
          <w:spacing w:val="28"/>
          <w:sz w:val="24"/>
        </w:rPr>
        <w:t> </w:t>
      </w:r>
      <w:r>
        <w:rPr>
          <w:sz w:val="24"/>
        </w:rPr>
        <w:t>cabecera</w:t>
      </w:r>
      <w:r>
        <w:rPr>
          <w:spacing w:val="29"/>
          <w:sz w:val="24"/>
        </w:rPr>
        <w:t> </w:t>
      </w:r>
      <w:r>
        <w:rPr>
          <w:sz w:val="24"/>
        </w:rPr>
        <w:t>Municipal,</w:t>
      </w:r>
      <w:r>
        <w:rPr>
          <w:spacing w:val="25"/>
          <w:sz w:val="24"/>
        </w:rPr>
        <w:t> </w:t>
      </w:r>
      <w:r>
        <w:rPr>
          <w:sz w:val="24"/>
        </w:rPr>
        <w:t>por</w:t>
      </w:r>
    </w:p>
    <w:p>
      <w:pPr>
        <w:pStyle w:val="BodyText"/>
        <w:tabs>
          <w:tab w:pos="10124" w:val="right" w:leader="none"/>
        </w:tabs>
        <w:ind w:left="1257"/>
      </w:pPr>
      <w:r>
        <w:rPr/>
        <w:t>metro</w:t>
      </w:r>
      <w:r>
        <w:rPr>
          <w:spacing w:val="-3"/>
        </w:rPr>
        <w:t> </w:t>
      </w:r>
      <w:r>
        <w:rPr/>
        <w:t>cuadrado</w:t>
        <w:tab/>
        <w:t>377.68</w:t>
      </w:r>
    </w:p>
    <w:p>
      <w:pPr>
        <w:pStyle w:val="BodyText"/>
        <w:spacing w:before="1"/>
      </w:pPr>
    </w:p>
    <w:p>
      <w:pPr>
        <w:pStyle w:val="ListParagraph"/>
        <w:numPr>
          <w:ilvl w:val="0"/>
          <w:numId w:val="50"/>
        </w:numPr>
        <w:tabs>
          <w:tab w:pos="1252" w:val="left" w:leader="none"/>
          <w:tab w:pos="1253" w:val="left" w:leader="none"/>
        </w:tabs>
        <w:spacing w:line="240" w:lineRule="auto" w:before="0" w:after="0"/>
        <w:ind w:left="1252" w:right="441" w:hanging="569"/>
        <w:jc w:val="left"/>
        <w:rPr>
          <w:sz w:val="24"/>
        </w:rPr>
      </w:pPr>
      <w:r>
        <w:rPr>
          <w:sz w:val="24"/>
        </w:rPr>
        <w:t>Adquisición de criptas o mausoleos individuales propiedad del Ayuntamiento en Parque Funeral “Jardines de San</w:t>
      </w:r>
      <w:r>
        <w:rPr>
          <w:spacing w:val="-3"/>
          <w:sz w:val="24"/>
        </w:rPr>
        <w:t> </w:t>
      </w:r>
      <w:r>
        <w:rPr>
          <w:sz w:val="24"/>
        </w:rPr>
        <w:t>Juan”.</w:t>
      </w:r>
    </w:p>
    <w:p>
      <w:pPr>
        <w:pStyle w:val="BodyText"/>
      </w:pPr>
    </w:p>
    <w:p>
      <w:pPr>
        <w:pStyle w:val="BodyText"/>
        <w:tabs>
          <w:tab w:pos="5133" w:val="left" w:leader="none"/>
        </w:tabs>
        <w:ind w:left="1588"/>
      </w:pPr>
      <w:r>
        <w:rPr/>
        <w:t>Importe</w:t>
        <w:tab/>
        <w:t>19,669.64</w:t>
      </w:r>
    </w:p>
    <w:p>
      <w:pPr>
        <w:pStyle w:val="BodyText"/>
      </w:pPr>
    </w:p>
    <w:p>
      <w:pPr>
        <w:pStyle w:val="BodyText"/>
        <w:ind w:left="400" w:right="441"/>
        <w:jc w:val="both"/>
      </w:pPr>
      <w:r>
        <w:rPr>
          <w:b/>
        </w:rPr>
        <w:t>Artículo 31.- </w:t>
      </w:r>
      <w:r>
        <w:rPr/>
        <w:t>Por permiso de instalación o construcción de criptas, monumentos, capillas o gavetas, de mármol, granito u otros materiales, conforme la siguiente tabla de acuerdo al costo:</w:t>
      </w:r>
    </w:p>
    <w:p>
      <w:pPr>
        <w:pStyle w:val="BodyText"/>
        <w:rPr>
          <w:sz w:val="16"/>
        </w:rPr>
      </w:pPr>
    </w:p>
    <w:p>
      <w:pPr>
        <w:spacing w:after="0"/>
        <w:rPr>
          <w:sz w:val="16"/>
        </w:rPr>
        <w:sectPr>
          <w:pgSz w:w="12250" w:h="15850"/>
          <w:pgMar w:header="730" w:footer="0" w:top="1000" w:bottom="280" w:left="860" w:right="820"/>
        </w:sectPr>
      </w:pPr>
    </w:p>
    <w:p>
      <w:pPr>
        <w:pStyle w:val="BodyText"/>
        <w:tabs>
          <w:tab w:pos="8648" w:val="left" w:leader="none"/>
        </w:tabs>
        <w:spacing w:before="92"/>
        <w:ind w:left="1900"/>
      </w:pPr>
      <w:r>
        <w:rPr/>
        <w:t>Concepto</w:t>
        <w:tab/>
      </w:r>
      <w:r>
        <w:rPr>
          <w:spacing w:val="-4"/>
        </w:rPr>
        <w:t>Pesos</w:t>
      </w:r>
    </w:p>
    <w:p>
      <w:pPr>
        <w:tabs>
          <w:tab w:pos="2315" w:val="left" w:leader="none"/>
        </w:tabs>
        <w:spacing w:before="0"/>
        <w:ind w:left="1900" w:right="5103" w:firstLine="0"/>
        <w:jc w:val="left"/>
        <w:rPr>
          <w:sz w:val="24"/>
        </w:rPr>
      </w:pPr>
      <w:r>
        <w:rPr>
          <w:b/>
          <w:sz w:val="24"/>
        </w:rPr>
        <w:t>I.-</w:t>
        <w:tab/>
      </w:r>
      <w:r>
        <w:rPr>
          <w:sz w:val="24"/>
        </w:rPr>
        <w:t>Hasta </w:t>
      </w:r>
      <w:r>
        <w:rPr>
          <w:spacing w:val="-3"/>
          <w:sz w:val="24"/>
        </w:rPr>
        <w:t>$10,000.00 </w:t>
      </w:r>
      <w:r>
        <w:rPr>
          <w:b/>
          <w:sz w:val="24"/>
        </w:rPr>
        <w:t>II.- </w:t>
      </w:r>
      <w:r>
        <w:rPr>
          <w:sz w:val="24"/>
        </w:rPr>
        <w:t>Hasta $20,000.00 </w:t>
      </w:r>
      <w:r>
        <w:rPr>
          <w:b/>
          <w:sz w:val="24"/>
        </w:rPr>
        <w:t>III.- </w:t>
      </w:r>
      <w:r>
        <w:rPr>
          <w:sz w:val="24"/>
        </w:rPr>
        <w:t>Hasta</w:t>
      </w:r>
      <w:r>
        <w:rPr>
          <w:spacing w:val="-7"/>
          <w:sz w:val="24"/>
        </w:rPr>
        <w:t> </w:t>
      </w:r>
      <w:r>
        <w:rPr>
          <w:sz w:val="24"/>
        </w:rPr>
        <w:t>$30,000.00</w:t>
      </w:r>
    </w:p>
    <w:p>
      <w:pPr>
        <w:pStyle w:val="BodyText"/>
        <w:rPr>
          <w:sz w:val="32"/>
        </w:rPr>
      </w:pPr>
      <w:r>
        <w:rPr/>
        <w:br w:type="column"/>
      </w:r>
      <w:r>
        <w:rPr>
          <w:sz w:val="32"/>
        </w:rPr>
      </w:r>
    </w:p>
    <w:p>
      <w:pPr>
        <w:pStyle w:val="BodyText"/>
        <w:ind w:left="32"/>
      </w:pPr>
      <w:r>
        <w:rPr/>
        <w:t>301.79</w:t>
      </w:r>
    </w:p>
    <w:p>
      <w:pPr>
        <w:pStyle w:val="BodyText"/>
        <w:ind w:left="32"/>
      </w:pPr>
      <w:r>
        <w:rPr/>
        <w:t>603.57</w:t>
      </w:r>
    </w:p>
    <w:p>
      <w:pPr>
        <w:pStyle w:val="BodyText"/>
        <w:spacing w:before="1"/>
        <w:ind w:left="32"/>
      </w:pPr>
      <w:r>
        <w:rPr/>
        <w:t>907.14</w:t>
      </w:r>
    </w:p>
    <w:p>
      <w:pPr>
        <w:spacing w:after="0"/>
        <w:sectPr>
          <w:type w:val="continuous"/>
          <w:pgSz w:w="12250" w:h="15850"/>
          <w:pgMar w:top="840" w:bottom="280" w:left="860" w:right="820"/>
          <w:cols w:num="2" w:equalWidth="0">
            <w:col w:w="9318" w:space="40"/>
            <w:col w:w="1212"/>
          </w:cols>
        </w:sectPr>
      </w:pPr>
    </w:p>
    <w:p>
      <w:pPr>
        <w:spacing w:before="0"/>
        <w:ind w:left="1900" w:right="4308" w:firstLine="0"/>
        <w:jc w:val="left"/>
        <w:rPr>
          <w:sz w:val="24"/>
        </w:rPr>
      </w:pPr>
      <w:r>
        <w:rPr>
          <w:b/>
          <w:sz w:val="24"/>
        </w:rPr>
        <w:t>IV.- </w:t>
      </w:r>
      <w:r>
        <w:rPr>
          <w:sz w:val="24"/>
        </w:rPr>
        <w:t>Hasta $40,000.00 </w:t>
      </w:r>
      <w:r>
        <w:rPr>
          <w:b/>
          <w:sz w:val="24"/>
        </w:rPr>
        <w:t>V.- </w:t>
      </w:r>
      <w:r>
        <w:rPr>
          <w:sz w:val="24"/>
        </w:rPr>
        <w:t>Hasta $50,000.00 </w:t>
      </w:r>
      <w:r>
        <w:rPr>
          <w:b/>
          <w:sz w:val="24"/>
        </w:rPr>
        <w:t>VI.- </w:t>
      </w:r>
      <w:r>
        <w:rPr>
          <w:sz w:val="24"/>
        </w:rPr>
        <w:t>Más de$50,000.00</w:t>
      </w:r>
    </w:p>
    <w:p>
      <w:pPr>
        <w:pStyle w:val="BodyText"/>
        <w:ind w:left="1900"/>
      </w:pPr>
      <w:r>
        <w:rPr>
          <w:b/>
        </w:rPr>
        <w:t>VII.- </w:t>
      </w:r>
      <w:r>
        <w:rPr/>
        <w:t>Por cuota anual de mantenimiento para el caso de cementerios oficiales.</w:t>
      </w:r>
    </w:p>
    <w:p>
      <w:pPr>
        <w:pStyle w:val="BodyText"/>
        <w:ind w:right="435"/>
        <w:jc w:val="right"/>
      </w:pPr>
      <w:r>
        <w:rPr/>
        <w:br w:type="column"/>
      </w:r>
      <w:r>
        <w:rPr>
          <w:spacing w:val="-1"/>
        </w:rPr>
        <w:t>1,209.82</w:t>
      </w:r>
    </w:p>
    <w:p>
      <w:pPr>
        <w:pStyle w:val="BodyText"/>
        <w:ind w:right="434"/>
        <w:jc w:val="right"/>
      </w:pPr>
      <w:r>
        <w:rPr>
          <w:spacing w:val="-1"/>
        </w:rPr>
        <w:t>1,512.50</w:t>
      </w:r>
    </w:p>
    <w:p>
      <w:pPr>
        <w:pStyle w:val="BodyText"/>
        <w:ind w:right="435"/>
        <w:jc w:val="right"/>
      </w:pPr>
      <w:r>
        <w:rPr>
          <w:spacing w:val="-1"/>
        </w:rPr>
        <w:t>2,268.75</w:t>
      </w:r>
    </w:p>
    <w:p>
      <w:pPr>
        <w:pStyle w:val="BodyText"/>
        <w:ind w:right="435"/>
        <w:jc w:val="right"/>
      </w:pPr>
      <w:r>
        <w:rPr>
          <w:spacing w:val="-1"/>
        </w:rPr>
        <w:t>150.89</w:t>
      </w:r>
    </w:p>
    <w:p>
      <w:pPr>
        <w:spacing w:after="0"/>
        <w:jc w:val="right"/>
        <w:sectPr>
          <w:type w:val="continuous"/>
          <w:pgSz w:w="12250" w:h="15850"/>
          <w:pgMar w:top="840" w:bottom="280" w:left="860" w:right="820"/>
          <w:cols w:num="2" w:equalWidth="0">
            <w:col w:w="8640" w:space="40"/>
            <w:col w:w="1890"/>
          </w:cols>
        </w:sectPr>
      </w:pPr>
    </w:p>
    <w:p>
      <w:pPr>
        <w:pStyle w:val="BodyText"/>
        <w:tabs>
          <w:tab w:pos="10124" w:val="right" w:leader="none"/>
        </w:tabs>
        <w:ind w:left="1900"/>
      </w:pPr>
      <w:r>
        <w:rPr>
          <w:b/>
        </w:rPr>
        <w:t>VIII.- </w:t>
      </w:r>
      <w:r>
        <w:rPr/>
        <w:t>Pulida y repulida</w:t>
      </w:r>
      <w:r>
        <w:rPr>
          <w:spacing w:val="-5"/>
        </w:rPr>
        <w:t> </w:t>
      </w:r>
      <w:r>
        <w:rPr/>
        <w:t>de</w:t>
      </w:r>
      <w:r>
        <w:rPr>
          <w:spacing w:val="-2"/>
        </w:rPr>
        <w:t> </w:t>
      </w:r>
      <w:r>
        <w:rPr/>
        <w:t>monumentos.</w:t>
        <w:tab/>
        <w:t>150.89</w:t>
      </w:r>
    </w:p>
    <w:p>
      <w:pPr>
        <w:spacing w:after="0"/>
        <w:sectPr>
          <w:type w:val="continuous"/>
          <w:pgSz w:w="12250" w:h="15850"/>
          <w:pgMar w:top="840" w:bottom="280" w:left="860" w:right="820"/>
        </w:sectPr>
      </w:pPr>
    </w:p>
    <w:p>
      <w:pPr>
        <w:pStyle w:val="BodyText"/>
        <w:ind w:left="1900"/>
      </w:pPr>
      <w:r>
        <w:rPr>
          <w:b/>
        </w:rPr>
        <w:t>IX.- </w:t>
      </w:r>
      <w:r>
        <w:rPr/>
        <w:t>Ademación de criptas</w:t>
      </w:r>
    </w:p>
    <w:p>
      <w:pPr>
        <w:pStyle w:val="BodyText"/>
        <w:ind w:left="1900"/>
      </w:pPr>
      <w:r>
        <w:rPr>
          <w:b/>
        </w:rPr>
        <w:t>X.- </w:t>
      </w:r>
      <w:r>
        <w:rPr/>
        <w:t>Trabajos relativos a la inhumación</w:t>
      </w:r>
    </w:p>
    <w:p>
      <w:pPr>
        <w:pStyle w:val="BodyText"/>
        <w:ind w:left="1900"/>
      </w:pPr>
      <w:r>
        <w:rPr>
          <w:b/>
        </w:rPr>
        <w:t>XI.- </w:t>
      </w:r>
      <w:r>
        <w:rPr/>
        <w:t>Trabajos relativos a la exhumación</w:t>
      </w:r>
    </w:p>
    <w:p>
      <w:pPr>
        <w:pStyle w:val="BodyText"/>
        <w:ind w:left="1900"/>
      </w:pPr>
      <w:r>
        <w:rPr/>
        <w:br w:type="column"/>
      </w:r>
      <w:r>
        <w:rPr/>
        <w:t>150.89</w:t>
      </w:r>
    </w:p>
    <w:p>
      <w:pPr>
        <w:pStyle w:val="BodyText"/>
        <w:ind w:left="1900"/>
      </w:pPr>
      <w:r>
        <w:rPr/>
        <w:t>150.89</w:t>
      </w:r>
    </w:p>
    <w:p>
      <w:pPr>
        <w:pStyle w:val="BodyText"/>
        <w:ind w:left="1900"/>
      </w:pPr>
      <w:r>
        <w:rPr/>
        <w:t>150.89</w:t>
      </w:r>
    </w:p>
    <w:p>
      <w:pPr>
        <w:spacing w:after="0"/>
        <w:sectPr>
          <w:type w:val="continuous"/>
          <w:pgSz w:w="12250" w:h="15850"/>
          <w:pgMar w:top="840" w:bottom="280" w:left="860" w:right="820"/>
          <w:cols w:num="2" w:equalWidth="0">
            <w:col w:w="6087" w:space="1403"/>
            <w:col w:w="3080"/>
          </w:cols>
        </w:sectPr>
      </w:pPr>
    </w:p>
    <w:p>
      <w:pPr>
        <w:pStyle w:val="BodyText"/>
        <w:spacing w:before="1"/>
        <w:rPr>
          <w:sz w:val="9"/>
        </w:rPr>
      </w:pPr>
    </w:p>
    <w:p>
      <w:pPr>
        <w:pStyle w:val="Heading1"/>
        <w:spacing w:before="93"/>
        <w:ind w:left="1247" w:right="1283"/>
        <w:jc w:val="center"/>
      </w:pPr>
      <w:r>
        <w:rPr/>
        <w:t>Capítulo Décimo Cuarto</w:t>
      </w:r>
    </w:p>
    <w:p>
      <w:pPr>
        <w:spacing w:before="0"/>
        <w:ind w:left="446" w:right="488" w:firstLine="0"/>
        <w:jc w:val="center"/>
        <w:rPr>
          <w:b/>
          <w:sz w:val="24"/>
        </w:rPr>
      </w:pPr>
      <w:r>
        <w:rPr>
          <w:b/>
          <w:sz w:val="24"/>
        </w:rPr>
        <w:t>Estacionamientos Exclusivos en la Vía Pública, Estacionamiento Medido y Uso de la Vía Pública</w:t>
      </w:r>
    </w:p>
    <w:p>
      <w:pPr>
        <w:pStyle w:val="BodyText"/>
        <w:rPr>
          <w:b/>
          <w:sz w:val="28"/>
        </w:rPr>
      </w:pPr>
    </w:p>
    <w:p>
      <w:pPr>
        <w:pStyle w:val="BodyText"/>
        <w:ind w:left="400"/>
      </w:pPr>
      <w:r>
        <w:rPr>
          <w:b/>
        </w:rPr>
        <w:t>Artículo 32.- </w:t>
      </w:r>
      <w:r>
        <w:rPr/>
        <w:t>Por la utilización de la vía pública de empresas o particulares:</w:t>
      </w:r>
    </w:p>
    <w:p>
      <w:pPr>
        <w:pStyle w:val="BodyText"/>
        <w:spacing w:before="11"/>
        <w:rPr>
          <w:sz w:val="23"/>
        </w:rPr>
      </w:pPr>
    </w:p>
    <w:p>
      <w:pPr>
        <w:tabs>
          <w:tab w:pos="9224" w:val="left" w:leader="none"/>
        </w:tabs>
        <w:spacing w:before="0"/>
        <w:ind w:left="400" w:right="0" w:firstLine="0"/>
        <w:jc w:val="left"/>
        <w:rPr>
          <w:sz w:val="23"/>
        </w:rPr>
      </w:pPr>
      <w:r>
        <w:rPr>
          <w:sz w:val="23"/>
        </w:rPr>
        <w:t>Concepto</w:t>
        <w:tab/>
        <w:t>Pesos</w:t>
      </w:r>
    </w:p>
    <w:p>
      <w:pPr>
        <w:spacing w:after="0"/>
        <w:jc w:val="left"/>
        <w:rPr>
          <w:sz w:val="23"/>
        </w:rPr>
        <w:sectPr>
          <w:pgSz w:w="12250" w:h="15850"/>
          <w:pgMar w:header="730" w:footer="0" w:top="1000" w:bottom="280" w:left="860" w:right="820"/>
        </w:sectPr>
      </w:pPr>
    </w:p>
    <w:p>
      <w:pPr>
        <w:tabs>
          <w:tab w:pos="1120" w:val="left" w:leader="none"/>
        </w:tabs>
        <w:spacing w:before="60"/>
        <w:ind w:left="400" w:right="38" w:firstLine="360"/>
        <w:jc w:val="left"/>
        <w:rPr>
          <w:sz w:val="23"/>
        </w:rPr>
      </w:pPr>
      <w:r>
        <w:rPr/>
        <w:drawing>
          <wp:anchor distT="0" distB="0" distL="0" distR="0" allowOverlap="1" layoutInCell="1" locked="0" behindDoc="1" simplePos="0" relativeHeight="227515392">
            <wp:simplePos x="0" y="0"/>
            <wp:positionH relativeFrom="page">
              <wp:posOffset>1252555</wp:posOffset>
            </wp:positionH>
            <wp:positionV relativeFrom="paragraph">
              <wp:posOffset>36917</wp:posOffset>
            </wp:positionV>
            <wp:extent cx="5022641" cy="5144769"/>
            <wp:effectExtent l="0" t="0" r="0" b="0"/>
            <wp:wrapNone/>
            <wp:docPr id="93" name="image42.png"/>
            <wp:cNvGraphicFramePr>
              <a:graphicFrameLocks noChangeAspect="1"/>
            </wp:cNvGraphicFramePr>
            <a:graphic>
              <a:graphicData uri="http://schemas.openxmlformats.org/drawingml/2006/picture">
                <pic:pic>
                  <pic:nvPicPr>
                    <pic:cNvPr id="94" name="image42.png"/>
                    <pic:cNvPicPr/>
                  </pic:nvPicPr>
                  <pic:blipFill>
                    <a:blip r:embed="rId52" cstate="print"/>
                    <a:stretch>
                      <a:fillRect/>
                    </a:stretch>
                  </pic:blipFill>
                  <pic:spPr>
                    <a:xfrm>
                      <a:off x="0" y="0"/>
                      <a:ext cx="5022641" cy="5144769"/>
                    </a:xfrm>
                    <a:prstGeom prst="rect">
                      <a:avLst/>
                    </a:prstGeom>
                  </pic:spPr>
                </pic:pic>
              </a:graphicData>
            </a:graphic>
          </wp:anchor>
        </w:drawing>
      </w:r>
      <w:r>
        <w:rPr>
          <w:sz w:val="23"/>
        </w:rPr>
        <w:t>I.</w:t>
        <w:tab/>
        <w:t>Por estacionamientos exclusivos por metro</w:t>
      </w:r>
      <w:r>
        <w:rPr>
          <w:spacing w:val="-11"/>
          <w:sz w:val="23"/>
        </w:rPr>
        <w:t> </w:t>
      </w:r>
      <w:r>
        <w:rPr>
          <w:sz w:val="23"/>
        </w:rPr>
        <w:t>lineal (Cuota</w:t>
      </w:r>
      <w:r>
        <w:rPr>
          <w:spacing w:val="-2"/>
          <w:sz w:val="23"/>
        </w:rPr>
        <w:t> </w:t>
      </w:r>
      <w:r>
        <w:rPr>
          <w:sz w:val="23"/>
        </w:rPr>
        <w:t>mensual)</w:t>
      </w:r>
    </w:p>
    <w:p>
      <w:pPr>
        <w:spacing w:before="60"/>
        <w:ind w:left="400" w:right="0" w:firstLine="0"/>
        <w:jc w:val="left"/>
        <w:rPr>
          <w:sz w:val="23"/>
        </w:rPr>
      </w:pPr>
      <w:r>
        <w:rPr/>
        <w:br w:type="column"/>
      </w:r>
      <w:r>
        <w:rPr>
          <w:sz w:val="23"/>
        </w:rPr>
        <w:t>75.00</w:t>
      </w:r>
    </w:p>
    <w:p>
      <w:pPr>
        <w:spacing w:after="0"/>
        <w:jc w:val="left"/>
        <w:rPr>
          <w:sz w:val="23"/>
        </w:rPr>
        <w:sectPr>
          <w:type w:val="continuous"/>
          <w:pgSz w:w="12250" w:h="15850"/>
          <w:pgMar w:top="840" w:bottom="280" w:left="860" w:right="820"/>
          <w:cols w:num="2" w:equalWidth="0">
            <w:col w:w="6145" w:space="2741"/>
            <w:col w:w="1684"/>
          </w:cols>
        </w:sectPr>
      </w:pPr>
    </w:p>
    <w:p>
      <w:pPr>
        <w:pStyle w:val="BodyText"/>
        <w:rPr>
          <w:sz w:val="15"/>
        </w:rPr>
      </w:pPr>
    </w:p>
    <w:p>
      <w:pPr>
        <w:spacing w:before="93"/>
        <w:ind w:left="760" w:right="0" w:firstLine="0"/>
        <w:jc w:val="left"/>
        <w:rPr>
          <w:sz w:val="23"/>
        </w:rPr>
      </w:pPr>
      <w:r>
        <w:rPr>
          <w:sz w:val="23"/>
        </w:rPr>
        <w:t>II. Por permiso para carga y descarga (por unidad vehicular)</w:t>
      </w:r>
    </w:p>
    <w:p>
      <w:pPr>
        <w:pStyle w:val="ListParagraph"/>
        <w:numPr>
          <w:ilvl w:val="0"/>
          <w:numId w:val="51"/>
        </w:numPr>
        <w:tabs>
          <w:tab w:pos="1494" w:val="left" w:leader="none"/>
          <w:tab w:pos="1495" w:val="left" w:leader="none"/>
          <w:tab w:pos="9286" w:val="left" w:leader="none"/>
        </w:tabs>
        <w:spacing w:line="240" w:lineRule="auto" w:before="59" w:after="0"/>
        <w:ind w:left="1494" w:right="0" w:hanging="735"/>
        <w:jc w:val="left"/>
        <w:rPr>
          <w:sz w:val="22"/>
        </w:rPr>
      </w:pPr>
      <w:r>
        <w:rPr>
          <w:position w:val="1"/>
          <w:sz w:val="22"/>
        </w:rPr>
        <w:t>Por</w:t>
      </w:r>
      <w:r>
        <w:rPr>
          <w:spacing w:val="1"/>
          <w:position w:val="1"/>
          <w:sz w:val="22"/>
        </w:rPr>
        <w:t> </w:t>
      </w:r>
      <w:r>
        <w:rPr>
          <w:position w:val="1"/>
          <w:sz w:val="22"/>
        </w:rPr>
        <w:t>día</w:t>
        <w:tab/>
      </w:r>
      <w:r>
        <w:rPr>
          <w:sz w:val="23"/>
        </w:rPr>
        <w:t>158.0</w:t>
      </w:r>
    </w:p>
    <w:p>
      <w:pPr>
        <w:pStyle w:val="ListParagraph"/>
        <w:numPr>
          <w:ilvl w:val="0"/>
          <w:numId w:val="51"/>
        </w:numPr>
        <w:tabs>
          <w:tab w:pos="1121" w:val="left" w:leader="none"/>
          <w:tab w:pos="9860" w:val="right" w:leader="none"/>
        </w:tabs>
        <w:spacing w:line="240" w:lineRule="auto" w:before="62" w:after="0"/>
        <w:ind w:left="1120" w:right="0" w:hanging="361"/>
        <w:jc w:val="left"/>
        <w:rPr>
          <w:sz w:val="23"/>
        </w:rPr>
      </w:pPr>
      <w:r>
        <w:rPr>
          <w:sz w:val="23"/>
        </w:rPr>
        <w:t>Mensual</w:t>
        <w:tab/>
        <w:t>264.29</w:t>
      </w:r>
    </w:p>
    <w:p>
      <w:pPr>
        <w:pStyle w:val="BodyText"/>
        <w:spacing w:before="4"/>
        <w:rPr>
          <w:sz w:val="37"/>
        </w:rPr>
      </w:pPr>
    </w:p>
    <w:p>
      <w:pPr>
        <w:pStyle w:val="BodyText"/>
        <w:ind w:left="400" w:right="441"/>
        <w:jc w:val="both"/>
      </w:pPr>
      <w:r>
        <w:rPr>
          <w:b/>
        </w:rPr>
        <w:t>Artículo 33.- </w:t>
      </w:r>
      <w:r>
        <w:rPr/>
        <w:t>Por la utilización de la vía pública para infraestructura superficial, aérea o subterránea que se traduzca en la colocación de cables, postes, casetas telefónicas o ductos de cualquier tipo y uso, por parte de personas físicas o morales, se deberán pagar, las siguientes tarifas:</w:t>
      </w:r>
    </w:p>
    <w:p>
      <w:pPr>
        <w:pStyle w:val="BodyText"/>
        <w:spacing w:before="9"/>
        <w:rPr>
          <w:sz w:val="23"/>
        </w:rPr>
      </w:pPr>
    </w:p>
    <w:p>
      <w:pPr>
        <w:pStyle w:val="BodyText"/>
        <w:tabs>
          <w:tab w:pos="5333" w:val="left" w:leader="none"/>
        </w:tabs>
        <w:ind w:right="437"/>
        <w:jc w:val="right"/>
      </w:pPr>
      <w:r>
        <w:rPr/>
        <w:t>Concepto</w:t>
        <w:tab/>
      </w:r>
      <w:r>
        <w:rPr>
          <w:spacing w:val="-1"/>
        </w:rPr>
        <w:t>Importe</w:t>
      </w:r>
    </w:p>
    <w:p>
      <w:pPr>
        <w:pStyle w:val="BodyText"/>
        <w:spacing w:before="139"/>
        <w:ind w:right="434"/>
        <w:jc w:val="right"/>
      </w:pPr>
      <w:r>
        <w:rPr>
          <w:w w:val="95"/>
        </w:rPr>
        <w:t>pesos</w:t>
      </w:r>
    </w:p>
    <w:p>
      <w:pPr>
        <w:pStyle w:val="BodyText"/>
        <w:spacing w:before="7"/>
        <w:rPr>
          <w:sz w:val="15"/>
        </w:rPr>
      </w:pPr>
    </w:p>
    <w:p>
      <w:pPr>
        <w:spacing w:after="0"/>
        <w:rPr>
          <w:sz w:val="15"/>
        </w:rPr>
        <w:sectPr>
          <w:type w:val="continuous"/>
          <w:pgSz w:w="12250" w:h="15850"/>
          <w:pgMar w:top="840" w:bottom="280" w:left="860" w:right="820"/>
        </w:sectPr>
      </w:pPr>
    </w:p>
    <w:p>
      <w:pPr>
        <w:pStyle w:val="ListParagraph"/>
        <w:numPr>
          <w:ilvl w:val="1"/>
          <w:numId w:val="51"/>
        </w:numPr>
        <w:tabs>
          <w:tab w:pos="1750" w:val="left" w:leader="none"/>
        </w:tabs>
        <w:spacing w:line="360" w:lineRule="auto" w:before="92" w:after="0"/>
        <w:ind w:left="1396" w:right="38" w:firstLine="0"/>
        <w:jc w:val="both"/>
        <w:rPr>
          <w:sz w:val="24"/>
        </w:rPr>
      </w:pPr>
      <w:r>
        <w:rPr>
          <w:sz w:val="24"/>
        </w:rPr>
        <w:t>Casetas telefónicas, diariamente, por cada una, debiendo realizar el pago anualizado, dentro de los primeros 60 días del ejercicio</w:t>
      </w:r>
      <w:r>
        <w:rPr>
          <w:spacing w:val="-10"/>
          <w:sz w:val="24"/>
        </w:rPr>
        <w:t> </w:t>
      </w:r>
      <w:r>
        <w:rPr>
          <w:sz w:val="24"/>
        </w:rPr>
        <w:t>fiscal:</w:t>
      </w:r>
    </w:p>
    <w:p>
      <w:pPr>
        <w:pStyle w:val="BodyText"/>
        <w:spacing w:before="1"/>
        <w:rPr>
          <w:sz w:val="33"/>
        </w:rPr>
      </w:pPr>
      <w:r>
        <w:rPr/>
        <w:br w:type="column"/>
      </w:r>
      <w:r>
        <w:rPr>
          <w:sz w:val="33"/>
        </w:rPr>
      </w:r>
    </w:p>
    <w:p>
      <w:pPr>
        <w:pStyle w:val="BodyText"/>
        <w:ind w:left="1396"/>
      </w:pPr>
      <w:r>
        <w:rPr/>
        <w:t>2.19</w:t>
      </w:r>
    </w:p>
    <w:p>
      <w:pPr>
        <w:spacing w:after="0"/>
        <w:sectPr>
          <w:type w:val="continuous"/>
          <w:pgSz w:w="12250" w:h="15850"/>
          <w:pgMar w:top="840" w:bottom="280" w:left="860" w:right="820"/>
          <w:cols w:num="2" w:equalWidth="0">
            <w:col w:w="7624" w:space="636"/>
            <w:col w:w="2310"/>
          </w:cols>
        </w:sectPr>
      </w:pPr>
    </w:p>
    <w:p>
      <w:pPr>
        <w:pStyle w:val="ListParagraph"/>
        <w:numPr>
          <w:ilvl w:val="1"/>
          <w:numId w:val="51"/>
        </w:numPr>
        <w:tabs>
          <w:tab w:pos="1678" w:val="left" w:leader="none"/>
        </w:tabs>
        <w:spacing w:line="360" w:lineRule="auto" w:before="136" w:after="0"/>
        <w:ind w:left="1396" w:right="38" w:firstLine="0"/>
        <w:jc w:val="both"/>
        <w:rPr>
          <w:sz w:val="24"/>
        </w:rPr>
      </w:pPr>
      <w:r>
        <w:rPr>
          <w:sz w:val="24"/>
        </w:rPr>
        <w:t>Postes para el tendido de cable para la transmisión de voz, datos, video, imágenes y energía eléctrica; diariamente por cada uno, debiendo realizar el pago anualizado, dentro de los primeros 60 días del ejercicio fiscal:</w:t>
      </w:r>
    </w:p>
    <w:p>
      <w:pPr>
        <w:pStyle w:val="BodyText"/>
        <w:rPr>
          <w:sz w:val="26"/>
        </w:rPr>
      </w:pPr>
      <w:r>
        <w:rPr/>
        <w:br w:type="column"/>
      </w:r>
      <w:r>
        <w:rPr>
          <w:sz w:val="26"/>
        </w:rPr>
      </w:r>
    </w:p>
    <w:p>
      <w:pPr>
        <w:pStyle w:val="BodyText"/>
        <w:rPr>
          <w:sz w:val="26"/>
        </w:rPr>
      </w:pPr>
    </w:p>
    <w:p>
      <w:pPr>
        <w:pStyle w:val="BodyText"/>
        <w:spacing w:before="9"/>
        <w:rPr>
          <w:sz w:val="20"/>
        </w:rPr>
      </w:pPr>
    </w:p>
    <w:p>
      <w:pPr>
        <w:pStyle w:val="BodyText"/>
        <w:ind w:left="1396"/>
      </w:pPr>
      <w:r>
        <w:rPr/>
        <w:t>2.19</w:t>
      </w:r>
    </w:p>
    <w:p>
      <w:pPr>
        <w:spacing w:after="0"/>
        <w:sectPr>
          <w:type w:val="continuous"/>
          <w:pgSz w:w="12250" w:h="15850"/>
          <w:pgMar w:top="840" w:bottom="280" w:left="860" w:right="820"/>
          <w:cols w:num="2" w:equalWidth="0">
            <w:col w:w="7623" w:space="637"/>
            <w:col w:w="2310"/>
          </w:cols>
        </w:sectPr>
      </w:pPr>
    </w:p>
    <w:p>
      <w:pPr>
        <w:pStyle w:val="ListParagraph"/>
        <w:numPr>
          <w:ilvl w:val="1"/>
          <w:numId w:val="51"/>
        </w:numPr>
        <w:tabs>
          <w:tab w:pos="1838" w:val="left" w:leader="none"/>
        </w:tabs>
        <w:spacing w:line="360" w:lineRule="auto" w:before="134" w:after="0"/>
        <w:ind w:left="1396" w:right="2983" w:firstLine="0"/>
        <w:jc w:val="both"/>
        <w:rPr>
          <w:sz w:val="24"/>
        </w:rPr>
      </w:pPr>
      <w:r>
        <w:rPr>
          <w:sz w:val="24"/>
        </w:rPr>
        <w:t>Postes con infraestructura de alumbrado público, diariamente por cada uno, debiendo realizar el pago anualizado, dentro de los primeros 60 días del ejercicio fiscal:1.08</w:t>
      </w:r>
    </w:p>
    <w:p>
      <w:pPr>
        <w:pStyle w:val="ListParagraph"/>
        <w:numPr>
          <w:ilvl w:val="1"/>
          <w:numId w:val="51"/>
        </w:numPr>
        <w:tabs>
          <w:tab w:pos="1870" w:val="left" w:leader="none"/>
        </w:tabs>
        <w:spacing w:line="240" w:lineRule="auto" w:before="135" w:after="0"/>
        <w:ind w:left="1869" w:right="0" w:hanging="366"/>
        <w:jc w:val="both"/>
        <w:rPr>
          <w:sz w:val="24"/>
        </w:rPr>
      </w:pPr>
      <w:r>
        <w:rPr>
          <w:sz w:val="24"/>
        </w:rPr>
        <w:t>Redes subterráneas por metro lineal,</w:t>
      </w:r>
      <w:r>
        <w:rPr>
          <w:spacing w:val="-5"/>
          <w:sz w:val="24"/>
        </w:rPr>
        <w:t> </w:t>
      </w:r>
      <w:r>
        <w:rPr>
          <w:sz w:val="24"/>
        </w:rPr>
        <w:t>anualmente:</w:t>
      </w:r>
    </w:p>
    <w:p>
      <w:pPr>
        <w:pStyle w:val="BodyText"/>
        <w:spacing w:before="10"/>
        <w:rPr>
          <w:sz w:val="27"/>
        </w:rPr>
      </w:pPr>
    </w:p>
    <w:p>
      <w:pPr>
        <w:spacing w:after="0"/>
        <w:rPr>
          <w:sz w:val="27"/>
        </w:rPr>
        <w:sectPr>
          <w:type w:val="continuous"/>
          <w:pgSz w:w="12250" w:h="15850"/>
          <w:pgMar w:top="840" w:bottom="280" w:left="860" w:right="820"/>
        </w:sectPr>
      </w:pPr>
    </w:p>
    <w:p>
      <w:pPr>
        <w:pStyle w:val="ListParagraph"/>
        <w:numPr>
          <w:ilvl w:val="2"/>
          <w:numId w:val="51"/>
        </w:numPr>
        <w:tabs>
          <w:tab w:pos="2411" w:val="left" w:leader="none"/>
          <w:tab w:pos="2412" w:val="left" w:leader="none"/>
        </w:tabs>
        <w:spacing w:line="240" w:lineRule="auto" w:before="92" w:after="0"/>
        <w:ind w:left="2411" w:right="0" w:hanging="548"/>
        <w:jc w:val="left"/>
        <w:rPr>
          <w:sz w:val="24"/>
        </w:rPr>
      </w:pPr>
      <w:r>
        <w:rPr>
          <w:sz w:val="24"/>
        </w:rPr>
        <w:t>Telefonía</w:t>
      </w:r>
    </w:p>
    <w:p>
      <w:pPr>
        <w:pStyle w:val="ListParagraph"/>
        <w:numPr>
          <w:ilvl w:val="2"/>
          <w:numId w:val="51"/>
        </w:numPr>
        <w:tabs>
          <w:tab w:pos="2411" w:val="left" w:leader="none"/>
          <w:tab w:pos="2412" w:val="left" w:leader="none"/>
        </w:tabs>
        <w:spacing w:line="240" w:lineRule="auto" w:before="139" w:after="0"/>
        <w:ind w:left="2411" w:right="0" w:hanging="548"/>
        <w:jc w:val="left"/>
        <w:rPr>
          <w:sz w:val="24"/>
        </w:rPr>
      </w:pPr>
      <w:r>
        <w:rPr>
          <w:sz w:val="24"/>
        </w:rPr>
        <w:t>Transmisión de</w:t>
      </w:r>
      <w:r>
        <w:rPr>
          <w:spacing w:val="-5"/>
          <w:sz w:val="24"/>
        </w:rPr>
        <w:t> </w:t>
      </w:r>
      <w:r>
        <w:rPr>
          <w:sz w:val="24"/>
        </w:rPr>
        <w:t>datos</w:t>
      </w:r>
    </w:p>
    <w:p>
      <w:pPr>
        <w:pStyle w:val="BodyText"/>
        <w:spacing w:before="97"/>
        <w:ind w:right="435"/>
        <w:jc w:val="right"/>
      </w:pPr>
      <w:r>
        <w:rPr/>
        <w:br w:type="column"/>
      </w:r>
      <w:r>
        <w:rPr/>
        <w:t>1.65</w:t>
      </w:r>
    </w:p>
    <w:p>
      <w:pPr>
        <w:pStyle w:val="BodyText"/>
        <w:spacing w:before="137"/>
        <w:ind w:right="435"/>
        <w:jc w:val="right"/>
      </w:pPr>
      <w:r>
        <w:rPr/>
        <w:t>1.65</w:t>
      </w:r>
    </w:p>
    <w:p>
      <w:pPr>
        <w:spacing w:after="0"/>
        <w:jc w:val="right"/>
        <w:sectPr>
          <w:type w:val="continuous"/>
          <w:pgSz w:w="12250" w:h="15850"/>
          <w:pgMar w:top="840" w:bottom="280" w:left="860" w:right="820"/>
          <w:cols w:num="2" w:equalWidth="0">
            <w:col w:w="4747" w:space="3045"/>
            <w:col w:w="2778"/>
          </w:cols>
        </w:sectPr>
      </w:pPr>
    </w:p>
    <w:p>
      <w:pPr>
        <w:pStyle w:val="ListParagraph"/>
        <w:numPr>
          <w:ilvl w:val="2"/>
          <w:numId w:val="51"/>
        </w:numPr>
        <w:tabs>
          <w:tab w:pos="2397" w:val="left" w:leader="none"/>
          <w:tab w:pos="2398" w:val="left" w:leader="none"/>
        </w:tabs>
        <w:spacing w:line="240" w:lineRule="auto" w:before="183" w:after="0"/>
        <w:ind w:left="2397" w:right="0" w:hanging="534"/>
        <w:jc w:val="left"/>
        <w:rPr>
          <w:sz w:val="24"/>
        </w:rPr>
      </w:pPr>
      <w:r>
        <w:rPr>
          <w:sz w:val="24"/>
        </w:rPr>
        <w:t>Transmisión de señales de televisión por</w:t>
      </w:r>
      <w:r>
        <w:rPr>
          <w:spacing w:val="-12"/>
          <w:sz w:val="24"/>
        </w:rPr>
        <w:t> </w:t>
      </w:r>
      <w:r>
        <w:rPr>
          <w:sz w:val="24"/>
        </w:rPr>
        <w:t>cable</w:t>
      </w:r>
    </w:p>
    <w:p>
      <w:pPr>
        <w:pStyle w:val="ListParagraph"/>
        <w:numPr>
          <w:ilvl w:val="2"/>
          <w:numId w:val="51"/>
        </w:numPr>
        <w:tabs>
          <w:tab w:pos="2413" w:val="left" w:leader="none"/>
          <w:tab w:pos="2414" w:val="left" w:leader="none"/>
        </w:tabs>
        <w:spacing w:line="240" w:lineRule="auto" w:before="139" w:after="0"/>
        <w:ind w:left="2414" w:right="0" w:hanging="550"/>
        <w:jc w:val="left"/>
        <w:rPr>
          <w:sz w:val="24"/>
        </w:rPr>
      </w:pPr>
      <w:r>
        <w:rPr>
          <w:sz w:val="24"/>
        </w:rPr>
        <w:t>Distribución de gas, gasolina</w:t>
      </w:r>
    </w:p>
    <w:p>
      <w:pPr>
        <w:pStyle w:val="ListParagraph"/>
        <w:numPr>
          <w:ilvl w:val="1"/>
          <w:numId w:val="51"/>
        </w:numPr>
        <w:tabs>
          <w:tab w:pos="1802" w:val="left" w:leader="none"/>
          <w:tab w:pos="2713" w:val="left" w:leader="none"/>
          <w:tab w:pos="4260" w:val="left" w:leader="none"/>
          <w:tab w:pos="4610" w:val="left" w:leader="none"/>
          <w:tab w:pos="5559" w:val="left" w:leader="none"/>
          <w:tab w:pos="6122" w:val="left" w:leader="none"/>
          <w:tab w:pos="6950" w:val="left" w:leader="none"/>
        </w:tabs>
        <w:spacing w:line="360" w:lineRule="auto" w:before="137" w:after="0"/>
        <w:ind w:left="1504" w:right="38" w:firstLine="0"/>
        <w:jc w:val="left"/>
        <w:rPr>
          <w:sz w:val="24"/>
        </w:rPr>
      </w:pPr>
      <w:r>
        <w:rPr>
          <w:sz w:val="24"/>
        </w:rPr>
        <w:t>Redes</w:t>
        <w:tab/>
        <w:t>superficiales</w:t>
        <w:tab/>
        <w:t>o</w:t>
        <w:tab/>
        <w:t>aéreas</w:t>
        <w:tab/>
        <w:t>por</w:t>
        <w:tab/>
        <w:t>metro</w:t>
        <w:tab/>
      </w:r>
      <w:r>
        <w:rPr>
          <w:spacing w:val="-4"/>
          <w:sz w:val="24"/>
        </w:rPr>
        <w:t>lineal, </w:t>
      </w:r>
      <w:r>
        <w:rPr>
          <w:sz w:val="24"/>
        </w:rPr>
        <w:t>anualmente:</w:t>
      </w:r>
    </w:p>
    <w:p>
      <w:pPr>
        <w:pStyle w:val="ListParagraph"/>
        <w:numPr>
          <w:ilvl w:val="2"/>
          <w:numId w:val="51"/>
        </w:numPr>
        <w:tabs>
          <w:tab w:pos="2277" w:val="left" w:leader="none"/>
          <w:tab w:pos="2278" w:val="left" w:leader="none"/>
        </w:tabs>
        <w:spacing w:line="240" w:lineRule="auto" w:before="0" w:after="0"/>
        <w:ind w:left="2277" w:right="0" w:hanging="414"/>
        <w:jc w:val="left"/>
        <w:rPr>
          <w:sz w:val="24"/>
        </w:rPr>
      </w:pPr>
      <w:r>
        <w:rPr>
          <w:sz w:val="24"/>
        </w:rPr>
        <w:t>Telefonía</w:t>
      </w:r>
    </w:p>
    <w:p>
      <w:pPr>
        <w:pStyle w:val="ListParagraph"/>
        <w:numPr>
          <w:ilvl w:val="2"/>
          <w:numId w:val="51"/>
        </w:numPr>
        <w:tabs>
          <w:tab w:pos="2320" w:val="left" w:leader="none"/>
          <w:tab w:pos="2321" w:val="left" w:leader="none"/>
        </w:tabs>
        <w:spacing w:line="240" w:lineRule="auto" w:before="140" w:after="0"/>
        <w:ind w:left="2320" w:right="0" w:hanging="416"/>
        <w:jc w:val="left"/>
        <w:rPr>
          <w:sz w:val="24"/>
        </w:rPr>
      </w:pPr>
      <w:r>
        <w:rPr/>
        <w:drawing>
          <wp:anchor distT="0" distB="0" distL="0" distR="0" allowOverlap="1" layoutInCell="1" locked="0" behindDoc="1" simplePos="0" relativeHeight="227516416">
            <wp:simplePos x="0" y="0"/>
            <wp:positionH relativeFrom="page">
              <wp:posOffset>1239220</wp:posOffset>
            </wp:positionH>
            <wp:positionV relativeFrom="paragraph">
              <wp:posOffset>67765</wp:posOffset>
            </wp:positionV>
            <wp:extent cx="5022641" cy="5144769"/>
            <wp:effectExtent l="0" t="0" r="0" b="0"/>
            <wp:wrapNone/>
            <wp:docPr id="95" name="image43.png"/>
            <wp:cNvGraphicFramePr>
              <a:graphicFrameLocks noChangeAspect="1"/>
            </wp:cNvGraphicFramePr>
            <a:graphic>
              <a:graphicData uri="http://schemas.openxmlformats.org/drawingml/2006/picture">
                <pic:pic>
                  <pic:nvPicPr>
                    <pic:cNvPr id="96" name="image43.png"/>
                    <pic:cNvPicPr/>
                  </pic:nvPicPr>
                  <pic:blipFill>
                    <a:blip r:embed="rId53" cstate="print"/>
                    <a:stretch>
                      <a:fillRect/>
                    </a:stretch>
                  </pic:blipFill>
                  <pic:spPr>
                    <a:xfrm>
                      <a:off x="0" y="0"/>
                      <a:ext cx="5022641" cy="5144769"/>
                    </a:xfrm>
                    <a:prstGeom prst="rect">
                      <a:avLst/>
                    </a:prstGeom>
                  </pic:spPr>
                </pic:pic>
              </a:graphicData>
            </a:graphic>
          </wp:anchor>
        </w:drawing>
      </w:r>
      <w:r>
        <w:rPr>
          <w:sz w:val="24"/>
        </w:rPr>
        <w:t>Transmisión de</w:t>
      </w:r>
      <w:r>
        <w:rPr>
          <w:spacing w:val="-5"/>
          <w:sz w:val="24"/>
        </w:rPr>
        <w:t> </w:t>
      </w:r>
      <w:r>
        <w:rPr>
          <w:sz w:val="24"/>
        </w:rPr>
        <w:t>datos</w:t>
      </w:r>
    </w:p>
    <w:p>
      <w:pPr>
        <w:pStyle w:val="ListParagraph"/>
        <w:numPr>
          <w:ilvl w:val="2"/>
          <w:numId w:val="51"/>
        </w:numPr>
        <w:tabs>
          <w:tab w:pos="2201" w:val="left" w:leader="none"/>
        </w:tabs>
        <w:spacing w:line="240" w:lineRule="auto" w:before="136" w:after="0"/>
        <w:ind w:left="2200" w:right="0" w:hanging="337"/>
        <w:jc w:val="left"/>
        <w:rPr>
          <w:sz w:val="24"/>
        </w:rPr>
      </w:pPr>
      <w:r>
        <w:rPr>
          <w:sz w:val="24"/>
        </w:rPr>
        <w:t>Transmisión de señales de televisión n por</w:t>
      </w:r>
      <w:r>
        <w:rPr>
          <w:spacing w:val="5"/>
          <w:sz w:val="24"/>
        </w:rPr>
        <w:t> </w:t>
      </w:r>
      <w:r>
        <w:rPr>
          <w:sz w:val="24"/>
        </w:rPr>
        <w:t>cable</w:t>
      </w:r>
    </w:p>
    <w:p>
      <w:pPr>
        <w:pStyle w:val="ListParagraph"/>
        <w:numPr>
          <w:ilvl w:val="2"/>
          <w:numId w:val="51"/>
        </w:numPr>
        <w:tabs>
          <w:tab w:pos="2346" w:val="left" w:leader="none"/>
          <w:tab w:pos="2347" w:val="left" w:leader="none"/>
        </w:tabs>
        <w:spacing w:line="240" w:lineRule="auto" w:before="142" w:after="0"/>
        <w:ind w:left="2346" w:right="0" w:hanging="483"/>
        <w:jc w:val="left"/>
        <w:rPr>
          <w:sz w:val="24"/>
        </w:rPr>
      </w:pPr>
      <w:r>
        <w:rPr>
          <w:sz w:val="24"/>
        </w:rPr>
        <w:t>Conducción de energía</w:t>
      </w:r>
      <w:r>
        <w:rPr>
          <w:spacing w:val="-1"/>
          <w:sz w:val="24"/>
        </w:rPr>
        <w:t> </w:t>
      </w:r>
      <w:r>
        <w:rPr>
          <w:sz w:val="24"/>
        </w:rPr>
        <w:t>eléctrica</w:t>
      </w:r>
    </w:p>
    <w:p>
      <w:pPr>
        <w:pStyle w:val="BodyText"/>
        <w:spacing w:before="183"/>
        <w:ind w:left="1504"/>
      </w:pPr>
      <w:r>
        <w:rPr/>
        <w:br w:type="column"/>
      </w:r>
      <w:r>
        <w:rPr/>
        <w:t>1.65</w:t>
      </w:r>
    </w:p>
    <w:p>
      <w:pPr>
        <w:pStyle w:val="BodyText"/>
        <w:spacing w:before="139"/>
        <w:ind w:left="1504"/>
      </w:pPr>
      <w:r>
        <w:rPr/>
        <w:t>1.65</w:t>
      </w:r>
    </w:p>
    <w:p>
      <w:pPr>
        <w:pStyle w:val="BodyText"/>
        <w:rPr>
          <w:sz w:val="26"/>
        </w:rPr>
      </w:pPr>
    </w:p>
    <w:p>
      <w:pPr>
        <w:pStyle w:val="BodyText"/>
        <w:rPr>
          <w:sz w:val="26"/>
        </w:rPr>
      </w:pPr>
    </w:p>
    <w:p>
      <w:pPr>
        <w:pStyle w:val="BodyText"/>
        <w:spacing w:before="11"/>
        <w:rPr>
          <w:sz w:val="31"/>
        </w:rPr>
      </w:pPr>
    </w:p>
    <w:p>
      <w:pPr>
        <w:pStyle w:val="BodyText"/>
        <w:ind w:left="1504"/>
      </w:pPr>
      <w:r>
        <w:rPr/>
        <w:t>1.65</w:t>
      </w:r>
    </w:p>
    <w:p>
      <w:pPr>
        <w:pStyle w:val="BodyText"/>
        <w:spacing w:before="139"/>
        <w:ind w:left="1504"/>
      </w:pPr>
      <w:r>
        <w:rPr/>
        <w:t>1.65</w:t>
      </w:r>
    </w:p>
    <w:p>
      <w:pPr>
        <w:pStyle w:val="BodyText"/>
        <w:spacing w:before="137"/>
        <w:ind w:left="1504"/>
      </w:pPr>
      <w:r>
        <w:rPr/>
        <w:t>1.65</w:t>
      </w:r>
    </w:p>
    <w:p>
      <w:pPr>
        <w:pStyle w:val="BodyText"/>
        <w:spacing w:before="139"/>
        <w:ind w:left="1504"/>
      </w:pPr>
      <w:r>
        <w:rPr/>
        <w:t>1.65</w:t>
      </w:r>
    </w:p>
    <w:p>
      <w:pPr>
        <w:spacing w:after="0"/>
        <w:sectPr>
          <w:pgSz w:w="12250" w:h="15850"/>
          <w:pgMar w:header="730" w:footer="0" w:top="1000" w:bottom="280" w:left="860" w:right="820"/>
          <w:cols w:num="2" w:equalWidth="0">
            <w:col w:w="7619" w:space="533"/>
            <w:col w:w="2418"/>
          </w:cols>
        </w:sectPr>
      </w:pPr>
    </w:p>
    <w:p>
      <w:pPr>
        <w:pStyle w:val="BodyText"/>
        <w:spacing w:before="11"/>
        <w:rPr>
          <w:sz w:val="27"/>
        </w:rPr>
      </w:pPr>
    </w:p>
    <w:p>
      <w:pPr>
        <w:pStyle w:val="Heading1"/>
        <w:spacing w:before="92"/>
        <w:ind w:left="1247" w:right="1281"/>
        <w:jc w:val="center"/>
      </w:pPr>
      <w:r>
        <w:rPr/>
        <w:t>Capítulo Décimo Quinto</w:t>
      </w:r>
    </w:p>
    <w:p>
      <w:pPr>
        <w:spacing w:before="0"/>
        <w:ind w:left="1247" w:right="1285" w:firstLine="0"/>
        <w:jc w:val="center"/>
        <w:rPr>
          <w:b/>
          <w:sz w:val="24"/>
        </w:rPr>
      </w:pPr>
      <w:r>
        <w:rPr>
          <w:b/>
          <w:sz w:val="24"/>
        </w:rPr>
        <w:t>Uso y Aprovechamiento de Terrenos y Locales del Fundo Municipal</w:t>
      </w:r>
    </w:p>
    <w:p>
      <w:pPr>
        <w:pStyle w:val="BodyText"/>
        <w:spacing w:before="9"/>
        <w:rPr>
          <w:b/>
          <w:sz w:val="23"/>
        </w:rPr>
      </w:pPr>
    </w:p>
    <w:p>
      <w:pPr>
        <w:pStyle w:val="BodyText"/>
        <w:ind w:left="400"/>
      </w:pPr>
      <w:r>
        <w:rPr>
          <w:b/>
        </w:rPr>
        <w:t>Artículo 34.- </w:t>
      </w:r>
      <w:r>
        <w:rPr/>
        <w:t>Los ingresos por conceptos de uso y aprovechamiento de terrenos del Fundo Municipal, se cobrarán conforme a la siguiente tarifa mensual:</w:t>
      </w:r>
    </w:p>
    <w:p>
      <w:pPr>
        <w:pStyle w:val="BodyText"/>
      </w:pPr>
    </w:p>
    <w:p>
      <w:pPr>
        <w:pStyle w:val="BodyText"/>
        <w:tabs>
          <w:tab w:pos="9344" w:val="left" w:leader="none"/>
        </w:tabs>
        <w:ind w:left="844"/>
      </w:pPr>
      <w:r>
        <w:rPr/>
        <w:t>Concepto</w:t>
        <w:tab/>
        <w:t>Pesos</w:t>
      </w:r>
    </w:p>
    <w:p>
      <w:pPr>
        <w:pStyle w:val="BodyText"/>
        <w:spacing w:before="127"/>
        <w:ind w:left="710"/>
      </w:pPr>
      <w:r>
        <w:rPr>
          <w:b/>
        </w:rPr>
        <w:t>I.- </w:t>
      </w:r>
      <w:r>
        <w:rPr/>
        <w:t>Propiedad urbana:</w:t>
      </w:r>
    </w:p>
    <w:p>
      <w:pPr>
        <w:pStyle w:val="ListParagraph"/>
        <w:numPr>
          <w:ilvl w:val="0"/>
          <w:numId w:val="52"/>
        </w:numPr>
        <w:tabs>
          <w:tab w:pos="1359" w:val="left" w:leader="none"/>
          <w:tab w:pos="10012" w:val="right" w:leader="none"/>
        </w:tabs>
        <w:spacing w:line="240" w:lineRule="auto" w:before="0" w:after="0"/>
        <w:ind w:left="1358" w:right="0" w:hanging="282"/>
        <w:jc w:val="left"/>
        <w:rPr>
          <w:sz w:val="24"/>
        </w:rPr>
      </w:pPr>
      <w:r>
        <w:rPr>
          <w:sz w:val="24"/>
        </w:rPr>
        <w:t>De 70 a 250</w:t>
      </w:r>
      <w:r>
        <w:rPr>
          <w:spacing w:val="-6"/>
          <w:sz w:val="24"/>
        </w:rPr>
        <w:t> </w:t>
      </w:r>
      <w:r>
        <w:rPr>
          <w:sz w:val="24"/>
        </w:rPr>
        <w:t>metros</w:t>
      </w:r>
      <w:r>
        <w:rPr>
          <w:spacing w:val="-2"/>
          <w:sz w:val="24"/>
        </w:rPr>
        <w:t> </w:t>
      </w:r>
      <w:r>
        <w:rPr>
          <w:sz w:val="24"/>
        </w:rPr>
        <w:t>cuadrados</w:t>
        <w:tab/>
        <w:t>54.46</w:t>
      </w:r>
    </w:p>
    <w:p>
      <w:pPr>
        <w:spacing w:after="0" w:line="240" w:lineRule="auto"/>
        <w:jc w:val="left"/>
        <w:rPr>
          <w:sz w:val="24"/>
        </w:rPr>
        <w:sectPr>
          <w:type w:val="continuous"/>
          <w:pgSz w:w="12250" w:h="15850"/>
          <w:pgMar w:top="840" w:bottom="280" w:left="860" w:right="820"/>
        </w:sectPr>
      </w:pPr>
    </w:p>
    <w:p>
      <w:pPr>
        <w:pStyle w:val="ListParagraph"/>
        <w:numPr>
          <w:ilvl w:val="0"/>
          <w:numId w:val="52"/>
        </w:numPr>
        <w:tabs>
          <w:tab w:pos="1356" w:val="left" w:leader="none"/>
        </w:tabs>
        <w:spacing w:line="240" w:lineRule="auto" w:before="121" w:after="0"/>
        <w:ind w:left="1355" w:right="0" w:hanging="279"/>
        <w:jc w:val="left"/>
        <w:rPr>
          <w:sz w:val="24"/>
        </w:rPr>
      </w:pPr>
      <w:r>
        <w:rPr>
          <w:sz w:val="24"/>
        </w:rPr>
        <w:t>De 251 a 500 metros</w:t>
      </w:r>
      <w:r>
        <w:rPr>
          <w:spacing w:val="-6"/>
          <w:sz w:val="24"/>
        </w:rPr>
        <w:t> </w:t>
      </w:r>
      <w:r>
        <w:rPr>
          <w:sz w:val="24"/>
        </w:rPr>
        <w:t>cuadrados</w:t>
      </w:r>
    </w:p>
    <w:p>
      <w:pPr>
        <w:pStyle w:val="ListParagraph"/>
        <w:numPr>
          <w:ilvl w:val="0"/>
          <w:numId w:val="52"/>
        </w:numPr>
        <w:tabs>
          <w:tab w:pos="1344" w:val="left" w:leader="none"/>
        </w:tabs>
        <w:spacing w:line="240" w:lineRule="auto" w:before="0" w:after="0"/>
        <w:ind w:left="1343" w:right="0" w:hanging="267"/>
        <w:jc w:val="left"/>
        <w:rPr>
          <w:sz w:val="24"/>
        </w:rPr>
      </w:pPr>
      <w:r>
        <w:rPr>
          <w:sz w:val="24"/>
        </w:rPr>
        <w:t>De 501 metros cuadrados, en</w:t>
      </w:r>
      <w:r>
        <w:rPr>
          <w:spacing w:val="-14"/>
          <w:sz w:val="24"/>
        </w:rPr>
        <w:t> </w:t>
      </w:r>
      <w:r>
        <w:rPr>
          <w:sz w:val="24"/>
        </w:rPr>
        <w:t>adelante:</w:t>
      </w:r>
    </w:p>
    <w:p>
      <w:pPr>
        <w:pStyle w:val="BodyText"/>
        <w:spacing w:before="121"/>
        <w:ind w:right="548"/>
        <w:jc w:val="right"/>
      </w:pPr>
      <w:r>
        <w:rPr/>
        <w:br w:type="column"/>
      </w:r>
      <w:r>
        <w:rPr>
          <w:spacing w:val="-1"/>
        </w:rPr>
        <w:t>872.32</w:t>
      </w:r>
    </w:p>
    <w:p>
      <w:pPr>
        <w:pStyle w:val="BodyText"/>
        <w:ind w:right="548"/>
        <w:jc w:val="right"/>
      </w:pPr>
      <w:r>
        <w:rPr/>
        <w:t>1,</w:t>
      </w:r>
      <w:r>
        <w:rPr>
          <w:spacing w:val="-5"/>
        </w:rPr>
        <w:t> </w:t>
      </w:r>
      <w:r>
        <w:rPr/>
        <w:t>130.33</w:t>
      </w:r>
    </w:p>
    <w:p>
      <w:pPr>
        <w:spacing w:after="0"/>
        <w:jc w:val="right"/>
        <w:sectPr>
          <w:type w:val="continuous"/>
          <w:pgSz w:w="12250" w:h="15850"/>
          <w:pgMar w:top="840" w:bottom="280" w:left="860" w:right="820"/>
          <w:cols w:num="2" w:equalWidth="0">
            <w:col w:w="5599" w:space="2334"/>
            <w:col w:w="2637"/>
          </w:cols>
        </w:sectPr>
      </w:pPr>
    </w:p>
    <w:p>
      <w:pPr>
        <w:pStyle w:val="BodyText"/>
        <w:spacing w:before="8"/>
        <w:rPr>
          <w:sz w:val="22"/>
        </w:rPr>
      </w:pPr>
    </w:p>
    <w:p>
      <w:pPr>
        <w:pStyle w:val="BodyText"/>
        <w:spacing w:before="1"/>
        <w:ind w:left="510" w:right="3350"/>
      </w:pPr>
      <w:r>
        <w:rPr>
          <w:b/>
        </w:rPr>
        <w:t>II.- </w:t>
      </w:r>
      <w:r>
        <w:rPr/>
        <w:t>Concesión de inmuebles para anuncios permanentes; apegado al reglamento de anuncios vigente, por metro</w:t>
      </w:r>
    </w:p>
    <w:p>
      <w:pPr>
        <w:pStyle w:val="BodyText"/>
        <w:tabs>
          <w:tab w:pos="10012" w:val="right" w:leader="none"/>
        </w:tabs>
        <w:ind w:left="510"/>
      </w:pPr>
      <w:r>
        <w:rPr/>
        <w:t>cuadrado,</w:t>
      </w:r>
      <w:r>
        <w:rPr>
          <w:spacing w:val="-3"/>
        </w:rPr>
        <w:t> </w:t>
      </w:r>
      <w:r>
        <w:rPr/>
        <w:t>mensualmente:</w:t>
        <w:tab/>
        <w:t>17.86</w:t>
      </w:r>
    </w:p>
    <w:p>
      <w:pPr>
        <w:pStyle w:val="BodyText"/>
        <w:tabs>
          <w:tab w:pos="1661" w:val="left" w:leader="none"/>
          <w:tab w:pos="2064" w:val="left" w:leader="none"/>
          <w:tab w:pos="3484" w:val="left" w:leader="none"/>
          <w:tab w:pos="4662" w:val="left" w:leader="none"/>
          <w:tab w:pos="5717" w:val="left" w:leader="none"/>
          <w:tab w:pos="6280" w:val="left" w:leader="none"/>
        </w:tabs>
        <w:spacing w:before="259"/>
        <w:ind w:left="510" w:right="3547"/>
      </w:pPr>
      <w:r>
        <w:rPr>
          <w:b/>
        </w:rPr>
        <w:t>III.- </w:t>
      </w:r>
      <w:r>
        <w:rPr/>
        <w:t>Concesión de inmuebles para anuncios eventuales; apegado</w:t>
        <w:tab/>
        <w:t>al</w:t>
        <w:tab/>
        <w:t>reglamento</w:t>
        <w:tab/>
        <w:t>anuncios</w:t>
        <w:tab/>
        <w:t>vigente,</w:t>
        <w:tab/>
        <w:t>por</w:t>
        <w:tab/>
      </w:r>
      <w:r>
        <w:rPr>
          <w:spacing w:val="-4"/>
        </w:rPr>
        <w:t>metros</w:t>
      </w:r>
    </w:p>
    <w:p>
      <w:pPr>
        <w:pStyle w:val="BodyText"/>
        <w:tabs>
          <w:tab w:pos="10012" w:val="right" w:leader="none"/>
        </w:tabs>
        <w:ind w:left="510"/>
      </w:pPr>
      <w:r>
        <w:rPr/>
        <w:t>cuadrados,</w:t>
      </w:r>
      <w:r>
        <w:rPr>
          <w:spacing w:val="-3"/>
        </w:rPr>
        <w:t> </w:t>
      </w:r>
      <w:r>
        <w:rPr/>
        <w:t>diariamente:</w:t>
        <w:tab/>
        <w:t>13.39</w:t>
      </w:r>
    </w:p>
    <w:p>
      <w:pPr>
        <w:pStyle w:val="BodyText"/>
        <w:rPr>
          <w:sz w:val="26"/>
        </w:rPr>
      </w:pPr>
    </w:p>
    <w:p>
      <w:pPr>
        <w:pStyle w:val="BodyText"/>
        <w:rPr>
          <w:sz w:val="22"/>
        </w:rPr>
      </w:pPr>
    </w:p>
    <w:p>
      <w:pPr>
        <w:pStyle w:val="Heading1"/>
        <w:ind w:left="1247" w:right="1283"/>
        <w:jc w:val="center"/>
      </w:pPr>
      <w:r>
        <w:rPr/>
        <w:t>Capítulo Décimo Sexto</w:t>
      </w:r>
    </w:p>
    <w:p>
      <w:pPr>
        <w:spacing w:before="0"/>
        <w:ind w:left="446" w:right="484" w:firstLine="0"/>
        <w:jc w:val="center"/>
        <w:rPr>
          <w:b/>
          <w:sz w:val="24"/>
        </w:rPr>
      </w:pPr>
      <w:r>
        <w:rPr>
          <w:b/>
          <w:sz w:val="24"/>
        </w:rPr>
        <w:t>De los Servicios en Materia de Acceso a la Información Pública y Datos Personales</w:t>
      </w:r>
    </w:p>
    <w:p>
      <w:pPr>
        <w:pStyle w:val="BodyText"/>
        <w:rPr>
          <w:b/>
        </w:rPr>
      </w:pPr>
    </w:p>
    <w:p>
      <w:pPr>
        <w:pStyle w:val="BodyText"/>
        <w:spacing w:before="1"/>
        <w:ind w:left="400" w:right="443"/>
        <w:jc w:val="both"/>
      </w:pPr>
      <w:r>
        <w:rPr>
          <w:b/>
        </w:rPr>
        <w:t>Artículo 35.- </w:t>
      </w:r>
      <w:r>
        <w:rPr/>
        <w:t>Los derechos por los servicios de acceso a la información pública y datos personales, cuando medie solicitud y sea procedente conforme a las leyes de la materia, se causarán y liquidarán conforme a la siguiente</w:t>
      </w:r>
      <w:r>
        <w:rPr>
          <w:spacing w:val="-6"/>
        </w:rPr>
        <w:t> </w:t>
      </w:r>
      <w:r>
        <w:rPr/>
        <w:t>tarifa:</w:t>
      </w:r>
    </w:p>
    <w:p>
      <w:pPr>
        <w:pStyle w:val="BodyText"/>
        <w:spacing w:before="11"/>
        <w:rPr>
          <w:sz w:val="23"/>
        </w:rPr>
      </w:pPr>
    </w:p>
    <w:p>
      <w:pPr>
        <w:tabs>
          <w:tab w:pos="7793" w:val="left" w:leader="none"/>
        </w:tabs>
        <w:spacing w:line="264" w:lineRule="exact" w:before="0"/>
        <w:ind w:left="3168" w:right="0" w:firstLine="0"/>
        <w:jc w:val="left"/>
        <w:rPr>
          <w:sz w:val="23"/>
        </w:rPr>
      </w:pPr>
      <w:r>
        <w:rPr>
          <w:sz w:val="23"/>
        </w:rPr>
        <w:t>Concepto</w:t>
        <w:tab/>
        <w:t>Importe en</w:t>
      </w:r>
      <w:r>
        <w:rPr>
          <w:spacing w:val="-6"/>
          <w:sz w:val="23"/>
        </w:rPr>
        <w:t> </w:t>
      </w:r>
      <w:r>
        <w:rPr>
          <w:sz w:val="23"/>
        </w:rPr>
        <w:t>pesos</w:t>
      </w:r>
    </w:p>
    <w:p>
      <w:pPr>
        <w:pStyle w:val="ListParagraph"/>
        <w:numPr>
          <w:ilvl w:val="0"/>
          <w:numId w:val="53"/>
        </w:numPr>
        <w:tabs>
          <w:tab w:pos="1859" w:val="left" w:leader="none"/>
          <w:tab w:pos="1860" w:val="left" w:leader="none"/>
          <w:tab w:pos="9123" w:val="left" w:leader="none"/>
        </w:tabs>
        <w:spacing w:line="276" w:lineRule="exact" w:before="0" w:after="0"/>
        <w:ind w:left="1859" w:right="0" w:hanging="711"/>
        <w:jc w:val="left"/>
        <w:rPr>
          <w:sz w:val="23"/>
        </w:rPr>
      </w:pPr>
      <w:r>
        <w:rPr>
          <w:sz w:val="24"/>
        </w:rPr>
        <w:t>Por consulta</w:t>
      </w:r>
      <w:r>
        <w:rPr>
          <w:spacing w:val="-6"/>
          <w:sz w:val="24"/>
        </w:rPr>
        <w:t> </w:t>
      </w:r>
      <w:r>
        <w:rPr>
          <w:sz w:val="24"/>
        </w:rPr>
        <w:t>de</w:t>
      </w:r>
      <w:r>
        <w:rPr>
          <w:spacing w:val="-4"/>
          <w:sz w:val="24"/>
        </w:rPr>
        <w:t> </w:t>
      </w:r>
      <w:r>
        <w:rPr>
          <w:sz w:val="24"/>
        </w:rPr>
        <w:t>expediente.</w:t>
        <w:tab/>
      </w:r>
      <w:r>
        <w:rPr>
          <w:position w:val="1"/>
          <w:sz w:val="23"/>
        </w:rPr>
        <w:t>0.00</w:t>
      </w:r>
    </w:p>
    <w:p>
      <w:pPr>
        <w:spacing w:after="0" w:line="276" w:lineRule="exact"/>
        <w:jc w:val="left"/>
        <w:rPr>
          <w:sz w:val="23"/>
        </w:rPr>
        <w:sectPr>
          <w:type w:val="continuous"/>
          <w:pgSz w:w="12250" w:h="15850"/>
          <w:pgMar w:top="840" w:bottom="280" w:left="860" w:right="820"/>
        </w:sectPr>
      </w:pPr>
    </w:p>
    <w:p>
      <w:pPr>
        <w:pStyle w:val="ListParagraph"/>
        <w:numPr>
          <w:ilvl w:val="0"/>
          <w:numId w:val="53"/>
        </w:numPr>
        <w:tabs>
          <w:tab w:pos="1859" w:val="left" w:leader="none"/>
          <w:tab w:pos="1860" w:val="left" w:leader="none"/>
        </w:tabs>
        <w:spacing w:line="240" w:lineRule="auto" w:before="0" w:after="0"/>
        <w:ind w:left="1859" w:right="38" w:hanging="711"/>
        <w:jc w:val="left"/>
        <w:rPr>
          <w:sz w:val="24"/>
        </w:rPr>
      </w:pPr>
      <w:r>
        <w:rPr>
          <w:sz w:val="24"/>
        </w:rPr>
        <w:t>Por expedición de copias, por cada copia de 1 a</w:t>
      </w:r>
      <w:r>
        <w:rPr>
          <w:spacing w:val="-2"/>
          <w:sz w:val="24"/>
        </w:rPr>
        <w:t> </w:t>
      </w:r>
      <w:r>
        <w:rPr>
          <w:sz w:val="24"/>
        </w:rPr>
        <w:t>20</w:t>
      </w:r>
    </w:p>
    <w:p>
      <w:pPr>
        <w:pStyle w:val="ListParagraph"/>
        <w:numPr>
          <w:ilvl w:val="0"/>
          <w:numId w:val="53"/>
        </w:numPr>
        <w:tabs>
          <w:tab w:pos="1859" w:val="left" w:leader="none"/>
          <w:tab w:pos="1860" w:val="left" w:leader="none"/>
        </w:tabs>
        <w:spacing w:line="240" w:lineRule="auto" w:before="0" w:after="0"/>
        <w:ind w:left="1859" w:right="39" w:hanging="711"/>
        <w:jc w:val="left"/>
        <w:rPr>
          <w:sz w:val="24"/>
        </w:rPr>
      </w:pPr>
      <w:r>
        <w:rPr>
          <w:sz w:val="24"/>
        </w:rPr>
        <w:t>Por la expedición de copias a partir de veintiuna, por cada</w:t>
      </w:r>
      <w:r>
        <w:rPr>
          <w:spacing w:val="-1"/>
          <w:sz w:val="24"/>
        </w:rPr>
        <w:t> </w:t>
      </w:r>
      <w:r>
        <w:rPr>
          <w:sz w:val="24"/>
        </w:rPr>
        <w:t>copia.</w:t>
      </w:r>
    </w:p>
    <w:p>
      <w:pPr>
        <w:pStyle w:val="ListParagraph"/>
        <w:numPr>
          <w:ilvl w:val="0"/>
          <w:numId w:val="53"/>
        </w:numPr>
        <w:tabs>
          <w:tab w:pos="1859" w:val="left" w:leader="none"/>
          <w:tab w:pos="1860" w:val="left" w:leader="none"/>
        </w:tabs>
        <w:spacing w:line="240" w:lineRule="auto" w:before="0" w:after="0"/>
        <w:ind w:left="1859" w:right="38" w:hanging="711"/>
        <w:jc w:val="left"/>
        <w:rPr>
          <w:sz w:val="24"/>
        </w:rPr>
      </w:pPr>
      <w:r>
        <w:rPr>
          <w:sz w:val="24"/>
        </w:rPr>
        <w:t>Por la certificación de una hoja hasta el expediente</w:t>
      </w:r>
      <w:r>
        <w:rPr>
          <w:spacing w:val="-1"/>
          <w:sz w:val="24"/>
        </w:rPr>
        <w:t> </w:t>
      </w:r>
      <w:r>
        <w:rPr>
          <w:sz w:val="24"/>
        </w:rPr>
        <w:t>completo</w:t>
      </w:r>
    </w:p>
    <w:p>
      <w:pPr>
        <w:spacing w:before="0"/>
        <w:ind w:left="0" w:right="987" w:firstLine="0"/>
        <w:jc w:val="right"/>
        <w:rPr>
          <w:sz w:val="23"/>
        </w:rPr>
      </w:pPr>
      <w:r>
        <w:rPr/>
        <w:br w:type="column"/>
      </w:r>
      <w:r>
        <w:rPr>
          <w:spacing w:val="-1"/>
          <w:sz w:val="23"/>
        </w:rPr>
        <w:t>Exento</w:t>
      </w:r>
    </w:p>
    <w:p>
      <w:pPr>
        <w:pStyle w:val="BodyText"/>
        <w:rPr>
          <w:sz w:val="25"/>
        </w:rPr>
      </w:pPr>
    </w:p>
    <w:p>
      <w:pPr>
        <w:spacing w:before="0"/>
        <w:ind w:left="0" w:right="989" w:firstLine="0"/>
        <w:jc w:val="right"/>
        <w:rPr>
          <w:sz w:val="23"/>
        </w:rPr>
      </w:pPr>
      <w:r>
        <w:rPr>
          <w:spacing w:val="-1"/>
          <w:sz w:val="23"/>
        </w:rPr>
        <w:t>1.09</w:t>
      </w:r>
    </w:p>
    <w:p>
      <w:pPr>
        <w:pStyle w:val="BodyText"/>
        <w:rPr>
          <w:sz w:val="25"/>
        </w:rPr>
      </w:pPr>
    </w:p>
    <w:p>
      <w:pPr>
        <w:spacing w:before="0"/>
        <w:ind w:left="0" w:right="989" w:firstLine="0"/>
        <w:jc w:val="right"/>
        <w:rPr>
          <w:sz w:val="23"/>
        </w:rPr>
      </w:pPr>
      <w:r>
        <w:rPr>
          <w:spacing w:val="-1"/>
          <w:sz w:val="23"/>
        </w:rPr>
        <w:t>26.72</w:t>
      </w:r>
    </w:p>
    <w:p>
      <w:pPr>
        <w:spacing w:after="0"/>
        <w:jc w:val="right"/>
        <w:rPr>
          <w:sz w:val="23"/>
        </w:rPr>
        <w:sectPr>
          <w:type w:val="continuous"/>
          <w:pgSz w:w="12250" w:h="15850"/>
          <w:pgMar w:top="840" w:bottom="280" w:left="860" w:right="820"/>
          <w:cols w:num="2" w:equalWidth="0">
            <w:col w:w="6410" w:space="1298"/>
            <w:col w:w="2862"/>
          </w:cols>
        </w:sectPr>
      </w:pPr>
    </w:p>
    <w:p>
      <w:pPr>
        <w:pStyle w:val="BodyText"/>
        <w:spacing w:before="1"/>
        <w:rPr>
          <w:sz w:val="9"/>
        </w:rPr>
      </w:pPr>
    </w:p>
    <w:p>
      <w:pPr>
        <w:tabs>
          <w:tab w:pos="7793" w:val="left" w:leader="none"/>
        </w:tabs>
        <w:spacing w:before="93"/>
        <w:ind w:left="3168" w:right="0" w:firstLine="0"/>
        <w:jc w:val="left"/>
        <w:rPr>
          <w:sz w:val="23"/>
        </w:rPr>
      </w:pPr>
      <w:r>
        <w:rPr>
          <w:sz w:val="23"/>
        </w:rPr>
        <w:t>Concepto</w:t>
        <w:tab/>
        <w:t>Importe en</w:t>
      </w:r>
      <w:r>
        <w:rPr>
          <w:spacing w:val="-3"/>
          <w:sz w:val="23"/>
        </w:rPr>
        <w:t> </w:t>
      </w:r>
      <w:r>
        <w:rPr>
          <w:sz w:val="23"/>
        </w:rPr>
        <w:t>pesos</w:t>
      </w:r>
    </w:p>
    <w:p>
      <w:pPr>
        <w:spacing w:after="0"/>
        <w:jc w:val="left"/>
        <w:rPr>
          <w:sz w:val="23"/>
        </w:rPr>
        <w:sectPr>
          <w:pgSz w:w="12250" w:h="15850"/>
          <w:pgMar w:header="730" w:footer="0" w:top="1000" w:bottom="280" w:left="860" w:right="820"/>
        </w:sectPr>
      </w:pPr>
    </w:p>
    <w:p>
      <w:pPr>
        <w:pStyle w:val="ListParagraph"/>
        <w:numPr>
          <w:ilvl w:val="0"/>
          <w:numId w:val="53"/>
        </w:numPr>
        <w:tabs>
          <w:tab w:pos="1860" w:val="left" w:leader="none"/>
        </w:tabs>
        <w:spacing w:line="240" w:lineRule="auto" w:before="0" w:after="0"/>
        <w:ind w:left="1859" w:right="40" w:hanging="711"/>
        <w:jc w:val="both"/>
        <w:rPr>
          <w:sz w:val="24"/>
        </w:rPr>
      </w:pPr>
      <w:r>
        <w:rPr>
          <w:sz w:val="24"/>
        </w:rPr>
        <w:t>Por la impresión de documentos contenidos en medios magnéticos y digitales por</w:t>
      </w:r>
      <w:r>
        <w:rPr>
          <w:spacing w:val="-3"/>
          <w:sz w:val="24"/>
        </w:rPr>
        <w:t> </w:t>
      </w:r>
      <w:r>
        <w:rPr>
          <w:sz w:val="24"/>
        </w:rPr>
        <w:t>hoja</w:t>
      </w:r>
    </w:p>
    <w:p>
      <w:pPr>
        <w:pStyle w:val="ListParagraph"/>
        <w:numPr>
          <w:ilvl w:val="0"/>
          <w:numId w:val="53"/>
        </w:numPr>
        <w:tabs>
          <w:tab w:pos="1860" w:val="left" w:leader="none"/>
        </w:tabs>
        <w:spacing w:line="240" w:lineRule="auto" w:before="0" w:after="0"/>
        <w:ind w:left="1859" w:right="38" w:hanging="711"/>
        <w:jc w:val="both"/>
        <w:rPr>
          <w:sz w:val="24"/>
        </w:rPr>
      </w:pPr>
      <w:r>
        <w:rPr>
          <w:sz w:val="24"/>
        </w:rPr>
        <w:t>Por la reproducción de documento en medios magnéticos y</w:t>
      </w:r>
      <w:r>
        <w:rPr>
          <w:spacing w:val="-6"/>
          <w:sz w:val="24"/>
        </w:rPr>
        <w:t> </w:t>
      </w:r>
      <w:r>
        <w:rPr>
          <w:sz w:val="24"/>
        </w:rPr>
        <w:t>digitales:</w:t>
      </w:r>
    </w:p>
    <w:p>
      <w:pPr>
        <w:pStyle w:val="ListParagraph"/>
        <w:numPr>
          <w:ilvl w:val="1"/>
          <w:numId w:val="53"/>
        </w:numPr>
        <w:tabs>
          <w:tab w:pos="2580" w:val="left" w:leader="none"/>
        </w:tabs>
        <w:spacing w:line="240" w:lineRule="auto" w:before="0" w:after="0"/>
        <w:ind w:left="2579" w:right="39" w:hanging="360"/>
        <w:jc w:val="both"/>
        <w:rPr>
          <w:sz w:val="24"/>
        </w:rPr>
      </w:pPr>
      <w:r>
        <w:rPr/>
        <w:drawing>
          <wp:anchor distT="0" distB="0" distL="0" distR="0" allowOverlap="1" layoutInCell="1" locked="0" behindDoc="1" simplePos="0" relativeHeight="227517440">
            <wp:simplePos x="0" y="0"/>
            <wp:positionH relativeFrom="page">
              <wp:posOffset>1252555</wp:posOffset>
            </wp:positionH>
            <wp:positionV relativeFrom="paragraph">
              <wp:posOffset>240993</wp:posOffset>
            </wp:positionV>
            <wp:extent cx="5022641" cy="5144769"/>
            <wp:effectExtent l="0" t="0" r="0" b="0"/>
            <wp:wrapNone/>
            <wp:docPr id="97" name="image44.png"/>
            <wp:cNvGraphicFramePr>
              <a:graphicFrameLocks noChangeAspect="1"/>
            </wp:cNvGraphicFramePr>
            <a:graphic>
              <a:graphicData uri="http://schemas.openxmlformats.org/drawingml/2006/picture">
                <pic:pic>
                  <pic:nvPicPr>
                    <pic:cNvPr id="98" name="image44.png"/>
                    <pic:cNvPicPr/>
                  </pic:nvPicPr>
                  <pic:blipFill>
                    <a:blip r:embed="rId54" cstate="print"/>
                    <a:stretch>
                      <a:fillRect/>
                    </a:stretch>
                  </pic:blipFill>
                  <pic:spPr>
                    <a:xfrm>
                      <a:off x="0" y="0"/>
                      <a:ext cx="5022641" cy="5144769"/>
                    </a:xfrm>
                    <a:prstGeom prst="rect">
                      <a:avLst/>
                    </a:prstGeom>
                  </pic:spPr>
                </pic:pic>
              </a:graphicData>
            </a:graphic>
          </wp:anchor>
        </w:drawing>
      </w:r>
      <w:r>
        <w:rPr>
          <w:sz w:val="24"/>
        </w:rPr>
        <w:t>Si el solicitante aporta el medio magnético o digital en el que se realiza la</w:t>
      </w:r>
      <w:r>
        <w:rPr>
          <w:spacing w:val="-1"/>
          <w:sz w:val="24"/>
        </w:rPr>
        <w:t> </w:t>
      </w:r>
      <w:r>
        <w:rPr>
          <w:sz w:val="24"/>
        </w:rPr>
        <w:t>reproducción</w:t>
      </w:r>
    </w:p>
    <w:p>
      <w:pPr>
        <w:pStyle w:val="ListParagraph"/>
        <w:numPr>
          <w:ilvl w:val="1"/>
          <w:numId w:val="53"/>
        </w:numPr>
        <w:tabs>
          <w:tab w:pos="2580" w:val="left" w:leader="none"/>
        </w:tabs>
        <w:spacing w:line="240" w:lineRule="auto" w:before="0" w:after="0"/>
        <w:ind w:left="2579" w:right="0" w:hanging="361"/>
        <w:jc w:val="both"/>
        <w:rPr>
          <w:sz w:val="24"/>
        </w:rPr>
      </w:pPr>
      <w:r>
        <w:rPr>
          <w:sz w:val="24"/>
        </w:rPr>
        <w:t>En medios magnéticos o</w:t>
      </w:r>
      <w:r>
        <w:rPr>
          <w:spacing w:val="-9"/>
          <w:sz w:val="24"/>
        </w:rPr>
        <w:t> </w:t>
      </w:r>
      <w:r>
        <w:rPr>
          <w:sz w:val="24"/>
        </w:rPr>
        <w:t>digitales</w:t>
      </w:r>
    </w:p>
    <w:p>
      <w:pPr>
        <w:spacing w:line="264" w:lineRule="exact" w:before="0"/>
        <w:ind w:left="1149" w:right="726" w:firstLine="0"/>
        <w:jc w:val="center"/>
        <w:rPr>
          <w:sz w:val="23"/>
        </w:rPr>
      </w:pPr>
      <w:r>
        <w:rPr/>
        <w:br w:type="column"/>
      </w:r>
      <w:r>
        <w:rPr>
          <w:sz w:val="23"/>
        </w:rPr>
        <w:t>1.09</w:t>
      </w:r>
    </w:p>
    <w:p>
      <w:pPr>
        <w:pStyle w:val="BodyText"/>
        <w:rPr>
          <w:sz w:val="26"/>
        </w:rPr>
      </w:pPr>
    </w:p>
    <w:p>
      <w:pPr>
        <w:pStyle w:val="BodyText"/>
        <w:spacing w:before="2"/>
        <w:rPr>
          <w:sz w:val="23"/>
        </w:rPr>
      </w:pPr>
    </w:p>
    <w:p>
      <w:pPr>
        <w:spacing w:line="790" w:lineRule="atLeast" w:before="0"/>
        <w:ind w:left="1137" w:right="975" w:firstLine="0"/>
        <w:jc w:val="center"/>
        <w:rPr>
          <w:sz w:val="23"/>
        </w:rPr>
      </w:pPr>
      <w:r>
        <w:rPr>
          <w:sz w:val="23"/>
        </w:rPr>
        <w:t>Exento Exento</w:t>
      </w:r>
    </w:p>
    <w:p>
      <w:pPr>
        <w:spacing w:after="0" w:line="790" w:lineRule="atLeast"/>
        <w:jc w:val="center"/>
        <w:rPr>
          <w:sz w:val="23"/>
        </w:rPr>
        <w:sectPr>
          <w:type w:val="continuous"/>
          <w:pgSz w:w="12250" w:h="15850"/>
          <w:pgMar w:top="840" w:bottom="280" w:left="860" w:right="820"/>
          <w:cols w:num="2" w:equalWidth="0">
            <w:col w:w="6411" w:space="1297"/>
            <w:col w:w="2862"/>
          </w:cols>
        </w:sectPr>
      </w:pPr>
    </w:p>
    <w:p>
      <w:pPr>
        <w:pStyle w:val="BodyText"/>
        <w:spacing w:before="9"/>
        <w:rPr>
          <w:sz w:val="8"/>
        </w:rPr>
      </w:pPr>
    </w:p>
    <w:p>
      <w:pPr>
        <w:pStyle w:val="ListParagraph"/>
        <w:numPr>
          <w:ilvl w:val="0"/>
          <w:numId w:val="54"/>
        </w:numPr>
        <w:tabs>
          <w:tab w:pos="1859" w:val="left" w:leader="none"/>
          <w:tab w:pos="1860" w:val="left" w:leader="none"/>
          <w:tab w:pos="9570" w:val="right" w:leader="none"/>
        </w:tabs>
        <w:spacing w:line="276" w:lineRule="exact" w:before="93" w:after="0"/>
        <w:ind w:left="1859" w:right="0" w:hanging="711"/>
        <w:jc w:val="left"/>
        <w:rPr>
          <w:sz w:val="23"/>
        </w:rPr>
      </w:pPr>
      <w:r>
        <w:rPr>
          <w:sz w:val="24"/>
        </w:rPr>
        <w:t>Constancia de búsqueda</w:t>
      </w:r>
      <w:r>
        <w:rPr>
          <w:spacing w:val="-1"/>
          <w:sz w:val="24"/>
        </w:rPr>
        <w:t> </w:t>
      </w:r>
      <w:r>
        <w:rPr>
          <w:sz w:val="24"/>
        </w:rPr>
        <w:t>de</w:t>
      </w:r>
      <w:r>
        <w:rPr>
          <w:spacing w:val="-1"/>
          <w:sz w:val="24"/>
        </w:rPr>
        <w:t> </w:t>
      </w:r>
      <w:r>
        <w:rPr>
          <w:sz w:val="24"/>
        </w:rPr>
        <w:t>Infracción</w:t>
        <w:tab/>
      </w:r>
      <w:r>
        <w:rPr>
          <w:position w:val="1"/>
          <w:sz w:val="23"/>
        </w:rPr>
        <w:t>73.21</w:t>
      </w:r>
    </w:p>
    <w:p>
      <w:pPr>
        <w:pStyle w:val="ListParagraph"/>
        <w:numPr>
          <w:ilvl w:val="0"/>
          <w:numId w:val="54"/>
        </w:numPr>
        <w:tabs>
          <w:tab w:pos="1859" w:val="left" w:leader="none"/>
          <w:tab w:pos="1860" w:val="left" w:leader="none"/>
          <w:tab w:pos="9570" w:val="right" w:leader="none"/>
        </w:tabs>
        <w:spacing w:line="276" w:lineRule="exact" w:before="0" w:after="0"/>
        <w:ind w:left="1859" w:right="0" w:hanging="711"/>
        <w:jc w:val="left"/>
        <w:rPr>
          <w:sz w:val="23"/>
        </w:rPr>
      </w:pPr>
      <w:r>
        <w:rPr>
          <w:sz w:val="24"/>
        </w:rPr>
        <w:t>Constancia de búsqueda de No</w:t>
      </w:r>
      <w:r>
        <w:rPr>
          <w:spacing w:val="-2"/>
          <w:sz w:val="24"/>
        </w:rPr>
        <w:t> </w:t>
      </w:r>
      <w:r>
        <w:rPr>
          <w:sz w:val="24"/>
        </w:rPr>
        <w:t>Infracción</w:t>
        <w:tab/>
      </w:r>
      <w:r>
        <w:rPr>
          <w:position w:val="1"/>
          <w:sz w:val="23"/>
        </w:rPr>
        <w:t>73.21</w:t>
      </w:r>
    </w:p>
    <w:p>
      <w:pPr>
        <w:pStyle w:val="BodyText"/>
      </w:pPr>
    </w:p>
    <w:p>
      <w:pPr>
        <w:pStyle w:val="BodyText"/>
        <w:ind w:left="400" w:right="436"/>
        <w:jc w:val="both"/>
      </w:pPr>
      <w:r>
        <w:rPr/>
        <w:t>Las cuotas se integran únicamente con el costo de los materiales utilizados en la reproducción y certificación de la información, al que se agregará el costo de envío y/o certificación ante notario público, de conformidad con los costos de los servicios, en caso de que así lo solicite la persona interesada.</w:t>
      </w:r>
    </w:p>
    <w:p>
      <w:pPr>
        <w:pStyle w:val="BodyText"/>
      </w:pPr>
    </w:p>
    <w:p>
      <w:pPr>
        <w:pStyle w:val="Heading1"/>
        <w:ind w:left="1247" w:right="1283"/>
        <w:jc w:val="center"/>
      </w:pPr>
      <w:r>
        <w:rPr/>
        <w:t>Capitulo Décimo Séptimo</w:t>
      </w:r>
    </w:p>
    <w:p>
      <w:pPr>
        <w:spacing w:before="0"/>
        <w:ind w:left="446" w:right="486" w:firstLine="0"/>
        <w:jc w:val="center"/>
        <w:rPr>
          <w:b/>
          <w:sz w:val="24"/>
        </w:rPr>
      </w:pPr>
      <w:r>
        <w:rPr>
          <w:b/>
          <w:sz w:val="24"/>
        </w:rPr>
        <w:t>Derechos por la Prestación de los Servicios de Agua Potable, Alcantarillado, Tratamiento y Disposición de Aguas Residuales</w:t>
      </w:r>
    </w:p>
    <w:p>
      <w:pPr>
        <w:pStyle w:val="BodyText"/>
        <w:rPr>
          <w:b/>
        </w:rPr>
      </w:pPr>
    </w:p>
    <w:p>
      <w:pPr>
        <w:pStyle w:val="BodyText"/>
        <w:spacing w:before="1"/>
        <w:ind w:left="400" w:right="432"/>
        <w:jc w:val="both"/>
      </w:pPr>
      <w:r>
        <w:rPr>
          <w:b/>
        </w:rPr>
        <w:t>Artículo 36.- </w:t>
      </w:r>
      <w:r>
        <w:rPr/>
        <w:t>Los derechos por la prestación de los servicios públicos de agua potable, drenaje, alcantarillado, tratamiento y disposición de aguas residuales en el Municipio de Tepic, se pagarán con base en las cuotas y tarifas autorizadas por la Junta de Gobierno.</w:t>
      </w:r>
    </w:p>
    <w:p>
      <w:pPr>
        <w:pStyle w:val="BodyText"/>
      </w:pPr>
    </w:p>
    <w:p>
      <w:pPr>
        <w:pStyle w:val="BodyText"/>
        <w:ind w:left="400" w:right="433"/>
        <w:jc w:val="both"/>
      </w:pPr>
      <w:r>
        <w:rPr/>
        <w:t>Descentralizado denominado Sistema Integral de Agua Potable y Alcantarillado del Municipio de Tepic, (SIAPA-Tepic), que estén conforme a lo siguiente:</w:t>
      </w:r>
    </w:p>
    <w:p>
      <w:pPr>
        <w:pStyle w:val="BodyText"/>
      </w:pPr>
    </w:p>
    <w:p>
      <w:pPr>
        <w:pStyle w:val="Heading1"/>
        <w:numPr>
          <w:ilvl w:val="0"/>
          <w:numId w:val="55"/>
        </w:numPr>
        <w:tabs>
          <w:tab w:pos="670" w:val="left" w:leader="none"/>
        </w:tabs>
        <w:spacing w:line="240" w:lineRule="auto" w:before="0" w:after="0"/>
        <w:ind w:left="669" w:right="0" w:hanging="270"/>
        <w:jc w:val="left"/>
      </w:pPr>
      <w:r>
        <w:rPr/>
        <w:t>TARIFASDE AGUA</w:t>
      </w:r>
      <w:r>
        <w:rPr>
          <w:spacing w:val="1"/>
        </w:rPr>
        <w:t> </w:t>
      </w:r>
      <w:r>
        <w:rPr/>
        <w:t>POTABLE.</w:t>
      </w:r>
    </w:p>
    <w:p>
      <w:pPr>
        <w:pStyle w:val="BodyText"/>
        <w:rPr>
          <w:b/>
        </w:rPr>
      </w:pPr>
    </w:p>
    <w:p>
      <w:pPr>
        <w:pStyle w:val="BodyText"/>
        <w:ind w:left="400" w:right="434"/>
        <w:jc w:val="both"/>
      </w:pPr>
      <w:r>
        <w:rPr/>
        <w:t>En los lugares que no exista medidor o se encuentre en desuso, el Usuario pagará mensualmente las tarifas por el servicio de suministro de agua potable de acuerdo con lo siguiente:</w:t>
      </w:r>
    </w:p>
    <w:p>
      <w:pPr>
        <w:pStyle w:val="BodyText"/>
      </w:pPr>
    </w:p>
    <w:p>
      <w:pPr>
        <w:pStyle w:val="Heading1"/>
        <w:numPr>
          <w:ilvl w:val="1"/>
          <w:numId w:val="55"/>
        </w:numPr>
        <w:tabs>
          <w:tab w:pos="1746" w:val="left" w:leader="none"/>
          <w:tab w:pos="1747" w:val="left" w:leader="none"/>
        </w:tabs>
        <w:spacing w:line="240" w:lineRule="auto" w:before="0" w:after="0"/>
        <w:ind w:left="1746" w:right="0" w:hanging="721"/>
        <w:jc w:val="left"/>
      </w:pPr>
      <w:r>
        <w:rPr/>
        <w:t>Tarifa de servicio doméstico agua potable cuotas fijas toma </w:t>
      </w:r>
      <w:r>
        <w:rPr>
          <w:spacing w:val="-3"/>
        </w:rPr>
        <w:t>de</w:t>
      </w:r>
      <w:r>
        <w:rPr>
          <w:spacing w:val="-4"/>
        </w:rPr>
        <w:t> </w:t>
      </w:r>
      <w:r>
        <w:rPr/>
        <w:t>13mm.</w:t>
      </w:r>
    </w:p>
    <w:p>
      <w:pPr>
        <w:pStyle w:val="BodyText"/>
        <w:rPr>
          <w:b/>
        </w:rPr>
      </w:pPr>
    </w:p>
    <w:tbl>
      <w:tblPr>
        <w:tblW w:w="0" w:type="auto"/>
        <w:jc w:val="left"/>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8"/>
        <w:gridCol w:w="2902"/>
        <w:gridCol w:w="3067"/>
        <w:gridCol w:w="2489"/>
      </w:tblGrid>
      <w:tr>
        <w:trPr>
          <w:trHeight w:val="351" w:hRule="atLeast"/>
        </w:trPr>
        <w:tc>
          <w:tcPr>
            <w:tcW w:w="468" w:type="dxa"/>
          </w:tcPr>
          <w:p>
            <w:pPr>
              <w:pStyle w:val="TableParagraph"/>
              <w:spacing w:before="2"/>
              <w:ind w:left="45"/>
              <w:rPr>
                <w:b/>
                <w:sz w:val="24"/>
              </w:rPr>
            </w:pPr>
            <w:r>
              <w:rPr>
                <w:b/>
                <w:sz w:val="24"/>
              </w:rPr>
              <w:t>Cla</w:t>
            </w:r>
          </w:p>
        </w:tc>
        <w:tc>
          <w:tcPr>
            <w:tcW w:w="2902" w:type="dxa"/>
          </w:tcPr>
          <w:p>
            <w:pPr>
              <w:pStyle w:val="TableParagraph"/>
              <w:spacing w:before="38"/>
              <w:ind w:left="328" w:right="302"/>
              <w:jc w:val="center"/>
              <w:rPr>
                <w:b/>
                <w:sz w:val="24"/>
              </w:rPr>
            </w:pPr>
            <w:r>
              <w:rPr>
                <w:b/>
                <w:sz w:val="24"/>
              </w:rPr>
              <w:t>Servicio domestico</w:t>
            </w:r>
          </w:p>
        </w:tc>
        <w:tc>
          <w:tcPr>
            <w:tcW w:w="3067" w:type="dxa"/>
          </w:tcPr>
          <w:p>
            <w:pPr>
              <w:pStyle w:val="TableParagraph"/>
              <w:spacing w:before="2"/>
              <w:ind w:left="327" w:right="301"/>
              <w:jc w:val="center"/>
              <w:rPr>
                <w:b/>
                <w:sz w:val="24"/>
              </w:rPr>
            </w:pPr>
            <w:r>
              <w:rPr>
                <w:b/>
                <w:sz w:val="24"/>
              </w:rPr>
              <w:t>Concepto</w:t>
            </w:r>
          </w:p>
        </w:tc>
        <w:tc>
          <w:tcPr>
            <w:tcW w:w="2489" w:type="dxa"/>
          </w:tcPr>
          <w:p>
            <w:pPr>
              <w:pStyle w:val="TableParagraph"/>
              <w:spacing w:before="38"/>
              <w:ind w:left="788" w:right="756"/>
              <w:jc w:val="center"/>
              <w:rPr>
                <w:b/>
                <w:sz w:val="24"/>
              </w:rPr>
            </w:pPr>
            <w:r>
              <w:rPr>
                <w:b/>
                <w:sz w:val="24"/>
              </w:rPr>
              <w:t>Tarifa</w:t>
            </w:r>
          </w:p>
        </w:tc>
      </w:tr>
      <w:tr>
        <w:trPr>
          <w:trHeight w:val="354" w:hRule="atLeast"/>
        </w:trPr>
        <w:tc>
          <w:tcPr>
            <w:tcW w:w="468" w:type="dxa"/>
          </w:tcPr>
          <w:p>
            <w:pPr>
              <w:pStyle w:val="TableParagraph"/>
              <w:spacing w:before="40"/>
              <w:ind w:left="85"/>
              <w:rPr>
                <w:sz w:val="24"/>
              </w:rPr>
            </w:pPr>
            <w:r>
              <w:rPr>
                <w:sz w:val="24"/>
              </w:rPr>
              <w:t>1A</w:t>
            </w:r>
          </w:p>
        </w:tc>
        <w:tc>
          <w:tcPr>
            <w:tcW w:w="2902" w:type="dxa"/>
          </w:tcPr>
          <w:p>
            <w:pPr>
              <w:pStyle w:val="TableParagraph"/>
              <w:spacing w:before="40"/>
              <w:ind w:left="328" w:right="301"/>
              <w:jc w:val="center"/>
              <w:rPr>
                <w:sz w:val="24"/>
              </w:rPr>
            </w:pPr>
            <w:r>
              <w:rPr>
                <w:sz w:val="24"/>
              </w:rPr>
              <w:t>Lote baldío</w:t>
            </w:r>
          </w:p>
        </w:tc>
        <w:tc>
          <w:tcPr>
            <w:tcW w:w="3067" w:type="dxa"/>
          </w:tcPr>
          <w:p>
            <w:pPr>
              <w:pStyle w:val="TableParagraph"/>
              <w:spacing w:before="2"/>
              <w:ind w:left="327" w:right="306"/>
              <w:jc w:val="center"/>
              <w:rPr>
                <w:sz w:val="24"/>
              </w:rPr>
            </w:pPr>
            <w:r>
              <w:rPr>
                <w:sz w:val="24"/>
              </w:rPr>
              <w:t>Consumo de Agua</w:t>
            </w:r>
          </w:p>
        </w:tc>
        <w:tc>
          <w:tcPr>
            <w:tcW w:w="2489" w:type="dxa"/>
          </w:tcPr>
          <w:p>
            <w:pPr>
              <w:pStyle w:val="TableParagraph"/>
              <w:spacing w:before="40"/>
              <w:ind w:left="788" w:right="762"/>
              <w:jc w:val="center"/>
              <w:rPr>
                <w:sz w:val="24"/>
              </w:rPr>
            </w:pPr>
            <w:r>
              <w:rPr>
                <w:sz w:val="24"/>
              </w:rPr>
              <w:t>$ 47.00</w:t>
            </w:r>
          </w:p>
        </w:tc>
      </w:tr>
      <w:tr>
        <w:trPr>
          <w:trHeight w:val="274" w:hRule="atLeast"/>
        </w:trPr>
        <w:tc>
          <w:tcPr>
            <w:tcW w:w="468" w:type="dxa"/>
            <w:vMerge w:val="restart"/>
          </w:tcPr>
          <w:p>
            <w:pPr>
              <w:pStyle w:val="TableParagraph"/>
              <w:spacing w:before="1"/>
              <w:rPr>
                <w:b/>
                <w:sz w:val="36"/>
              </w:rPr>
            </w:pPr>
          </w:p>
          <w:p>
            <w:pPr>
              <w:pStyle w:val="TableParagraph"/>
              <w:ind w:left="85"/>
              <w:rPr>
                <w:sz w:val="24"/>
              </w:rPr>
            </w:pPr>
            <w:r>
              <w:rPr>
                <w:sz w:val="24"/>
              </w:rPr>
              <w:t>1B</w:t>
            </w:r>
          </w:p>
        </w:tc>
        <w:tc>
          <w:tcPr>
            <w:tcW w:w="2902" w:type="dxa"/>
            <w:vMerge w:val="restart"/>
          </w:tcPr>
          <w:p>
            <w:pPr>
              <w:pStyle w:val="TableParagraph"/>
              <w:spacing w:before="1"/>
              <w:rPr>
                <w:b/>
                <w:sz w:val="36"/>
              </w:rPr>
            </w:pPr>
          </w:p>
          <w:p>
            <w:pPr>
              <w:pStyle w:val="TableParagraph"/>
              <w:ind w:left="324" w:right="302"/>
              <w:jc w:val="center"/>
              <w:rPr>
                <w:sz w:val="24"/>
              </w:rPr>
            </w:pPr>
            <w:r>
              <w:rPr>
                <w:sz w:val="24"/>
              </w:rPr>
              <w:t>Baja</w:t>
            </w:r>
          </w:p>
        </w:tc>
        <w:tc>
          <w:tcPr>
            <w:tcW w:w="3067" w:type="dxa"/>
          </w:tcPr>
          <w:p>
            <w:pPr>
              <w:pStyle w:val="TableParagraph"/>
              <w:spacing w:line="255" w:lineRule="exact"/>
              <w:ind w:left="327" w:right="306"/>
              <w:jc w:val="center"/>
              <w:rPr>
                <w:sz w:val="24"/>
              </w:rPr>
            </w:pPr>
            <w:r>
              <w:rPr>
                <w:sz w:val="24"/>
              </w:rPr>
              <w:t>Consumo de Agua</w:t>
            </w:r>
          </w:p>
        </w:tc>
        <w:tc>
          <w:tcPr>
            <w:tcW w:w="2489" w:type="dxa"/>
          </w:tcPr>
          <w:p>
            <w:pPr>
              <w:pStyle w:val="TableParagraph"/>
              <w:spacing w:line="255" w:lineRule="exact"/>
              <w:ind w:left="788" w:right="762"/>
              <w:jc w:val="center"/>
              <w:rPr>
                <w:sz w:val="24"/>
              </w:rPr>
            </w:pPr>
            <w:r>
              <w:rPr>
                <w:sz w:val="24"/>
              </w:rPr>
              <w:t>$79.00</w:t>
            </w:r>
          </w:p>
        </w:tc>
      </w:tr>
      <w:tr>
        <w:trPr>
          <w:trHeight w:val="358"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spacing w:before="2"/>
              <w:ind w:left="325" w:right="306"/>
              <w:jc w:val="center"/>
              <w:rPr>
                <w:sz w:val="24"/>
              </w:rPr>
            </w:pPr>
            <w:r>
              <w:rPr>
                <w:sz w:val="24"/>
              </w:rPr>
              <w:t>Alcantarillado</w:t>
            </w:r>
          </w:p>
        </w:tc>
        <w:tc>
          <w:tcPr>
            <w:tcW w:w="2489" w:type="dxa"/>
          </w:tcPr>
          <w:p>
            <w:pPr>
              <w:pStyle w:val="TableParagraph"/>
              <w:spacing w:before="43"/>
              <w:ind w:left="788" w:right="762"/>
              <w:jc w:val="center"/>
              <w:rPr>
                <w:sz w:val="24"/>
              </w:rPr>
            </w:pPr>
            <w:r>
              <w:rPr>
                <w:sz w:val="24"/>
              </w:rPr>
              <w:t>$26.00</w:t>
            </w:r>
          </w:p>
        </w:tc>
      </w:tr>
      <w:tr>
        <w:trPr>
          <w:trHeight w:val="409"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spacing w:before="2"/>
              <w:ind w:left="326" w:right="306"/>
              <w:jc w:val="center"/>
              <w:rPr>
                <w:sz w:val="24"/>
              </w:rPr>
            </w:pPr>
            <w:r>
              <w:rPr>
                <w:sz w:val="24"/>
              </w:rPr>
              <w:t>Planta de Tratamiento</w:t>
            </w:r>
          </w:p>
        </w:tc>
        <w:tc>
          <w:tcPr>
            <w:tcW w:w="2489" w:type="dxa"/>
          </w:tcPr>
          <w:p>
            <w:pPr>
              <w:pStyle w:val="TableParagraph"/>
              <w:spacing w:before="67"/>
              <w:ind w:left="788" w:right="762"/>
              <w:jc w:val="center"/>
              <w:rPr>
                <w:sz w:val="24"/>
              </w:rPr>
            </w:pPr>
            <w:r>
              <w:rPr>
                <w:sz w:val="24"/>
              </w:rPr>
              <w:t>$26.00</w:t>
            </w:r>
          </w:p>
        </w:tc>
      </w:tr>
      <w:tr>
        <w:trPr>
          <w:trHeight w:val="411" w:hRule="atLeast"/>
        </w:trPr>
        <w:tc>
          <w:tcPr>
            <w:tcW w:w="468" w:type="dxa"/>
            <w:vMerge w:val="restart"/>
          </w:tcPr>
          <w:p>
            <w:pPr>
              <w:pStyle w:val="TableParagraph"/>
              <w:rPr>
                <w:b/>
                <w:sz w:val="26"/>
              </w:rPr>
            </w:pPr>
          </w:p>
          <w:p>
            <w:pPr>
              <w:pStyle w:val="TableParagraph"/>
              <w:spacing w:before="181"/>
              <w:ind w:left="78"/>
              <w:rPr>
                <w:sz w:val="24"/>
              </w:rPr>
            </w:pPr>
            <w:r>
              <w:rPr>
                <w:sz w:val="24"/>
              </w:rPr>
              <w:t>1C</w:t>
            </w:r>
          </w:p>
        </w:tc>
        <w:tc>
          <w:tcPr>
            <w:tcW w:w="2902" w:type="dxa"/>
            <w:vMerge w:val="restart"/>
          </w:tcPr>
          <w:p>
            <w:pPr>
              <w:pStyle w:val="TableParagraph"/>
              <w:rPr>
                <w:b/>
                <w:sz w:val="26"/>
              </w:rPr>
            </w:pPr>
          </w:p>
          <w:p>
            <w:pPr>
              <w:pStyle w:val="TableParagraph"/>
              <w:spacing w:before="181"/>
              <w:ind w:left="324" w:right="302"/>
              <w:jc w:val="center"/>
              <w:rPr>
                <w:sz w:val="24"/>
              </w:rPr>
            </w:pPr>
            <w:r>
              <w:rPr>
                <w:sz w:val="24"/>
              </w:rPr>
              <w:t>Media</w:t>
            </w:r>
          </w:p>
        </w:tc>
        <w:tc>
          <w:tcPr>
            <w:tcW w:w="3067" w:type="dxa"/>
          </w:tcPr>
          <w:p>
            <w:pPr>
              <w:pStyle w:val="TableParagraph"/>
              <w:ind w:left="327" w:right="306"/>
              <w:jc w:val="center"/>
              <w:rPr>
                <w:sz w:val="24"/>
              </w:rPr>
            </w:pPr>
            <w:r>
              <w:rPr>
                <w:sz w:val="24"/>
              </w:rPr>
              <w:t>Consumo de Agua</w:t>
            </w:r>
          </w:p>
        </w:tc>
        <w:tc>
          <w:tcPr>
            <w:tcW w:w="2489" w:type="dxa"/>
          </w:tcPr>
          <w:p>
            <w:pPr>
              <w:pStyle w:val="TableParagraph"/>
              <w:spacing w:before="69"/>
              <w:ind w:left="788" w:right="762"/>
              <w:jc w:val="center"/>
              <w:rPr>
                <w:sz w:val="24"/>
              </w:rPr>
            </w:pPr>
            <w:r>
              <w:rPr>
                <w:sz w:val="24"/>
              </w:rPr>
              <w:t>$130.00</w:t>
            </w:r>
          </w:p>
        </w:tc>
      </w:tr>
      <w:tr>
        <w:trPr>
          <w:trHeight w:val="382"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spacing w:before="2"/>
              <w:ind w:left="325" w:right="306"/>
              <w:jc w:val="center"/>
              <w:rPr>
                <w:sz w:val="24"/>
              </w:rPr>
            </w:pPr>
            <w:r>
              <w:rPr>
                <w:sz w:val="24"/>
              </w:rPr>
              <w:t>Alcantarillado</w:t>
            </w:r>
          </w:p>
        </w:tc>
        <w:tc>
          <w:tcPr>
            <w:tcW w:w="2489" w:type="dxa"/>
          </w:tcPr>
          <w:p>
            <w:pPr>
              <w:pStyle w:val="TableParagraph"/>
              <w:spacing w:before="55"/>
              <w:ind w:left="788" w:right="762"/>
              <w:jc w:val="center"/>
              <w:rPr>
                <w:sz w:val="24"/>
              </w:rPr>
            </w:pPr>
            <w:r>
              <w:rPr>
                <w:sz w:val="24"/>
              </w:rPr>
              <w:t>$43.00</w:t>
            </w:r>
          </w:p>
        </w:tc>
      </w:tr>
      <w:tr>
        <w:trPr>
          <w:trHeight w:val="380"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ind w:left="326" w:right="306"/>
              <w:jc w:val="center"/>
              <w:rPr>
                <w:sz w:val="24"/>
              </w:rPr>
            </w:pPr>
            <w:r>
              <w:rPr>
                <w:sz w:val="24"/>
              </w:rPr>
              <w:t>Planta de Tratamiento</w:t>
            </w:r>
          </w:p>
        </w:tc>
        <w:tc>
          <w:tcPr>
            <w:tcW w:w="2489" w:type="dxa"/>
          </w:tcPr>
          <w:p>
            <w:pPr>
              <w:pStyle w:val="TableParagraph"/>
              <w:spacing w:before="52"/>
              <w:ind w:left="788" w:right="762"/>
              <w:jc w:val="center"/>
              <w:rPr>
                <w:sz w:val="24"/>
              </w:rPr>
            </w:pPr>
            <w:r>
              <w:rPr>
                <w:sz w:val="24"/>
              </w:rPr>
              <w:t>$43.00</w:t>
            </w:r>
          </w:p>
        </w:tc>
      </w:tr>
    </w:tbl>
    <w:p>
      <w:pPr>
        <w:spacing w:after="0"/>
        <w:jc w:val="center"/>
        <w:rPr>
          <w:sz w:val="24"/>
        </w:rPr>
        <w:sectPr>
          <w:type w:val="continuous"/>
          <w:pgSz w:w="12250" w:h="15850"/>
          <w:pgMar w:top="840" w:bottom="280" w:left="860" w:right="820"/>
        </w:sectPr>
      </w:pPr>
    </w:p>
    <w:p>
      <w:pPr>
        <w:pStyle w:val="BodyText"/>
        <w:spacing w:before="10"/>
        <w:rPr>
          <w:b/>
          <w:sz w:val="15"/>
        </w:rPr>
      </w:pPr>
    </w:p>
    <w:tbl>
      <w:tblPr>
        <w:tblW w:w="0" w:type="auto"/>
        <w:jc w:val="left"/>
        <w:tblInd w:w="8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8"/>
        <w:gridCol w:w="2902"/>
        <w:gridCol w:w="3067"/>
        <w:gridCol w:w="2489"/>
      </w:tblGrid>
      <w:tr>
        <w:trPr>
          <w:trHeight w:val="351" w:hRule="atLeast"/>
        </w:trPr>
        <w:tc>
          <w:tcPr>
            <w:tcW w:w="468" w:type="dxa"/>
          </w:tcPr>
          <w:p>
            <w:pPr>
              <w:pStyle w:val="TableParagraph"/>
              <w:spacing w:before="2"/>
              <w:ind w:left="45"/>
              <w:rPr>
                <w:b/>
                <w:sz w:val="24"/>
              </w:rPr>
            </w:pPr>
            <w:r>
              <w:rPr>
                <w:b/>
                <w:sz w:val="24"/>
              </w:rPr>
              <w:t>Cla</w:t>
            </w:r>
          </w:p>
        </w:tc>
        <w:tc>
          <w:tcPr>
            <w:tcW w:w="2902" w:type="dxa"/>
          </w:tcPr>
          <w:p>
            <w:pPr>
              <w:pStyle w:val="TableParagraph"/>
              <w:spacing w:before="40"/>
              <w:ind w:left="347"/>
              <w:rPr>
                <w:b/>
                <w:sz w:val="24"/>
              </w:rPr>
            </w:pPr>
            <w:r>
              <w:rPr>
                <w:b/>
                <w:sz w:val="24"/>
              </w:rPr>
              <w:t>Servicio domestico</w:t>
            </w:r>
          </w:p>
        </w:tc>
        <w:tc>
          <w:tcPr>
            <w:tcW w:w="3067" w:type="dxa"/>
          </w:tcPr>
          <w:p>
            <w:pPr>
              <w:pStyle w:val="TableParagraph"/>
              <w:spacing w:before="2"/>
              <w:ind w:left="327" w:right="301"/>
              <w:jc w:val="center"/>
              <w:rPr>
                <w:b/>
                <w:sz w:val="24"/>
              </w:rPr>
            </w:pPr>
            <w:r>
              <w:rPr>
                <w:b/>
                <w:sz w:val="24"/>
              </w:rPr>
              <w:t>Concepto</w:t>
            </w:r>
          </w:p>
        </w:tc>
        <w:tc>
          <w:tcPr>
            <w:tcW w:w="2489" w:type="dxa"/>
          </w:tcPr>
          <w:p>
            <w:pPr>
              <w:pStyle w:val="TableParagraph"/>
              <w:spacing w:before="40"/>
              <w:ind w:left="788" w:right="756"/>
              <w:jc w:val="center"/>
              <w:rPr>
                <w:b/>
                <w:sz w:val="24"/>
              </w:rPr>
            </w:pPr>
            <w:r>
              <w:rPr>
                <w:b/>
                <w:sz w:val="24"/>
              </w:rPr>
              <w:t>Tarifa</w:t>
            </w:r>
          </w:p>
        </w:tc>
      </w:tr>
      <w:tr>
        <w:trPr>
          <w:trHeight w:val="522" w:hRule="atLeast"/>
        </w:trPr>
        <w:tc>
          <w:tcPr>
            <w:tcW w:w="468" w:type="dxa"/>
            <w:vMerge w:val="restart"/>
          </w:tcPr>
          <w:p>
            <w:pPr>
              <w:pStyle w:val="TableParagraph"/>
              <w:rPr>
                <w:b/>
                <w:sz w:val="26"/>
              </w:rPr>
            </w:pPr>
          </w:p>
          <w:p>
            <w:pPr>
              <w:pStyle w:val="TableParagraph"/>
              <w:spacing w:before="11"/>
              <w:rPr>
                <w:b/>
                <w:sz w:val="29"/>
              </w:rPr>
            </w:pPr>
          </w:p>
          <w:p>
            <w:pPr>
              <w:pStyle w:val="TableParagraph"/>
              <w:ind w:left="78"/>
              <w:rPr>
                <w:sz w:val="24"/>
              </w:rPr>
            </w:pPr>
            <w:r>
              <w:rPr>
                <w:sz w:val="24"/>
              </w:rPr>
              <w:t>1D</w:t>
            </w:r>
          </w:p>
        </w:tc>
        <w:tc>
          <w:tcPr>
            <w:tcW w:w="2902" w:type="dxa"/>
            <w:vMerge w:val="restart"/>
          </w:tcPr>
          <w:p>
            <w:pPr>
              <w:pStyle w:val="TableParagraph"/>
              <w:rPr>
                <w:b/>
                <w:sz w:val="26"/>
              </w:rPr>
            </w:pPr>
          </w:p>
          <w:p>
            <w:pPr>
              <w:pStyle w:val="TableParagraph"/>
              <w:spacing w:before="11"/>
              <w:rPr>
                <w:b/>
                <w:sz w:val="29"/>
              </w:rPr>
            </w:pPr>
          </w:p>
          <w:p>
            <w:pPr>
              <w:pStyle w:val="TableParagraph"/>
              <w:ind w:left="328" w:right="301"/>
              <w:jc w:val="center"/>
              <w:rPr>
                <w:sz w:val="24"/>
              </w:rPr>
            </w:pPr>
            <w:r>
              <w:rPr>
                <w:sz w:val="24"/>
              </w:rPr>
              <w:t>Alta</w:t>
            </w:r>
          </w:p>
        </w:tc>
        <w:tc>
          <w:tcPr>
            <w:tcW w:w="3067" w:type="dxa"/>
          </w:tcPr>
          <w:p>
            <w:pPr>
              <w:pStyle w:val="TableParagraph"/>
              <w:spacing w:before="2"/>
              <w:ind w:left="327" w:right="306"/>
              <w:jc w:val="center"/>
              <w:rPr>
                <w:sz w:val="24"/>
              </w:rPr>
            </w:pPr>
            <w:r>
              <w:rPr>
                <w:sz w:val="24"/>
              </w:rPr>
              <w:t>Consumo de Agua</w:t>
            </w:r>
          </w:p>
        </w:tc>
        <w:tc>
          <w:tcPr>
            <w:tcW w:w="2489" w:type="dxa"/>
          </w:tcPr>
          <w:p>
            <w:pPr>
              <w:pStyle w:val="TableParagraph"/>
              <w:spacing w:before="125"/>
              <w:ind w:left="788" w:right="762"/>
              <w:jc w:val="center"/>
              <w:rPr>
                <w:sz w:val="24"/>
              </w:rPr>
            </w:pPr>
            <w:r>
              <w:rPr>
                <w:sz w:val="24"/>
              </w:rPr>
              <w:t>$162.00</w:t>
            </w:r>
          </w:p>
        </w:tc>
      </w:tr>
      <w:tr>
        <w:trPr>
          <w:trHeight w:val="488"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ind w:left="325" w:right="306"/>
              <w:jc w:val="center"/>
              <w:rPr>
                <w:sz w:val="24"/>
              </w:rPr>
            </w:pPr>
            <w:r>
              <w:rPr>
                <w:sz w:val="24"/>
              </w:rPr>
              <w:t>Alcantarillado</w:t>
            </w:r>
          </w:p>
        </w:tc>
        <w:tc>
          <w:tcPr>
            <w:tcW w:w="2489" w:type="dxa"/>
          </w:tcPr>
          <w:p>
            <w:pPr>
              <w:pStyle w:val="TableParagraph"/>
              <w:spacing w:before="108"/>
              <w:ind w:left="788" w:right="762"/>
              <w:jc w:val="center"/>
              <w:rPr>
                <w:sz w:val="24"/>
              </w:rPr>
            </w:pPr>
            <w:r>
              <w:rPr>
                <w:sz w:val="24"/>
              </w:rPr>
              <w:t>$54.00</w:t>
            </w:r>
          </w:p>
        </w:tc>
      </w:tr>
      <w:tr>
        <w:trPr>
          <w:trHeight w:val="488" w:hRule="atLeast"/>
        </w:trPr>
        <w:tc>
          <w:tcPr>
            <w:tcW w:w="468" w:type="dxa"/>
            <w:vMerge/>
            <w:tcBorders>
              <w:top w:val="nil"/>
            </w:tcBorders>
          </w:tcPr>
          <w:p>
            <w:pPr>
              <w:rPr>
                <w:sz w:val="2"/>
                <w:szCs w:val="2"/>
              </w:rPr>
            </w:pPr>
          </w:p>
        </w:tc>
        <w:tc>
          <w:tcPr>
            <w:tcW w:w="2902" w:type="dxa"/>
            <w:vMerge/>
            <w:tcBorders>
              <w:top w:val="nil"/>
            </w:tcBorders>
          </w:tcPr>
          <w:p>
            <w:pPr>
              <w:rPr>
                <w:sz w:val="2"/>
                <w:szCs w:val="2"/>
              </w:rPr>
            </w:pPr>
          </w:p>
        </w:tc>
        <w:tc>
          <w:tcPr>
            <w:tcW w:w="3067" w:type="dxa"/>
          </w:tcPr>
          <w:p>
            <w:pPr>
              <w:pStyle w:val="TableParagraph"/>
              <w:spacing w:before="2"/>
              <w:ind w:left="327" w:right="305"/>
              <w:jc w:val="center"/>
              <w:rPr>
                <w:sz w:val="24"/>
              </w:rPr>
            </w:pPr>
            <w:r>
              <w:rPr>
                <w:sz w:val="24"/>
              </w:rPr>
              <w:t>Planta de Tratamiento</w:t>
            </w:r>
          </w:p>
        </w:tc>
        <w:tc>
          <w:tcPr>
            <w:tcW w:w="2489" w:type="dxa"/>
          </w:tcPr>
          <w:p>
            <w:pPr>
              <w:pStyle w:val="TableParagraph"/>
              <w:spacing w:before="108"/>
              <w:ind w:left="788" w:right="762"/>
              <w:jc w:val="center"/>
              <w:rPr>
                <w:sz w:val="24"/>
              </w:rPr>
            </w:pPr>
            <w:r>
              <w:rPr>
                <w:sz w:val="24"/>
              </w:rPr>
              <w:t>$54.00</w:t>
            </w:r>
          </w:p>
        </w:tc>
      </w:tr>
    </w:tbl>
    <w:p>
      <w:pPr>
        <w:pStyle w:val="BodyText"/>
        <w:spacing w:before="2"/>
        <w:rPr>
          <w:b/>
          <w:sz w:val="16"/>
        </w:rPr>
      </w:pPr>
    </w:p>
    <w:p>
      <w:pPr>
        <w:pStyle w:val="ListParagraph"/>
        <w:numPr>
          <w:ilvl w:val="1"/>
          <w:numId w:val="55"/>
        </w:numPr>
        <w:tabs>
          <w:tab w:pos="869" w:val="left" w:leader="none"/>
        </w:tabs>
        <w:spacing w:line="240" w:lineRule="auto" w:before="93" w:after="0"/>
        <w:ind w:left="868" w:right="0" w:hanging="469"/>
        <w:jc w:val="left"/>
        <w:rPr>
          <w:b/>
          <w:sz w:val="24"/>
        </w:rPr>
      </w:pPr>
      <w:r>
        <w:rPr/>
        <w:drawing>
          <wp:anchor distT="0" distB="0" distL="0" distR="0" allowOverlap="1" layoutInCell="1" locked="0" behindDoc="1" simplePos="0" relativeHeight="227518464">
            <wp:simplePos x="0" y="0"/>
            <wp:positionH relativeFrom="page">
              <wp:posOffset>1239220</wp:posOffset>
            </wp:positionH>
            <wp:positionV relativeFrom="paragraph">
              <wp:posOffset>-93143</wp:posOffset>
            </wp:positionV>
            <wp:extent cx="5022641" cy="5144769"/>
            <wp:effectExtent l="0" t="0" r="0" b="0"/>
            <wp:wrapNone/>
            <wp:docPr id="99" name="image45.png"/>
            <wp:cNvGraphicFramePr>
              <a:graphicFrameLocks noChangeAspect="1"/>
            </wp:cNvGraphicFramePr>
            <a:graphic>
              <a:graphicData uri="http://schemas.openxmlformats.org/drawingml/2006/picture">
                <pic:pic>
                  <pic:nvPicPr>
                    <pic:cNvPr id="100" name="image45.png"/>
                    <pic:cNvPicPr/>
                  </pic:nvPicPr>
                  <pic:blipFill>
                    <a:blip r:embed="rId55" cstate="print"/>
                    <a:stretch>
                      <a:fillRect/>
                    </a:stretch>
                  </pic:blipFill>
                  <pic:spPr>
                    <a:xfrm>
                      <a:off x="0" y="0"/>
                      <a:ext cx="5022641" cy="5144769"/>
                    </a:xfrm>
                    <a:prstGeom prst="rect">
                      <a:avLst/>
                    </a:prstGeom>
                  </pic:spPr>
                </pic:pic>
              </a:graphicData>
            </a:graphic>
          </wp:anchor>
        </w:drawing>
      </w:r>
      <w:r>
        <w:rPr>
          <w:b/>
          <w:sz w:val="24"/>
        </w:rPr>
        <w:t>Tarifa fija uso doméstico con actividad</w:t>
      </w:r>
      <w:r>
        <w:rPr>
          <w:b/>
          <w:spacing w:val="-2"/>
          <w:sz w:val="24"/>
        </w:rPr>
        <w:t> </w:t>
      </w:r>
      <w:r>
        <w:rPr>
          <w:b/>
          <w:sz w:val="24"/>
        </w:rPr>
        <w:t>comercial.</w:t>
      </w:r>
    </w:p>
    <w:p>
      <w:pPr>
        <w:pStyle w:val="BodyText"/>
        <w:spacing w:before="11"/>
        <w:rPr>
          <w:b/>
          <w:sz w:val="23"/>
        </w:rPr>
      </w:pPr>
    </w:p>
    <w:p>
      <w:pPr>
        <w:pStyle w:val="BodyText"/>
        <w:ind w:left="400" w:right="484"/>
      </w:pPr>
      <w:r>
        <w:rPr/>
        <w:t>Los Usuarios que contraten los servicios en inmuebles con propósitos comerciales se sujetarán a lo siguiente:</w:t>
      </w:r>
    </w:p>
    <w:p>
      <w:pPr>
        <w:pStyle w:val="BodyText"/>
        <w:spacing w:before="1"/>
      </w:pPr>
    </w:p>
    <w:p>
      <w:pPr>
        <w:pStyle w:val="BodyText"/>
        <w:ind w:left="400" w:right="484"/>
      </w:pPr>
      <w:r>
        <w:rPr/>
        <w:t>A las casas habitación en las que se desarrolle alguna actividad comercial se les catalogará de la siguiente manera:</w:t>
      </w:r>
    </w:p>
    <w:p>
      <w:pPr>
        <w:pStyle w:val="BodyText"/>
        <w:spacing w:before="11"/>
        <w:rPr>
          <w:sz w:val="23"/>
        </w:rPr>
      </w:pPr>
    </w:p>
    <w:tbl>
      <w:tblPr>
        <w:tblW w:w="0" w:type="auto"/>
        <w:jc w:val="left"/>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2273"/>
        <w:gridCol w:w="1008"/>
        <w:gridCol w:w="2276"/>
        <w:gridCol w:w="1009"/>
        <w:gridCol w:w="2274"/>
      </w:tblGrid>
      <w:tr>
        <w:trPr>
          <w:trHeight w:val="421" w:hRule="atLeast"/>
        </w:trPr>
        <w:tc>
          <w:tcPr>
            <w:tcW w:w="9848" w:type="dxa"/>
            <w:gridSpan w:val="6"/>
          </w:tcPr>
          <w:p>
            <w:pPr>
              <w:pStyle w:val="TableParagraph"/>
              <w:spacing w:line="255" w:lineRule="exact" w:before="146"/>
              <w:ind w:left="1462" w:right="1454"/>
              <w:jc w:val="center"/>
              <w:rPr>
                <w:b/>
                <w:sz w:val="24"/>
              </w:rPr>
            </w:pPr>
            <w:r>
              <w:rPr>
                <w:b/>
                <w:sz w:val="24"/>
              </w:rPr>
              <w:t>Derivación de casas con actividad comercial hasta 2 locales</w:t>
            </w:r>
          </w:p>
        </w:tc>
      </w:tr>
      <w:tr>
        <w:trPr>
          <w:trHeight w:val="306" w:hRule="atLeast"/>
        </w:trPr>
        <w:tc>
          <w:tcPr>
            <w:tcW w:w="3281" w:type="dxa"/>
            <w:gridSpan w:val="2"/>
          </w:tcPr>
          <w:p>
            <w:pPr>
              <w:pStyle w:val="TableParagraph"/>
              <w:spacing w:line="255" w:lineRule="exact" w:before="31"/>
              <w:ind w:left="1063"/>
              <w:rPr>
                <w:b/>
                <w:sz w:val="24"/>
              </w:rPr>
            </w:pPr>
            <w:r>
              <w:rPr>
                <w:b/>
                <w:sz w:val="24"/>
              </w:rPr>
              <w:t>Zona Baja</w:t>
            </w:r>
          </w:p>
        </w:tc>
        <w:tc>
          <w:tcPr>
            <w:tcW w:w="3284" w:type="dxa"/>
            <w:gridSpan w:val="2"/>
          </w:tcPr>
          <w:p>
            <w:pPr>
              <w:pStyle w:val="TableParagraph"/>
              <w:spacing w:line="255" w:lineRule="exact" w:before="31"/>
              <w:ind w:left="979"/>
              <w:rPr>
                <w:b/>
                <w:sz w:val="24"/>
              </w:rPr>
            </w:pPr>
            <w:r>
              <w:rPr>
                <w:b/>
                <w:sz w:val="24"/>
              </w:rPr>
              <w:t>Zona Media</w:t>
            </w:r>
          </w:p>
        </w:tc>
        <w:tc>
          <w:tcPr>
            <w:tcW w:w="3283" w:type="dxa"/>
            <w:gridSpan w:val="2"/>
          </w:tcPr>
          <w:p>
            <w:pPr>
              <w:pStyle w:val="TableParagraph"/>
              <w:spacing w:line="255" w:lineRule="exact" w:before="31"/>
              <w:ind w:left="1090"/>
              <w:rPr>
                <w:b/>
                <w:sz w:val="24"/>
              </w:rPr>
            </w:pPr>
            <w:r>
              <w:rPr>
                <w:b/>
                <w:sz w:val="24"/>
              </w:rPr>
              <w:t>Zona Alta</w:t>
            </w:r>
          </w:p>
        </w:tc>
      </w:tr>
      <w:tr>
        <w:trPr>
          <w:trHeight w:val="304" w:hRule="atLeast"/>
        </w:trPr>
        <w:tc>
          <w:tcPr>
            <w:tcW w:w="3281" w:type="dxa"/>
            <w:gridSpan w:val="2"/>
          </w:tcPr>
          <w:p>
            <w:pPr>
              <w:pStyle w:val="TableParagraph"/>
              <w:spacing w:line="270" w:lineRule="exact" w:before="14"/>
              <w:ind w:left="1376" w:right="1363"/>
              <w:jc w:val="center"/>
              <w:rPr>
                <w:b/>
                <w:sz w:val="24"/>
              </w:rPr>
            </w:pPr>
            <w:r>
              <w:rPr>
                <w:b/>
                <w:sz w:val="24"/>
              </w:rPr>
              <w:t>2BC</w:t>
            </w:r>
          </w:p>
        </w:tc>
        <w:tc>
          <w:tcPr>
            <w:tcW w:w="3284" w:type="dxa"/>
            <w:gridSpan w:val="2"/>
          </w:tcPr>
          <w:p>
            <w:pPr>
              <w:pStyle w:val="TableParagraph"/>
              <w:spacing w:line="270" w:lineRule="exact" w:before="14"/>
              <w:ind w:left="1379" w:right="1364"/>
              <w:jc w:val="center"/>
              <w:rPr>
                <w:b/>
                <w:sz w:val="24"/>
              </w:rPr>
            </w:pPr>
            <w:r>
              <w:rPr>
                <w:b/>
                <w:sz w:val="24"/>
              </w:rPr>
              <w:t>2CC</w:t>
            </w:r>
          </w:p>
        </w:tc>
        <w:tc>
          <w:tcPr>
            <w:tcW w:w="3283" w:type="dxa"/>
            <w:gridSpan w:val="2"/>
          </w:tcPr>
          <w:p>
            <w:pPr>
              <w:pStyle w:val="TableParagraph"/>
              <w:spacing w:line="270" w:lineRule="exact" w:before="14"/>
              <w:ind w:left="1377" w:right="1365"/>
              <w:jc w:val="center"/>
              <w:rPr>
                <w:b/>
                <w:sz w:val="24"/>
              </w:rPr>
            </w:pPr>
            <w:r>
              <w:rPr>
                <w:b/>
                <w:sz w:val="24"/>
              </w:rPr>
              <w:t>2DC</w:t>
            </w:r>
          </w:p>
        </w:tc>
      </w:tr>
      <w:tr>
        <w:trPr>
          <w:trHeight w:val="553" w:hRule="atLeast"/>
        </w:trPr>
        <w:tc>
          <w:tcPr>
            <w:tcW w:w="1008" w:type="dxa"/>
          </w:tcPr>
          <w:p>
            <w:pPr>
              <w:pStyle w:val="TableParagraph"/>
              <w:spacing w:before="2"/>
              <w:ind w:left="44" w:right="29"/>
              <w:jc w:val="center"/>
              <w:rPr>
                <w:sz w:val="24"/>
              </w:rPr>
            </w:pPr>
            <w:r>
              <w:rPr>
                <w:sz w:val="24"/>
              </w:rPr>
              <w:t>$212.00</w:t>
            </w:r>
          </w:p>
          <w:p>
            <w:pPr>
              <w:pStyle w:val="TableParagraph"/>
              <w:spacing w:line="255" w:lineRule="exact"/>
              <w:ind w:left="43" w:right="29"/>
              <w:jc w:val="center"/>
              <w:rPr>
                <w:sz w:val="24"/>
              </w:rPr>
            </w:pPr>
            <w:r>
              <w:rPr>
                <w:sz w:val="24"/>
              </w:rPr>
              <w:t>+ IVA</w:t>
            </w:r>
          </w:p>
        </w:tc>
        <w:tc>
          <w:tcPr>
            <w:tcW w:w="2273" w:type="dxa"/>
          </w:tcPr>
          <w:p>
            <w:pPr>
              <w:pStyle w:val="TableParagraph"/>
              <w:spacing w:line="270" w:lineRule="atLeast" w:before="2"/>
              <w:ind w:left="794" w:right="273" w:hanging="488"/>
              <w:rPr>
                <w:sz w:val="24"/>
              </w:rPr>
            </w:pPr>
            <w:r>
              <w:rPr>
                <w:sz w:val="24"/>
              </w:rPr>
              <w:t>CONSUMO DE AGUA</w:t>
            </w:r>
          </w:p>
        </w:tc>
        <w:tc>
          <w:tcPr>
            <w:tcW w:w="1008" w:type="dxa"/>
          </w:tcPr>
          <w:p>
            <w:pPr>
              <w:pStyle w:val="TableParagraph"/>
              <w:spacing w:before="2"/>
              <w:ind w:left="47" w:right="26"/>
              <w:jc w:val="center"/>
              <w:rPr>
                <w:sz w:val="24"/>
              </w:rPr>
            </w:pPr>
            <w:r>
              <w:rPr>
                <w:sz w:val="24"/>
              </w:rPr>
              <w:t>$258.00</w:t>
            </w:r>
          </w:p>
          <w:p>
            <w:pPr>
              <w:pStyle w:val="TableParagraph"/>
              <w:spacing w:line="255" w:lineRule="exact"/>
              <w:ind w:left="47" w:right="28"/>
              <w:jc w:val="center"/>
              <w:rPr>
                <w:sz w:val="24"/>
              </w:rPr>
            </w:pPr>
            <w:r>
              <w:rPr>
                <w:sz w:val="24"/>
              </w:rPr>
              <w:t>+ IVA</w:t>
            </w:r>
          </w:p>
        </w:tc>
        <w:tc>
          <w:tcPr>
            <w:tcW w:w="2276" w:type="dxa"/>
          </w:tcPr>
          <w:p>
            <w:pPr>
              <w:pStyle w:val="TableParagraph"/>
              <w:spacing w:line="270" w:lineRule="atLeast" w:before="2"/>
              <w:ind w:left="797" w:right="273" w:hanging="488"/>
              <w:rPr>
                <w:sz w:val="24"/>
              </w:rPr>
            </w:pPr>
            <w:r>
              <w:rPr>
                <w:sz w:val="24"/>
              </w:rPr>
              <w:t>CONSUMO DE AGUA</w:t>
            </w:r>
          </w:p>
        </w:tc>
        <w:tc>
          <w:tcPr>
            <w:tcW w:w="1009" w:type="dxa"/>
          </w:tcPr>
          <w:p>
            <w:pPr>
              <w:pStyle w:val="TableParagraph"/>
              <w:spacing w:before="2"/>
              <w:ind w:left="47" w:right="33"/>
              <w:jc w:val="center"/>
              <w:rPr>
                <w:sz w:val="24"/>
              </w:rPr>
            </w:pPr>
            <w:r>
              <w:rPr>
                <w:sz w:val="24"/>
              </w:rPr>
              <w:t>$322.00</w:t>
            </w:r>
          </w:p>
          <w:p>
            <w:pPr>
              <w:pStyle w:val="TableParagraph"/>
              <w:spacing w:line="255" w:lineRule="exact"/>
              <w:ind w:left="46" w:right="33"/>
              <w:jc w:val="center"/>
              <w:rPr>
                <w:sz w:val="24"/>
              </w:rPr>
            </w:pPr>
            <w:r>
              <w:rPr>
                <w:sz w:val="24"/>
              </w:rPr>
              <w:t>+ IVA</w:t>
            </w:r>
          </w:p>
        </w:tc>
        <w:tc>
          <w:tcPr>
            <w:tcW w:w="2274" w:type="dxa"/>
          </w:tcPr>
          <w:p>
            <w:pPr>
              <w:pStyle w:val="TableParagraph"/>
              <w:spacing w:line="270" w:lineRule="atLeast" w:before="2"/>
              <w:ind w:left="794" w:right="274" w:hanging="488"/>
              <w:rPr>
                <w:sz w:val="24"/>
              </w:rPr>
            </w:pPr>
            <w:r>
              <w:rPr>
                <w:sz w:val="24"/>
              </w:rPr>
              <w:t>CONSUMO DE AGUA</w:t>
            </w:r>
          </w:p>
        </w:tc>
      </w:tr>
      <w:tr>
        <w:trPr>
          <w:trHeight w:val="551" w:hRule="atLeast"/>
        </w:trPr>
        <w:tc>
          <w:tcPr>
            <w:tcW w:w="1008" w:type="dxa"/>
          </w:tcPr>
          <w:p>
            <w:pPr>
              <w:pStyle w:val="TableParagraph"/>
              <w:spacing w:line="276" w:lineRule="exact"/>
              <w:ind w:left="132"/>
              <w:rPr>
                <w:sz w:val="24"/>
              </w:rPr>
            </w:pPr>
            <w:r>
              <w:rPr>
                <w:sz w:val="24"/>
              </w:rPr>
              <w:t>$70.00</w:t>
            </w:r>
          </w:p>
          <w:p>
            <w:pPr>
              <w:pStyle w:val="TableParagraph"/>
              <w:spacing w:line="255" w:lineRule="exact"/>
              <w:ind w:left="204"/>
              <w:rPr>
                <w:sz w:val="24"/>
              </w:rPr>
            </w:pPr>
            <w:r>
              <w:rPr>
                <w:sz w:val="24"/>
              </w:rPr>
              <w:t>+ IVA</w:t>
            </w:r>
          </w:p>
        </w:tc>
        <w:tc>
          <w:tcPr>
            <w:tcW w:w="2273" w:type="dxa"/>
          </w:tcPr>
          <w:p>
            <w:pPr>
              <w:pStyle w:val="TableParagraph"/>
              <w:spacing w:before="136"/>
              <w:ind w:left="67"/>
              <w:rPr>
                <w:sz w:val="24"/>
              </w:rPr>
            </w:pPr>
            <w:r>
              <w:rPr>
                <w:sz w:val="24"/>
              </w:rPr>
              <w:t>ALCANTARILLADO</w:t>
            </w:r>
          </w:p>
        </w:tc>
        <w:tc>
          <w:tcPr>
            <w:tcW w:w="1008" w:type="dxa"/>
          </w:tcPr>
          <w:p>
            <w:pPr>
              <w:pStyle w:val="TableParagraph"/>
              <w:spacing w:line="276" w:lineRule="exact"/>
              <w:ind w:left="134"/>
              <w:rPr>
                <w:sz w:val="24"/>
              </w:rPr>
            </w:pPr>
            <w:r>
              <w:rPr>
                <w:sz w:val="24"/>
              </w:rPr>
              <w:t>$86.00</w:t>
            </w:r>
          </w:p>
          <w:p>
            <w:pPr>
              <w:pStyle w:val="TableParagraph"/>
              <w:spacing w:line="255" w:lineRule="exact"/>
              <w:ind w:left="206"/>
              <w:rPr>
                <w:sz w:val="24"/>
              </w:rPr>
            </w:pPr>
            <w:r>
              <w:rPr>
                <w:sz w:val="24"/>
              </w:rPr>
              <w:t>+ IVA</w:t>
            </w:r>
          </w:p>
        </w:tc>
        <w:tc>
          <w:tcPr>
            <w:tcW w:w="2276" w:type="dxa"/>
          </w:tcPr>
          <w:p>
            <w:pPr>
              <w:pStyle w:val="TableParagraph"/>
              <w:spacing w:before="136"/>
              <w:ind w:left="70"/>
              <w:rPr>
                <w:sz w:val="24"/>
              </w:rPr>
            </w:pPr>
            <w:r>
              <w:rPr>
                <w:sz w:val="24"/>
              </w:rPr>
              <w:t>ALCANTARILLADO</w:t>
            </w:r>
          </w:p>
        </w:tc>
        <w:tc>
          <w:tcPr>
            <w:tcW w:w="1009" w:type="dxa"/>
          </w:tcPr>
          <w:p>
            <w:pPr>
              <w:pStyle w:val="TableParagraph"/>
              <w:spacing w:line="276" w:lineRule="exact"/>
              <w:ind w:left="47" w:right="33"/>
              <w:jc w:val="center"/>
              <w:rPr>
                <w:sz w:val="24"/>
              </w:rPr>
            </w:pPr>
            <w:r>
              <w:rPr>
                <w:sz w:val="24"/>
              </w:rPr>
              <w:t>$107.00</w:t>
            </w:r>
          </w:p>
          <w:p>
            <w:pPr>
              <w:pStyle w:val="TableParagraph"/>
              <w:spacing w:line="255" w:lineRule="exact"/>
              <w:ind w:left="46" w:right="33"/>
              <w:jc w:val="center"/>
              <w:rPr>
                <w:sz w:val="24"/>
              </w:rPr>
            </w:pPr>
            <w:r>
              <w:rPr>
                <w:sz w:val="24"/>
              </w:rPr>
              <w:t>+ IVA</w:t>
            </w:r>
          </w:p>
        </w:tc>
        <w:tc>
          <w:tcPr>
            <w:tcW w:w="2274" w:type="dxa"/>
          </w:tcPr>
          <w:p>
            <w:pPr>
              <w:pStyle w:val="TableParagraph"/>
              <w:spacing w:before="136"/>
              <w:ind w:left="66"/>
              <w:rPr>
                <w:sz w:val="24"/>
              </w:rPr>
            </w:pPr>
            <w:r>
              <w:rPr>
                <w:sz w:val="24"/>
              </w:rPr>
              <w:t>ALCANTARILLADO</w:t>
            </w:r>
          </w:p>
        </w:tc>
      </w:tr>
      <w:tr>
        <w:trPr>
          <w:trHeight w:val="554" w:hRule="atLeast"/>
        </w:trPr>
        <w:tc>
          <w:tcPr>
            <w:tcW w:w="1008" w:type="dxa"/>
          </w:tcPr>
          <w:p>
            <w:pPr>
              <w:pStyle w:val="TableParagraph"/>
              <w:ind w:left="132"/>
              <w:rPr>
                <w:sz w:val="24"/>
              </w:rPr>
            </w:pPr>
            <w:r>
              <w:rPr>
                <w:sz w:val="24"/>
              </w:rPr>
              <w:t>$70.00</w:t>
            </w:r>
          </w:p>
          <w:p>
            <w:pPr>
              <w:pStyle w:val="TableParagraph"/>
              <w:spacing w:line="258" w:lineRule="exact"/>
              <w:ind w:left="204"/>
              <w:rPr>
                <w:sz w:val="24"/>
              </w:rPr>
            </w:pPr>
            <w:r>
              <w:rPr>
                <w:sz w:val="24"/>
              </w:rPr>
              <w:t>+ IVA</w:t>
            </w:r>
          </w:p>
        </w:tc>
        <w:tc>
          <w:tcPr>
            <w:tcW w:w="2273" w:type="dxa"/>
          </w:tcPr>
          <w:p>
            <w:pPr>
              <w:pStyle w:val="TableParagraph"/>
              <w:spacing w:line="270" w:lineRule="atLeast"/>
              <w:ind w:left="273" w:right="240" w:firstLine="192"/>
              <w:rPr>
                <w:sz w:val="24"/>
              </w:rPr>
            </w:pPr>
            <w:r>
              <w:rPr>
                <w:sz w:val="24"/>
              </w:rPr>
              <w:t>PLANTA DE TRATAMIENTO</w:t>
            </w:r>
          </w:p>
        </w:tc>
        <w:tc>
          <w:tcPr>
            <w:tcW w:w="1008" w:type="dxa"/>
          </w:tcPr>
          <w:p>
            <w:pPr>
              <w:pStyle w:val="TableParagraph"/>
              <w:ind w:left="134"/>
              <w:rPr>
                <w:sz w:val="24"/>
              </w:rPr>
            </w:pPr>
            <w:r>
              <w:rPr>
                <w:sz w:val="24"/>
              </w:rPr>
              <w:t>$86.00</w:t>
            </w:r>
          </w:p>
          <w:p>
            <w:pPr>
              <w:pStyle w:val="TableParagraph"/>
              <w:spacing w:line="258" w:lineRule="exact"/>
              <w:ind w:left="206"/>
              <w:rPr>
                <w:sz w:val="24"/>
              </w:rPr>
            </w:pPr>
            <w:r>
              <w:rPr>
                <w:sz w:val="24"/>
              </w:rPr>
              <w:t>+ IVA</w:t>
            </w:r>
          </w:p>
        </w:tc>
        <w:tc>
          <w:tcPr>
            <w:tcW w:w="2276" w:type="dxa"/>
          </w:tcPr>
          <w:p>
            <w:pPr>
              <w:pStyle w:val="TableParagraph"/>
              <w:spacing w:line="270" w:lineRule="atLeast"/>
              <w:ind w:left="276" w:right="240" w:firstLine="192"/>
              <w:rPr>
                <w:sz w:val="24"/>
              </w:rPr>
            </w:pPr>
            <w:r>
              <w:rPr>
                <w:sz w:val="24"/>
              </w:rPr>
              <w:t>PLANTA DE TRATAMIENTO</w:t>
            </w:r>
          </w:p>
        </w:tc>
        <w:tc>
          <w:tcPr>
            <w:tcW w:w="1009" w:type="dxa"/>
          </w:tcPr>
          <w:p>
            <w:pPr>
              <w:pStyle w:val="TableParagraph"/>
              <w:ind w:left="47" w:right="33"/>
              <w:jc w:val="center"/>
              <w:rPr>
                <w:sz w:val="24"/>
              </w:rPr>
            </w:pPr>
            <w:r>
              <w:rPr>
                <w:sz w:val="24"/>
              </w:rPr>
              <w:t>$107.00</w:t>
            </w:r>
          </w:p>
          <w:p>
            <w:pPr>
              <w:pStyle w:val="TableParagraph"/>
              <w:spacing w:line="258" w:lineRule="exact"/>
              <w:ind w:left="46" w:right="33"/>
              <w:jc w:val="center"/>
              <w:rPr>
                <w:sz w:val="24"/>
              </w:rPr>
            </w:pPr>
            <w:r>
              <w:rPr>
                <w:sz w:val="24"/>
              </w:rPr>
              <w:t>+ IVA</w:t>
            </w:r>
          </w:p>
        </w:tc>
        <w:tc>
          <w:tcPr>
            <w:tcW w:w="2274" w:type="dxa"/>
          </w:tcPr>
          <w:p>
            <w:pPr>
              <w:pStyle w:val="TableParagraph"/>
              <w:spacing w:line="270" w:lineRule="atLeast"/>
              <w:ind w:left="273" w:right="241" w:firstLine="192"/>
              <w:rPr>
                <w:sz w:val="24"/>
              </w:rPr>
            </w:pPr>
            <w:r>
              <w:rPr>
                <w:sz w:val="24"/>
              </w:rPr>
              <w:t>PLANTA DE TRATAMIENTO</w:t>
            </w:r>
          </w:p>
        </w:tc>
      </w:tr>
    </w:tbl>
    <w:p>
      <w:pPr>
        <w:pStyle w:val="BodyText"/>
      </w:pPr>
    </w:p>
    <w:p>
      <w:pPr>
        <w:pStyle w:val="Heading1"/>
        <w:numPr>
          <w:ilvl w:val="2"/>
          <w:numId w:val="55"/>
        </w:numPr>
        <w:tabs>
          <w:tab w:pos="1066" w:val="left" w:leader="none"/>
        </w:tabs>
        <w:spacing w:line="240" w:lineRule="auto" w:before="0" w:after="0"/>
        <w:ind w:left="1065" w:right="0" w:hanging="666"/>
        <w:jc w:val="left"/>
      </w:pPr>
      <w:r>
        <w:rPr>
          <w:spacing w:val="-4"/>
        </w:rPr>
        <w:t>Derivaciones </w:t>
      </w:r>
      <w:r>
        <w:rPr>
          <w:spacing w:val="-3"/>
        </w:rPr>
        <w:t>de </w:t>
      </w:r>
      <w:r>
        <w:rPr/>
        <w:t>tomas</w:t>
      </w:r>
      <w:r>
        <w:rPr>
          <w:spacing w:val="3"/>
        </w:rPr>
        <w:t> </w:t>
      </w:r>
      <w:r>
        <w:rPr/>
        <w:t>domésticas.</w:t>
      </w:r>
    </w:p>
    <w:p>
      <w:pPr>
        <w:pStyle w:val="BodyText"/>
        <w:rPr>
          <w:b/>
        </w:rPr>
      </w:pPr>
    </w:p>
    <w:tbl>
      <w:tblPr>
        <w:tblW w:w="0" w:type="auto"/>
        <w:jc w:val="left"/>
        <w:tblInd w:w="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2"/>
        <w:gridCol w:w="2684"/>
        <w:gridCol w:w="3068"/>
        <w:gridCol w:w="2473"/>
      </w:tblGrid>
      <w:tr>
        <w:trPr>
          <w:trHeight w:val="351" w:hRule="atLeast"/>
        </w:trPr>
        <w:tc>
          <w:tcPr>
            <w:tcW w:w="9077" w:type="dxa"/>
            <w:gridSpan w:val="4"/>
          </w:tcPr>
          <w:p>
            <w:pPr>
              <w:pStyle w:val="TableParagraph"/>
              <w:spacing w:before="38"/>
              <w:ind w:left="2515" w:right="2489"/>
              <w:jc w:val="center"/>
              <w:rPr>
                <w:b/>
                <w:sz w:val="24"/>
              </w:rPr>
            </w:pPr>
            <w:r>
              <w:rPr>
                <w:b/>
                <w:sz w:val="24"/>
              </w:rPr>
              <w:t>Derivaciones de tomas domésticas</w:t>
            </w:r>
          </w:p>
        </w:tc>
      </w:tr>
      <w:tr>
        <w:trPr>
          <w:trHeight w:val="351" w:hRule="atLeast"/>
        </w:trPr>
        <w:tc>
          <w:tcPr>
            <w:tcW w:w="852" w:type="dxa"/>
          </w:tcPr>
          <w:p>
            <w:pPr>
              <w:pStyle w:val="TableParagraph"/>
              <w:spacing w:before="38"/>
              <w:ind w:left="26"/>
              <w:jc w:val="center"/>
              <w:rPr>
                <w:b/>
                <w:sz w:val="24"/>
              </w:rPr>
            </w:pPr>
            <w:r>
              <w:rPr>
                <w:b/>
                <w:sz w:val="24"/>
              </w:rPr>
              <w:t>Clave1</w:t>
            </w:r>
          </w:p>
        </w:tc>
        <w:tc>
          <w:tcPr>
            <w:tcW w:w="2684" w:type="dxa"/>
          </w:tcPr>
          <w:p>
            <w:pPr>
              <w:pStyle w:val="TableParagraph"/>
              <w:spacing w:before="38"/>
              <w:ind w:left="220" w:right="192"/>
              <w:jc w:val="center"/>
              <w:rPr>
                <w:b/>
                <w:sz w:val="24"/>
              </w:rPr>
            </w:pPr>
            <w:r>
              <w:rPr>
                <w:b/>
                <w:sz w:val="24"/>
              </w:rPr>
              <w:t>Servicio domestico</w:t>
            </w:r>
          </w:p>
        </w:tc>
        <w:tc>
          <w:tcPr>
            <w:tcW w:w="3068" w:type="dxa"/>
          </w:tcPr>
          <w:p>
            <w:pPr>
              <w:pStyle w:val="TableParagraph"/>
              <w:ind w:left="327" w:right="303"/>
              <w:jc w:val="center"/>
              <w:rPr>
                <w:b/>
                <w:sz w:val="24"/>
              </w:rPr>
            </w:pPr>
            <w:r>
              <w:rPr>
                <w:b/>
                <w:sz w:val="24"/>
              </w:rPr>
              <w:t>Concepto</w:t>
            </w:r>
          </w:p>
        </w:tc>
        <w:tc>
          <w:tcPr>
            <w:tcW w:w="2473" w:type="dxa"/>
          </w:tcPr>
          <w:p>
            <w:pPr>
              <w:pStyle w:val="TableParagraph"/>
              <w:spacing w:before="38"/>
              <w:ind w:left="780" w:right="754"/>
              <w:jc w:val="center"/>
              <w:rPr>
                <w:b/>
                <w:sz w:val="24"/>
              </w:rPr>
            </w:pPr>
            <w:r>
              <w:rPr>
                <w:b/>
                <w:sz w:val="24"/>
              </w:rPr>
              <w:t>Tarifa</w:t>
            </w:r>
          </w:p>
        </w:tc>
      </w:tr>
      <w:tr>
        <w:trPr>
          <w:trHeight w:val="274" w:hRule="atLeast"/>
        </w:trPr>
        <w:tc>
          <w:tcPr>
            <w:tcW w:w="852" w:type="dxa"/>
            <w:vMerge w:val="restart"/>
          </w:tcPr>
          <w:p>
            <w:pPr>
              <w:pStyle w:val="TableParagraph"/>
              <w:spacing w:before="1"/>
              <w:rPr>
                <w:b/>
                <w:sz w:val="36"/>
              </w:rPr>
            </w:pPr>
          </w:p>
          <w:p>
            <w:pPr>
              <w:pStyle w:val="TableParagraph"/>
              <w:ind w:left="208"/>
              <w:rPr>
                <w:sz w:val="24"/>
              </w:rPr>
            </w:pPr>
            <w:r>
              <w:rPr>
                <w:sz w:val="24"/>
              </w:rPr>
              <w:t>2B2</w:t>
            </w:r>
          </w:p>
        </w:tc>
        <w:tc>
          <w:tcPr>
            <w:tcW w:w="2684" w:type="dxa"/>
            <w:vMerge w:val="restart"/>
          </w:tcPr>
          <w:p>
            <w:pPr>
              <w:pStyle w:val="TableParagraph"/>
              <w:spacing w:before="1"/>
              <w:rPr>
                <w:b/>
                <w:sz w:val="36"/>
              </w:rPr>
            </w:pPr>
          </w:p>
          <w:p>
            <w:pPr>
              <w:pStyle w:val="TableParagraph"/>
              <w:ind w:left="216" w:right="192"/>
              <w:jc w:val="center"/>
              <w:rPr>
                <w:sz w:val="24"/>
              </w:rPr>
            </w:pPr>
            <w:r>
              <w:rPr>
                <w:sz w:val="24"/>
              </w:rPr>
              <w:t>Baja</w:t>
            </w:r>
          </w:p>
        </w:tc>
        <w:tc>
          <w:tcPr>
            <w:tcW w:w="3068" w:type="dxa"/>
          </w:tcPr>
          <w:p>
            <w:pPr>
              <w:pStyle w:val="TableParagraph"/>
              <w:spacing w:line="255" w:lineRule="exact"/>
              <w:ind w:left="327" w:right="308"/>
              <w:jc w:val="center"/>
              <w:rPr>
                <w:sz w:val="24"/>
              </w:rPr>
            </w:pPr>
            <w:r>
              <w:rPr>
                <w:sz w:val="24"/>
              </w:rPr>
              <w:t>Consumo de Agua</w:t>
            </w:r>
          </w:p>
        </w:tc>
        <w:tc>
          <w:tcPr>
            <w:tcW w:w="2473" w:type="dxa"/>
          </w:tcPr>
          <w:p>
            <w:pPr>
              <w:pStyle w:val="TableParagraph"/>
              <w:spacing w:line="255" w:lineRule="exact"/>
              <w:ind w:left="780" w:right="755"/>
              <w:jc w:val="center"/>
              <w:rPr>
                <w:sz w:val="24"/>
              </w:rPr>
            </w:pPr>
            <w:r>
              <w:rPr>
                <w:sz w:val="24"/>
              </w:rPr>
              <w:t>$158.00</w:t>
            </w:r>
          </w:p>
        </w:tc>
      </w:tr>
      <w:tr>
        <w:trPr>
          <w:trHeight w:val="358"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5" w:right="308"/>
              <w:jc w:val="center"/>
              <w:rPr>
                <w:sz w:val="24"/>
              </w:rPr>
            </w:pPr>
            <w:r>
              <w:rPr>
                <w:sz w:val="24"/>
              </w:rPr>
              <w:t>Alcantarillado</w:t>
            </w:r>
          </w:p>
        </w:tc>
        <w:tc>
          <w:tcPr>
            <w:tcW w:w="2473" w:type="dxa"/>
          </w:tcPr>
          <w:p>
            <w:pPr>
              <w:pStyle w:val="TableParagraph"/>
              <w:spacing w:before="43"/>
              <w:ind w:left="699" w:right="755"/>
              <w:jc w:val="center"/>
              <w:rPr>
                <w:sz w:val="24"/>
              </w:rPr>
            </w:pPr>
            <w:r>
              <w:rPr>
                <w:sz w:val="24"/>
              </w:rPr>
              <w:t>$53.00</w:t>
            </w:r>
          </w:p>
        </w:tc>
      </w:tr>
      <w:tr>
        <w:trPr>
          <w:trHeight w:val="409"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7" w:right="308"/>
              <w:jc w:val="center"/>
              <w:rPr>
                <w:sz w:val="24"/>
              </w:rPr>
            </w:pPr>
            <w:r>
              <w:rPr>
                <w:sz w:val="24"/>
              </w:rPr>
              <w:t>Planta de Tratamiento</w:t>
            </w:r>
          </w:p>
        </w:tc>
        <w:tc>
          <w:tcPr>
            <w:tcW w:w="2473" w:type="dxa"/>
          </w:tcPr>
          <w:p>
            <w:pPr>
              <w:pStyle w:val="TableParagraph"/>
              <w:spacing w:before="67"/>
              <w:ind w:left="699" w:right="755"/>
              <w:jc w:val="center"/>
              <w:rPr>
                <w:sz w:val="24"/>
              </w:rPr>
            </w:pPr>
            <w:r>
              <w:rPr>
                <w:sz w:val="24"/>
              </w:rPr>
              <w:t>$53.00</w:t>
            </w:r>
          </w:p>
        </w:tc>
      </w:tr>
      <w:tr>
        <w:trPr>
          <w:trHeight w:val="412" w:hRule="atLeast"/>
        </w:trPr>
        <w:tc>
          <w:tcPr>
            <w:tcW w:w="852" w:type="dxa"/>
            <w:vMerge w:val="restart"/>
          </w:tcPr>
          <w:p>
            <w:pPr>
              <w:pStyle w:val="TableParagraph"/>
              <w:rPr>
                <w:b/>
                <w:sz w:val="26"/>
              </w:rPr>
            </w:pPr>
          </w:p>
          <w:p>
            <w:pPr>
              <w:pStyle w:val="TableParagraph"/>
              <w:spacing w:before="181"/>
              <w:ind w:left="208"/>
              <w:rPr>
                <w:sz w:val="24"/>
              </w:rPr>
            </w:pPr>
            <w:r>
              <w:rPr>
                <w:sz w:val="24"/>
              </w:rPr>
              <w:t>2B3</w:t>
            </w:r>
          </w:p>
        </w:tc>
        <w:tc>
          <w:tcPr>
            <w:tcW w:w="2684" w:type="dxa"/>
            <w:vMerge w:val="restart"/>
          </w:tcPr>
          <w:p>
            <w:pPr>
              <w:pStyle w:val="TableParagraph"/>
              <w:rPr>
                <w:b/>
                <w:sz w:val="26"/>
              </w:rPr>
            </w:pPr>
          </w:p>
          <w:p>
            <w:pPr>
              <w:pStyle w:val="TableParagraph"/>
              <w:spacing w:before="181"/>
              <w:ind w:left="216" w:right="192"/>
              <w:jc w:val="center"/>
              <w:rPr>
                <w:sz w:val="24"/>
              </w:rPr>
            </w:pPr>
            <w:r>
              <w:rPr>
                <w:sz w:val="24"/>
              </w:rPr>
              <w:t>Baja</w:t>
            </w:r>
          </w:p>
        </w:tc>
        <w:tc>
          <w:tcPr>
            <w:tcW w:w="3068" w:type="dxa"/>
          </w:tcPr>
          <w:p>
            <w:pPr>
              <w:pStyle w:val="TableParagraph"/>
              <w:ind w:left="327" w:right="308"/>
              <w:jc w:val="center"/>
              <w:rPr>
                <w:sz w:val="24"/>
              </w:rPr>
            </w:pPr>
            <w:r>
              <w:rPr>
                <w:sz w:val="24"/>
              </w:rPr>
              <w:t>Consumo de Agua</w:t>
            </w:r>
          </w:p>
        </w:tc>
        <w:tc>
          <w:tcPr>
            <w:tcW w:w="2473" w:type="dxa"/>
          </w:tcPr>
          <w:p>
            <w:pPr>
              <w:pStyle w:val="TableParagraph"/>
              <w:spacing w:before="70"/>
              <w:ind w:left="780" w:right="755"/>
              <w:jc w:val="center"/>
              <w:rPr>
                <w:sz w:val="24"/>
              </w:rPr>
            </w:pPr>
            <w:r>
              <w:rPr>
                <w:sz w:val="24"/>
              </w:rPr>
              <w:t>$237.00</w:t>
            </w:r>
          </w:p>
        </w:tc>
      </w:tr>
      <w:tr>
        <w:trPr>
          <w:trHeight w:val="382"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5" w:right="308"/>
              <w:jc w:val="center"/>
              <w:rPr>
                <w:sz w:val="24"/>
              </w:rPr>
            </w:pPr>
            <w:r>
              <w:rPr>
                <w:sz w:val="24"/>
              </w:rPr>
              <w:t>Alcantarillado</w:t>
            </w:r>
          </w:p>
        </w:tc>
        <w:tc>
          <w:tcPr>
            <w:tcW w:w="2473" w:type="dxa"/>
          </w:tcPr>
          <w:p>
            <w:pPr>
              <w:pStyle w:val="TableParagraph"/>
              <w:spacing w:before="55"/>
              <w:ind w:left="780" w:right="755"/>
              <w:jc w:val="center"/>
              <w:rPr>
                <w:sz w:val="24"/>
              </w:rPr>
            </w:pPr>
            <w:r>
              <w:rPr>
                <w:sz w:val="24"/>
              </w:rPr>
              <w:t>$79.00</w:t>
            </w:r>
          </w:p>
        </w:tc>
      </w:tr>
      <w:tr>
        <w:trPr>
          <w:trHeight w:val="380"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ind w:left="327" w:right="308"/>
              <w:jc w:val="center"/>
              <w:rPr>
                <w:sz w:val="24"/>
              </w:rPr>
            </w:pPr>
            <w:r>
              <w:rPr>
                <w:sz w:val="24"/>
              </w:rPr>
              <w:t>Planta de Tratamiento</w:t>
            </w:r>
          </w:p>
        </w:tc>
        <w:tc>
          <w:tcPr>
            <w:tcW w:w="2473" w:type="dxa"/>
          </w:tcPr>
          <w:p>
            <w:pPr>
              <w:pStyle w:val="TableParagraph"/>
              <w:spacing w:before="52"/>
              <w:ind w:left="780" w:right="755"/>
              <w:jc w:val="center"/>
              <w:rPr>
                <w:sz w:val="24"/>
              </w:rPr>
            </w:pPr>
            <w:r>
              <w:rPr>
                <w:sz w:val="24"/>
              </w:rPr>
              <w:t>$79.00</w:t>
            </w:r>
          </w:p>
        </w:tc>
      </w:tr>
      <w:tr>
        <w:trPr>
          <w:trHeight w:val="521" w:hRule="atLeast"/>
        </w:trPr>
        <w:tc>
          <w:tcPr>
            <w:tcW w:w="852" w:type="dxa"/>
            <w:vMerge w:val="restart"/>
          </w:tcPr>
          <w:p>
            <w:pPr>
              <w:pStyle w:val="TableParagraph"/>
              <w:rPr>
                <w:b/>
                <w:sz w:val="26"/>
              </w:rPr>
            </w:pPr>
          </w:p>
          <w:p>
            <w:pPr>
              <w:pStyle w:val="TableParagraph"/>
              <w:spacing w:before="10"/>
              <w:rPr>
                <w:b/>
                <w:sz w:val="29"/>
              </w:rPr>
            </w:pPr>
          </w:p>
          <w:p>
            <w:pPr>
              <w:pStyle w:val="TableParagraph"/>
              <w:ind w:left="200"/>
              <w:rPr>
                <w:sz w:val="24"/>
              </w:rPr>
            </w:pPr>
            <w:r>
              <w:rPr>
                <w:sz w:val="24"/>
              </w:rPr>
              <w:t>2C2</w:t>
            </w:r>
          </w:p>
        </w:tc>
        <w:tc>
          <w:tcPr>
            <w:tcW w:w="2684" w:type="dxa"/>
            <w:vMerge w:val="restart"/>
          </w:tcPr>
          <w:p>
            <w:pPr>
              <w:pStyle w:val="TableParagraph"/>
              <w:rPr>
                <w:b/>
                <w:sz w:val="26"/>
              </w:rPr>
            </w:pPr>
          </w:p>
          <w:p>
            <w:pPr>
              <w:pStyle w:val="TableParagraph"/>
              <w:spacing w:before="10"/>
              <w:rPr>
                <w:b/>
                <w:sz w:val="29"/>
              </w:rPr>
            </w:pPr>
          </w:p>
          <w:p>
            <w:pPr>
              <w:pStyle w:val="TableParagraph"/>
              <w:ind w:left="216" w:right="192"/>
              <w:jc w:val="center"/>
              <w:rPr>
                <w:sz w:val="24"/>
              </w:rPr>
            </w:pPr>
            <w:r>
              <w:rPr>
                <w:sz w:val="24"/>
              </w:rPr>
              <w:t>Media</w:t>
            </w:r>
          </w:p>
        </w:tc>
        <w:tc>
          <w:tcPr>
            <w:tcW w:w="3068" w:type="dxa"/>
          </w:tcPr>
          <w:p>
            <w:pPr>
              <w:pStyle w:val="TableParagraph"/>
              <w:spacing w:before="2"/>
              <w:ind w:left="327" w:right="308"/>
              <w:jc w:val="center"/>
              <w:rPr>
                <w:sz w:val="24"/>
              </w:rPr>
            </w:pPr>
            <w:r>
              <w:rPr>
                <w:sz w:val="24"/>
              </w:rPr>
              <w:t>Consumo de Agua</w:t>
            </w:r>
          </w:p>
        </w:tc>
        <w:tc>
          <w:tcPr>
            <w:tcW w:w="2473" w:type="dxa"/>
          </w:tcPr>
          <w:p>
            <w:pPr>
              <w:pStyle w:val="TableParagraph"/>
              <w:spacing w:before="124"/>
              <w:ind w:left="780" w:right="755"/>
              <w:jc w:val="center"/>
              <w:rPr>
                <w:sz w:val="24"/>
              </w:rPr>
            </w:pPr>
            <w:r>
              <w:rPr>
                <w:sz w:val="24"/>
              </w:rPr>
              <w:t>$258.00</w:t>
            </w:r>
          </w:p>
        </w:tc>
      </w:tr>
      <w:tr>
        <w:trPr>
          <w:trHeight w:val="488"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ind w:left="325" w:right="308"/>
              <w:jc w:val="center"/>
              <w:rPr>
                <w:sz w:val="24"/>
              </w:rPr>
            </w:pPr>
            <w:r>
              <w:rPr>
                <w:sz w:val="24"/>
              </w:rPr>
              <w:t>Alcantarillado</w:t>
            </w:r>
          </w:p>
        </w:tc>
        <w:tc>
          <w:tcPr>
            <w:tcW w:w="2473" w:type="dxa"/>
          </w:tcPr>
          <w:p>
            <w:pPr>
              <w:pStyle w:val="TableParagraph"/>
              <w:spacing w:before="108"/>
              <w:ind w:left="780" w:right="755"/>
              <w:jc w:val="center"/>
              <w:rPr>
                <w:sz w:val="24"/>
              </w:rPr>
            </w:pPr>
            <w:r>
              <w:rPr>
                <w:sz w:val="24"/>
              </w:rPr>
              <w:t>$86.00</w:t>
            </w:r>
          </w:p>
        </w:tc>
      </w:tr>
      <w:tr>
        <w:trPr>
          <w:trHeight w:val="490"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7" w:right="308"/>
              <w:jc w:val="center"/>
              <w:rPr>
                <w:sz w:val="24"/>
              </w:rPr>
            </w:pPr>
            <w:r>
              <w:rPr>
                <w:sz w:val="24"/>
              </w:rPr>
              <w:t>Planta de Tratamiento</w:t>
            </w:r>
          </w:p>
        </w:tc>
        <w:tc>
          <w:tcPr>
            <w:tcW w:w="2473" w:type="dxa"/>
          </w:tcPr>
          <w:p>
            <w:pPr>
              <w:pStyle w:val="TableParagraph"/>
              <w:spacing w:before="40"/>
              <w:ind w:left="780" w:right="755"/>
              <w:jc w:val="center"/>
              <w:rPr>
                <w:sz w:val="24"/>
              </w:rPr>
            </w:pPr>
            <w:r>
              <w:rPr>
                <w:sz w:val="24"/>
              </w:rPr>
              <w:t>$86.00</w:t>
            </w:r>
          </w:p>
        </w:tc>
      </w:tr>
      <w:tr>
        <w:trPr>
          <w:trHeight w:val="488" w:hRule="atLeast"/>
        </w:trPr>
        <w:tc>
          <w:tcPr>
            <w:tcW w:w="852" w:type="dxa"/>
          </w:tcPr>
          <w:p>
            <w:pPr>
              <w:pStyle w:val="TableParagraph"/>
              <w:spacing w:before="38"/>
              <w:ind w:left="20"/>
              <w:jc w:val="center"/>
              <w:rPr>
                <w:sz w:val="24"/>
              </w:rPr>
            </w:pPr>
            <w:r>
              <w:rPr>
                <w:sz w:val="24"/>
              </w:rPr>
              <w:t>2C3</w:t>
            </w:r>
          </w:p>
        </w:tc>
        <w:tc>
          <w:tcPr>
            <w:tcW w:w="2684" w:type="dxa"/>
          </w:tcPr>
          <w:p>
            <w:pPr>
              <w:pStyle w:val="TableParagraph"/>
              <w:spacing w:before="38"/>
              <w:ind w:left="216" w:right="192"/>
              <w:jc w:val="center"/>
              <w:rPr>
                <w:sz w:val="24"/>
              </w:rPr>
            </w:pPr>
            <w:r>
              <w:rPr>
                <w:sz w:val="24"/>
              </w:rPr>
              <w:t>Media</w:t>
            </w:r>
          </w:p>
        </w:tc>
        <w:tc>
          <w:tcPr>
            <w:tcW w:w="3068" w:type="dxa"/>
          </w:tcPr>
          <w:p>
            <w:pPr>
              <w:pStyle w:val="TableParagraph"/>
              <w:ind w:left="327" w:right="308"/>
              <w:jc w:val="center"/>
              <w:rPr>
                <w:sz w:val="24"/>
              </w:rPr>
            </w:pPr>
            <w:r>
              <w:rPr>
                <w:sz w:val="24"/>
              </w:rPr>
              <w:t>Consumo de Agua</w:t>
            </w:r>
          </w:p>
        </w:tc>
        <w:tc>
          <w:tcPr>
            <w:tcW w:w="2473" w:type="dxa"/>
          </w:tcPr>
          <w:p>
            <w:pPr>
              <w:pStyle w:val="TableParagraph"/>
              <w:ind w:left="780" w:right="755"/>
              <w:jc w:val="center"/>
              <w:rPr>
                <w:sz w:val="24"/>
              </w:rPr>
            </w:pPr>
            <w:r>
              <w:rPr>
                <w:sz w:val="24"/>
              </w:rPr>
              <w:t>$393.00</w:t>
            </w:r>
          </w:p>
        </w:tc>
      </w:tr>
    </w:tbl>
    <w:p>
      <w:pPr>
        <w:spacing w:after="0"/>
        <w:jc w:val="center"/>
        <w:rPr>
          <w:sz w:val="24"/>
        </w:rPr>
        <w:sectPr>
          <w:pgSz w:w="12250" w:h="15850"/>
          <w:pgMar w:header="730" w:footer="0" w:top="1000" w:bottom="280" w:left="860" w:right="820"/>
        </w:sectPr>
      </w:pPr>
    </w:p>
    <w:p>
      <w:pPr>
        <w:pStyle w:val="BodyText"/>
        <w:spacing w:before="1"/>
        <w:rPr>
          <w:b/>
          <w:sz w:val="17"/>
        </w:rPr>
      </w:pPr>
    </w:p>
    <w:tbl>
      <w:tblPr>
        <w:tblW w:w="0" w:type="auto"/>
        <w:jc w:val="left"/>
        <w:tblInd w:w="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2"/>
        <w:gridCol w:w="2684"/>
        <w:gridCol w:w="3068"/>
        <w:gridCol w:w="2473"/>
      </w:tblGrid>
      <w:tr>
        <w:trPr>
          <w:trHeight w:val="351" w:hRule="atLeast"/>
        </w:trPr>
        <w:tc>
          <w:tcPr>
            <w:tcW w:w="9077" w:type="dxa"/>
            <w:gridSpan w:val="4"/>
          </w:tcPr>
          <w:p>
            <w:pPr>
              <w:pStyle w:val="TableParagraph"/>
              <w:spacing w:before="38"/>
              <w:ind w:left="2515" w:right="2489"/>
              <w:jc w:val="center"/>
              <w:rPr>
                <w:b/>
                <w:sz w:val="24"/>
              </w:rPr>
            </w:pPr>
            <w:r>
              <w:rPr>
                <w:b/>
                <w:sz w:val="24"/>
              </w:rPr>
              <w:t>Derivaciones de tomas domésticas</w:t>
            </w:r>
          </w:p>
        </w:tc>
      </w:tr>
      <w:tr>
        <w:trPr>
          <w:trHeight w:val="352" w:hRule="atLeast"/>
        </w:trPr>
        <w:tc>
          <w:tcPr>
            <w:tcW w:w="852" w:type="dxa"/>
          </w:tcPr>
          <w:p>
            <w:pPr>
              <w:pStyle w:val="TableParagraph"/>
              <w:spacing w:before="38"/>
              <w:ind w:left="37"/>
              <w:rPr>
                <w:b/>
                <w:sz w:val="24"/>
              </w:rPr>
            </w:pPr>
            <w:r>
              <w:rPr>
                <w:b/>
                <w:sz w:val="24"/>
              </w:rPr>
              <w:t>Clave1</w:t>
            </w:r>
          </w:p>
        </w:tc>
        <w:tc>
          <w:tcPr>
            <w:tcW w:w="2684" w:type="dxa"/>
          </w:tcPr>
          <w:p>
            <w:pPr>
              <w:pStyle w:val="TableParagraph"/>
              <w:spacing w:before="38"/>
              <w:ind w:left="239"/>
              <w:rPr>
                <w:b/>
                <w:sz w:val="24"/>
              </w:rPr>
            </w:pPr>
            <w:r>
              <w:rPr>
                <w:b/>
                <w:sz w:val="24"/>
              </w:rPr>
              <w:t>Servicio domestico</w:t>
            </w:r>
          </w:p>
        </w:tc>
        <w:tc>
          <w:tcPr>
            <w:tcW w:w="3068" w:type="dxa"/>
          </w:tcPr>
          <w:p>
            <w:pPr>
              <w:pStyle w:val="TableParagraph"/>
              <w:ind w:left="327" w:right="303"/>
              <w:jc w:val="center"/>
              <w:rPr>
                <w:b/>
                <w:sz w:val="24"/>
              </w:rPr>
            </w:pPr>
            <w:r>
              <w:rPr>
                <w:b/>
                <w:sz w:val="24"/>
              </w:rPr>
              <w:t>Concepto</w:t>
            </w:r>
          </w:p>
        </w:tc>
        <w:tc>
          <w:tcPr>
            <w:tcW w:w="2473" w:type="dxa"/>
          </w:tcPr>
          <w:p>
            <w:pPr>
              <w:pStyle w:val="TableParagraph"/>
              <w:spacing w:before="38"/>
              <w:ind w:left="780" w:right="754"/>
              <w:jc w:val="center"/>
              <w:rPr>
                <w:b/>
                <w:sz w:val="24"/>
              </w:rPr>
            </w:pPr>
            <w:r>
              <w:rPr>
                <w:b/>
                <w:sz w:val="24"/>
              </w:rPr>
              <w:t>Tarifa</w:t>
            </w:r>
          </w:p>
        </w:tc>
      </w:tr>
      <w:tr>
        <w:trPr>
          <w:trHeight w:val="490" w:hRule="atLeast"/>
        </w:trPr>
        <w:tc>
          <w:tcPr>
            <w:tcW w:w="852" w:type="dxa"/>
            <w:vMerge w:val="restart"/>
          </w:tcPr>
          <w:p>
            <w:pPr>
              <w:pStyle w:val="TableParagraph"/>
              <w:rPr>
                <w:rFonts w:ascii="Times New Roman"/>
                <w:sz w:val="24"/>
              </w:rPr>
            </w:pPr>
          </w:p>
        </w:tc>
        <w:tc>
          <w:tcPr>
            <w:tcW w:w="2684" w:type="dxa"/>
            <w:vMerge w:val="restart"/>
          </w:tcPr>
          <w:p>
            <w:pPr>
              <w:pStyle w:val="TableParagraph"/>
              <w:rPr>
                <w:rFonts w:ascii="Times New Roman"/>
                <w:sz w:val="24"/>
              </w:rPr>
            </w:pPr>
          </w:p>
        </w:tc>
        <w:tc>
          <w:tcPr>
            <w:tcW w:w="3068" w:type="dxa"/>
          </w:tcPr>
          <w:p>
            <w:pPr>
              <w:pStyle w:val="TableParagraph"/>
              <w:spacing w:before="2"/>
              <w:ind w:left="325" w:right="308"/>
              <w:jc w:val="center"/>
              <w:rPr>
                <w:sz w:val="24"/>
              </w:rPr>
            </w:pPr>
            <w:r>
              <w:rPr>
                <w:sz w:val="24"/>
              </w:rPr>
              <w:t>Alcantarillado</w:t>
            </w:r>
          </w:p>
        </w:tc>
        <w:tc>
          <w:tcPr>
            <w:tcW w:w="2473" w:type="dxa"/>
          </w:tcPr>
          <w:p>
            <w:pPr>
              <w:pStyle w:val="TableParagraph"/>
              <w:spacing w:before="2"/>
              <w:ind w:left="780" w:right="755"/>
              <w:jc w:val="center"/>
              <w:rPr>
                <w:sz w:val="24"/>
              </w:rPr>
            </w:pPr>
            <w:r>
              <w:rPr>
                <w:sz w:val="24"/>
              </w:rPr>
              <w:t>$131.00</w:t>
            </w:r>
          </w:p>
        </w:tc>
      </w:tr>
      <w:tr>
        <w:trPr>
          <w:trHeight w:val="488"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ind w:left="327" w:right="308"/>
              <w:jc w:val="center"/>
              <w:rPr>
                <w:sz w:val="24"/>
              </w:rPr>
            </w:pPr>
            <w:r>
              <w:rPr>
                <w:sz w:val="24"/>
              </w:rPr>
              <w:t>Planta de Tratamiento</w:t>
            </w:r>
          </w:p>
        </w:tc>
        <w:tc>
          <w:tcPr>
            <w:tcW w:w="2473" w:type="dxa"/>
          </w:tcPr>
          <w:p>
            <w:pPr>
              <w:pStyle w:val="TableParagraph"/>
              <w:ind w:left="780" w:right="755"/>
              <w:jc w:val="center"/>
              <w:rPr>
                <w:sz w:val="24"/>
              </w:rPr>
            </w:pPr>
            <w:r>
              <w:rPr>
                <w:sz w:val="24"/>
              </w:rPr>
              <w:t>$131.00</w:t>
            </w:r>
          </w:p>
        </w:tc>
      </w:tr>
      <w:tr>
        <w:trPr>
          <w:trHeight w:val="490" w:hRule="atLeast"/>
        </w:trPr>
        <w:tc>
          <w:tcPr>
            <w:tcW w:w="852" w:type="dxa"/>
            <w:vMerge w:val="restart"/>
          </w:tcPr>
          <w:p>
            <w:pPr>
              <w:pStyle w:val="TableParagraph"/>
              <w:rPr>
                <w:b/>
                <w:sz w:val="26"/>
              </w:rPr>
            </w:pPr>
          </w:p>
          <w:p>
            <w:pPr>
              <w:pStyle w:val="TableParagraph"/>
              <w:spacing w:before="7"/>
              <w:rPr>
                <w:b/>
                <w:sz w:val="22"/>
              </w:rPr>
            </w:pPr>
          </w:p>
          <w:p>
            <w:pPr>
              <w:pStyle w:val="TableParagraph"/>
              <w:ind w:left="200"/>
              <w:rPr>
                <w:sz w:val="24"/>
              </w:rPr>
            </w:pPr>
            <w:r>
              <w:rPr>
                <w:sz w:val="24"/>
              </w:rPr>
              <w:t>2D2</w:t>
            </w:r>
          </w:p>
        </w:tc>
        <w:tc>
          <w:tcPr>
            <w:tcW w:w="2684" w:type="dxa"/>
            <w:vMerge w:val="restart"/>
          </w:tcPr>
          <w:p>
            <w:pPr>
              <w:pStyle w:val="TableParagraph"/>
              <w:rPr>
                <w:b/>
                <w:sz w:val="26"/>
              </w:rPr>
            </w:pPr>
          </w:p>
          <w:p>
            <w:pPr>
              <w:pStyle w:val="TableParagraph"/>
              <w:spacing w:before="7"/>
              <w:rPr>
                <w:b/>
                <w:sz w:val="22"/>
              </w:rPr>
            </w:pPr>
          </w:p>
          <w:p>
            <w:pPr>
              <w:pStyle w:val="TableParagraph"/>
              <w:ind w:left="216" w:right="192"/>
              <w:jc w:val="center"/>
              <w:rPr>
                <w:sz w:val="24"/>
              </w:rPr>
            </w:pPr>
            <w:r>
              <w:rPr>
                <w:sz w:val="24"/>
              </w:rPr>
              <w:t>Alta</w:t>
            </w:r>
          </w:p>
        </w:tc>
        <w:tc>
          <w:tcPr>
            <w:tcW w:w="3068" w:type="dxa"/>
          </w:tcPr>
          <w:p>
            <w:pPr>
              <w:pStyle w:val="TableParagraph"/>
              <w:spacing w:before="2"/>
              <w:ind w:left="327" w:right="308"/>
              <w:jc w:val="center"/>
              <w:rPr>
                <w:sz w:val="24"/>
              </w:rPr>
            </w:pPr>
            <w:r>
              <w:rPr>
                <w:sz w:val="24"/>
              </w:rPr>
              <w:t>Consumo de Agua</w:t>
            </w:r>
          </w:p>
        </w:tc>
        <w:tc>
          <w:tcPr>
            <w:tcW w:w="2473" w:type="dxa"/>
          </w:tcPr>
          <w:p>
            <w:pPr>
              <w:pStyle w:val="TableParagraph"/>
              <w:spacing w:before="2"/>
              <w:ind w:left="780" w:right="755"/>
              <w:jc w:val="center"/>
              <w:rPr>
                <w:sz w:val="24"/>
              </w:rPr>
            </w:pPr>
            <w:r>
              <w:rPr>
                <w:sz w:val="24"/>
              </w:rPr>
              <w:t>$323.00</w:t>
            </w:r>
          </w:p>
        </w:tc>
      </w:tr>
      <w:tr>
        <w:trPr>
          <w:trHeight w:val="490"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5" w:right="308"/>
              <w:jc w:val="center"/>
              <w:rPr>
                <w:sz w:val="24"/>
              </w:rPr>
            </w:pPr>
            <w:r>
              <w:rPr>
                <w:sz w:val="24"/>
              </w:rPr>
              <w:t>Alcantarillado</w:t>
            </w:r>
          </w:p>
        </w:tc>
        <w:tc>
          <w:tcPr>
            <w:tcW w:w="2473" w:type="dxa"/>
          </w:tcPr>
          <w:p>
            <w:pPr>
              <w:pStyle w:val="TableParagraph"/>
              <w:spacing w:before="2"/>
              <w:ind w:left="780" w:right="755"/>
              <w:jc w:val="center"/>
              <w:rPr>
                <w:sz w:val="24"/>
              </w:rPr>
            </w:pPr>
            <w:r>
              <w:rPr>
                <w:sz w:val="24"/>
              </w:rPr>
              <w:t>$108.00</w:t>
            </w:r>
          </w:p>
        </w:tc>
      </w:tr>
      <w:tr>
        <w:trPr>
          <w:trHeight w:val="488"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ind w:left="327" w:right="307"/>
              <w:jc w:val="center"/>
              <w:rPr>
                <w:sz w:val="24"/>
              </w:rPr>
            </w:pPr>
            <w:r>
              <w:rPr>
                <w:sz w:val="24"/>
              </w:rPr>
              <w:t>Planta de Tratamiento</w:t>
            </w:r>
          </w:p>
        </w:tc>
        <w:tc>
          <w:tcPr>
            <w:tcW w:w="2473" w:type="dxa"/>
          </w:tcPr>
          <w:p>
            <w:pPr>
              <w:pStyle w:val="TableParagraph"/>
              <w:ind w:left="780" w:right="755"/>
              <w:jc w:val="center"/>
              <w:rPr>
                <w:sz w:val="24"/>
              </w:rPr>
            </w:pPr>
            <w:r>
              <w:rPr>
                <w:sz w:val="24"/>
              </w:rPr>
              <w:t>$108.00</w:t>
            </w:r>
          </w:p>
        </w:tc>
      </w:tr>
      <w:tr>
        <w:trPr>
          <w:trHeight w:val="491" w:hRule="atLeast"/>
        </w:trPr>
        <w:tc>
          <w:tcPr>
            <w:tcW w:w="852" w:type="dxa"/>
            <w:vMerge w:val="restart"/>
          </w:tcPr>
          <w:p>
            <w:pPr>
              <w:pStyle w:val="TableParagraph"/>
              <w:rPr>
                <w:b/>
                <w:sz w:val="26"/>
              </w:rPr>
            </w:pPr>
          </w:p>
          <w:p>
            <w:pPr>
              <w:pStyle w:val="TableParagraph"/>
              <w:spacing w:before="7"/>
              <w:rPr>
                <w:b/>
                <w:sz w:val="22"/>
              </w:rPr>
            </w:pPr>
          </w:p>
          <w:p>
            <w:pPr>
              <w:pStyle w:val="TableParagraph"/>
              <w:ind w:left="200"/>
              <w:rPr>
                <w:sz w:val="24"/>
              </w:rPr>
            </w:pPr>
            <w:r>
              <w:rPr>
                <w:sz w:val="24"/>
              </w:rPr>
              <w:t>2D3</w:t>
            </w:r>
          </w:p>
        </w:tc>
        <w:tc>
          <w:tcPr>
            <w:tcW w:w="2684" w:type="dxa"/>
            <w:vMerge w:val="restart"/>
          </w:tcPr>
          <w:p>
            <w:pPr>
              <w:pStyle w:val="TableParagraph"/>
              <w:rPr>
                <w:b/>
                <w:sz w:val="26"/>
              </w:rPr>
            </w:pPr>
          </w:p>
          <w:p>
            <w:pPr>
              <w:pStyle w:val="TableParagraph"/>
              <w:spacing w:before="7"/>
              <w:rPr>
                <w:b/>
                <w:sz w:val="22"/>
              </w:rPr>
            </w:pPr>
          </w:p>
          <w:p>
            <w:pPr>
              <w:pStyle w:val="TableParagraph"/>
              <w:ind w:left="216" w:right="192"/>
              <w:jc w:val="center"/>
              <w:rPr>
                <w:sz w:val="24"/>
              </w:rPr>
            </w:pPr>
            <w:r>
              <w:rPr>
                <w:sz w:val="24"/>
              </w:rPr>
              <w:t>Alta</w:t>
            </w:r>
          </w:p>
        </w:tc>
        <w:tc>
          <w:tcPr>
            <w:tcW w:w="3068" w:type="dxa"/>
          </w:tcPr>
          <w:p>
            <w:pPr>
              <w:pStyle w:val="TableParagraph"/>
              <w:spacing w:before="2"/>
              <w:ind w:left="327" w:right="308"/>
              <w:jc w:val="center"/>
              <w:rPr>
                <w:sz w:val="24"/>
              </w:rPr>
            </w:pPr>
            <w:r>
              <w:rPr>
                <w:sz w:val="24"/>
              </w:rPr>
              <w:t>Consumo de Agua</w:t>
            </w:r>
          </w:p>
        </w:tc>
        <w:tc>
          <w:tcPr>
            <w:tcW w:w="2473" w:type="dxa"/>
          </w:tcPr>
          <w:p>
            <w:pPr>
              <w:pStyle w:val="TableParagraph"/>
              <w:spacing w:before="2"/>
              <w:ind w:left="780" w:right="755"/>
              <w:jc w:val="center"/>
              <w:rPr>
                <w:sz w:val="24"/>
              </w:rPr>
            </w:pPr>
            <w:r>
              <w:rPr>
                <w:sz w:val="24"/>
              </w:rPr>
              <w:t>$484.00</w:t>
            </w:r>
          </w:p>
        </w:tc>
      </w:tr>
      <w:tr>
        <w:trPr>
          <w:trHeight w:val="490"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spacing w:before="2"/>
              <w:ind w:left="325" w:right="308"/>
              <w:jc w:val="center"/>
              <w:rPr>
                <w:sz w:val="24"/>
              </w:rPr>
            </w:pPr>
            <w:r>
              <w:rPr>
                <w:sz w:val="24"/>
              </w:rPr>
              <w:t>Alcantarillado</w:t>
            </w:r>
          </w:p>
        </w:tc>
        <w:tc>
          <w:tcPr>
            <w:tcW w:w="2473" w:type="dxa"/>
          </w:tcPr>
          <w:p>
            <w:pPr>
              <w:pStyle w:val="TableParagraph"/>
              <w:spacing w:before="2"/>
              <w:ind w:left="780" w:right="755"/>
              <w:jc w:val="center"/>
              <w:rPr>
                <w:sz w:val="24"/>
              </w:rPr>
            </w:pPr>
            <w:r>
              <w:rPr>
                <w:sz w:val="24"/>
              </w:rPr>
              <w:t>$161.00</w:t>
            </w:r>
          </w:p>
        </w:tc>
      </w:tr>
      <w:tr>
        <w:trPr>
          <w:trHeight w:val="488" w:hRule="atLeast"/>
        </w:trPr>
        <w:tc>
          <w:tcPr>
            <w:tcW w:w="852" w:type="dxa"/>
            <w:vMerge/>
            <w:tcBorders>
              <w:top w:val="nil"/>
            </w:tcBorders>
          </w:tcPr>
          <w:p>
            <w:pPr>
              <w:rPr>
                <w:sz w:val="2"/>
                <w:szCs w:val="2"/>
              </w:rPr>
            </w:pPr>
          </w:p>
        </w:tc>
        <w:tc>
          <w:tcPr>
            <w:tcW w:w="2684" w:type="dxa"/>
            <w:vMerge/>
            <w:tcBorders>
              <w:top w:val="nil"/>
            </w:tcBorders>
          </w:tcPr>
          <w:p>
            <w:pPr>
              <w:rPr>
                <w:sz w:val="2"/>
                <w:szCs w:val="2"/>
              </w:rPr>
            </w:pPr>
          </w:p>
        </w:tc>
        <w:tc>
          <w:tcPr>
            <w:tcW w:w="3068" w:type="dxa"/>
          </w:tcPr>
          <w:p>
            <w:pPr>
              <w:pStyle w:val="TableParagraph"/>
              <w:ind w:left="327" w:right="308"/>
              <w:jc w:val="center"/>
              <w:rPr>
                <w:sz w:val="24"/>
              </w:rPr>
            </w:pPr>
            <w:r>
              <w:rPr>
                <w:sz w:val="24"/>
              </w:rPr>
              <w:t>Planta de Tratamiento</w:t>
            </w:r>
          </w:p>
        </w:tc>
        <w:tc>
          <w:tcPr>
            <w:tcW w:w="2473" w:type="dxa"/>
          </w:tcPr>
          <w:p>
            <w:pPr>
              <w:pStyle w:val="TableParagraph"/>
              <w:ind w:left="780" w:right="755"/>
              <w:jc w:val="center"/>
              <w:rPr>
                <w:sz w:val="24"/>
              </w:rPr>
            </w:pPr>
            <w:r>
              <w:rPr>
                <w:sz w:val="24"/>
              </w:rPr>
              <w:t>$161.00</w:t>
            </w:r>
          </w:p>
        </w:tc>
      </w:tr>
    </w:tbl>
    <w:p>
      <w:pPr>
        <w:pStyle w:val="BodyText"/>
        <w:spacing w:before="2"/>
        <w:rPr>
          <w:b/>
          <w:sz w:val="16"/>
        </w:rPr>
      </w:pPr>
    </w:p>
    <w:p>
      <w:pPr>
        <w:pStyle w:val="BodyText"/>
        <w:spacing w:before="93"/>
        <w:ind w:left="400" w:right="432"/>
        <w:jc w:val="both"/>
      </w:pPr>
      <w:r>
        <w:rPr/>
        <w:drawing>
          <wp:anchor distT="0" distB="0" distL="0" distR="0" allowOverlap="1" layoutInCell="1" locked="0" behindDoc="1" simplePos="0" relativeHeight="227519488">
            <wp:simplePos x="0" y="0"/>
            <wp:positionH relativeFrom="page">
              <wp:posOffset>1252555</wp:posOffset>
            </wp:positionH>
            <wp:positionV relativeFrom="paragraph">
              <wp:posOffset>-1977188</wp:posOffset>
            </wp:positionV>
            <wp:extent cx="5022641" cy="5144769"/>
            <wp:effectExtent l="0" t="0" r="0" b="0"/>
            <wp:wrapNone/>
            <wp:docPr id="101" name="image46.png"/>
            <wp:cNvGraphicFramePr>
              <a:graphicFrameLocks noChangeAspect="1"/>
            </wp:cNvGraphicFramePr>
            <a:graphic>
              <a:graphicData uri="http://schemas.openxmlformats.org/drawingml/2006/picture">
                <pic:pic>
                  <pic:nvPicPr>
                    <pic:cNvPr id="102" name="image46.png"/>
                    <pic:cNvPicPr/>
                  </pic:nvPicPr>
                  <pic:blipFill>
                    <a:blip r:embed="rId56" cstate="print"/>
                    <a:stretch>
                      <a:fillRect/>
                    </a:stretch>
                  </pic:blipFill>
                  <pic:spPr>
                    <a:xfrm>
                      <a:off x="0" y="0"/>
                      <a:ext cx="5022641" cy="5144769"/>
                    </a:xfrm>
                    <a:prstGeom prst="rect">
                      <a:avLst/>
                    </a:prstGeom>
                  </pic:spPr>
                </pic:pic>
              </a:graphicData>
            </a:graphic>
          </wp:anchor>
        </w:drawing>
      </w:r>
      <w:r>
        <w:rPr/>
        <w:t>Para el caso de derivaciones de casas o departamentos mayores a 3, se cobrará en función a un Sistema Domestico Medido obligatorio, cuyo costo será cubierto por el Usuario. En caso de no poder realizar el pago correspondiente, el Sistema Operador financiará dicha instalación (medidor y accesorios) con cargo al recibo del Usuario.</w:t>
      </w:r>
    </w:p>
    <w:p>
      <w:pPr>
        <w:pStyle w:val="BodyText"/>
      </w:pPr>
    </w:p>
    <w:p>
      <w:pPr>
        <w:pStyle w:val="Heading1"/>
        <w:ind w:left="400"/>
        <w:jc w:val="both"/>
      </w:pPr>
      <w:r>
        <w:rPr/>
        <w:t>Obligación del usuario con servicio medido.</w:t>
      </w:r>
    </w:p>
    <w:p>
      <w:pPr>
        <w:pStyle w:val="BodyText"/>
        <w:rPr>
          <w:b/>
        </w:rPr>
      </w:pPr>
    </w:p>
    <w:p>
      <w:pPr>
        <w:pStyle w:val="BodyText"/>
        <w:ind w:left="400" w:right="432"/>
        <w:jc w:val="both"/>
      </w:pPr>
      <w:r>
        <w:rPr/>
        <w:t>Aquellos Usuarios que cuenten con un aparato de medición de consumo de agua deberán acudir al Sistema Operador y cubrir el costo de la instalación de dicho aparato, de conformidad con lo establecido por los artículos 67 y 88,fracción I, inciso h, de la Ley de Agua Potable y Alcantarillado para el Estado de Nayarit; en caso contrario se presumirá que el Usuario utiliza el agua conforme al máximo del diámetro de la toma y, por consecuencia, se aplicará a dichos Usuarios la tarifa según corresponda a lo aprobado dentro del Plan Tarifario publicado en el Periódico Oficial del Órgano de Gobierno del Estado.</w:t>
      </w:r>
    </w:p>
    <w:p>
      <w:pPr>
        <w:pStyle w:val="BodyText"/>
      </w:pPr>
    </w:p>
    <w:p>
      <w:pPr>
        <w:pStyle w:val="Heading1"/>
        <w:ind w:left="400"/>
        <w:jc w:val="both"/>
      </w:pPr>
      <w:r>
        <w:rPr/>
        <w:t>En caso de descompostura del medidor.</w:t>
      </w:r>
    </w:p>
    <w:p>
      <w:pPr>
        <w:pStyle w:val="BodyText"/>
        <w:spacing w:before="1"/>
        <w:rPr>
          <w:b/>
        </w:rPr>
      </w:pPr>
    </w:p>
    <w:p>
      <w:pPr>
        <w:pStyle w:val="BodyText"/>
        <w:ind w:left="400" w:right="431"/>
        <w:jc w:val="both"/>
      </w:pPr>
      <w:r>
        <w:rPr/>
        <w:t>El medidor contará con una garantía del fabricante por un año, misma que será aplicable siempre y cuando el desperfecto no sea imputable a un mal uso por parte del Usuario o que éste sea bandalizado. El Usuario deberá reportar inmediatamente </w:t>
      </w:r>
      <w:r>
        <w:rPr>
          <w:spacing w:val="4"/>
        </w:rPr>
        <w:t>la </w:t>
      </w:r>
      <w:r>
        <w:rPr/>
        <w:t>descompostura del aparato medidor en las oficinas del Sistema Operador o, en su caso, al lecturista para solicitar su reemplazo e instalación, debiendo cubrir el </w:t>
      </w:r>
      <w:r>
        <w:rPr>
          <w:spacing w:val="2"/>
        </w:rPr>
        <w:t>costo del </w:t>
      </w:r>
      <w:r>
        <w:rPr/>
        <w:t>nuevo </w:t>
      </w:r>
      <w:r>
        <w:rPr>
          <w:spacing w:val="3"/>
        </w:rPr>
        <w:t>medidor </w:t>
      </w:r>
      <w:r>
        <w:rPr/>
        <w:t>y su gasto de instalación, en caso de no ser parte de la garantía. En tanto no </w:t>
      </w:r>
      <w:r>
        <w:rPr>
          <w:spacing w:val="3"/>
        </w:rPr>
        <w:t>sea </w:t>
      </w:r>
      <w:r>
        <w:rPr/>
        <w:t>instalado el  </w:t>
      </w:r>
      <w:r>
        <w:rPr>
          <w:spacing w:val="2"/>
        </w:rPr>
        <w:t>medidor </w:t>
      </w:r>
      <w:r>
        <w:rPr/>
        <w:t>se cobrará en base al promedio de consumo </w:t>
      </w:r>
      <w:r>
        <w:rPr>
          <w:spacing w:val="3"/>
        </w:rPr>
        <w:t>hasta </w:t>
      </w:r>
      <w:r>
        <w:rPr/>
        <w:t>los tres últimos meses inmediatos anteriores en que estuvo funcionando dicho aparato. En caso de no poder realizar el pago correspondiente, el Sistema Operador financiará dicha instalación  (medidor y accesorios) con cargo al recibo </w:t>
      </w:r>
      <w:r>
        <w:rPr>
          <w:spacing w:val="4"/>
        </w:rPr>
        <w:t>del</w:t>
      </w:r>
      <w:r>
        <w:rPr>
          <w:spacing w:val="28"/>
        </w:rPr>
        <w:t> </w:t>
      </w:r>
      <w:r>
        <w:rPr>
          <w:spacing w:val="6"/>
        </w:rPr>
        <w:t>Usuario.</w:t>
      </w:r>
    </w:p>
    <w:p>
      <w:pPr>
        <w:pStyle w:val="BodyText"/>
      </w:pPr>
    </w:p>
    <w:p>
      <w:pPr>
        <w:pStyle w:val="BodyText"/>
        <w:ind w:left="400"/>
        <w:jc w:val="both"/>
      </w:pPr>
      <w:r>
        <w:rPr/>
        <w:t>Una vez tenido un sistema medido no se podrá otorgar una tarifa fija.</w:t>
      </w:r>
    </w:p>
    <w:p>
      <w:pPr>
        <w:spacing w:after="0"/>
        <w:jc w:val="both"/>
        <w:sectPr>
          <w:pgSz w:w="12250" w:h="15850"/>
          <w:pgMar w:header="730" w:footer="0" w:top="1000" w:bottom="280" w:left="860" w:right="820"/>
        </w:sectPr>
      </w:pPr>
    </w:p>
    <w:p>
      <w:pPr>
        <w:pStyle w:val="Heading1"/>
        <w:numPr>
          <w:ilvl w:val="1"/>
          <w:numId w:val="55"/>
        </w:numPr>
        <w:tabs>
          <w:tab w:pos="869" w:val="left" w:leader="none"/>
        </w:tabs>
        <w:spacing w:line="240" w:lineRule="auto" w:before="183" w:after="0"/>
        <w:ind w:left="868" w:right="0" w:hanging="469"/>
        <w:jc w:val="left"/>
      </w:pPr>
      <w:r>
        <w:rPr/>
        <w:t>Tarifas fijas para el servicio comercial con tomas de</w:t>
      </w:r>
      <w:r>
        <w:rPr>
          <w:spacing w:val="-10"/>
        </w:rPr>
        <w:t> </w:t>
      </w:r>
      <w:r>
        <w:rPr/>
        <w:t>13mm.</w:t>
      </w:r>
    </w:p>
    <w:p>
      <w:pPr>
        <w:pStyle w:val="BodyText"/>
        <w:rPr>
          <w:b/>
        </w:rPr>
      </w:pPr>
    </w:p>
    <w:p>
      <w:pPr>
        <w:pStyle w:val="BodyText"/>
        <w:ind w:left="400" w:right="431"/>
        <w:jc w:val="both"/>
      </w:pPr>
      <w:r>
        <w:rPr/>
        <w:t>Los Usuarios que contraten los servicios en inmuebles que no correspondan a casas habitación se sujetarán a lo estipulado en el presente punto.</w:t>
      </w:r>
    </w:p>
    <w:p>
      <w:pPr>
        <w:pStyle w:val="BodyText"/>
      </w:pPr>
    </w:p>
    <w:p>
      <w:pPr>
        <w:pStyle w:val="BodyText"/>
        <w:ind w:left="400" w:right="429"/>
        <w:jc w:val="both"/>
      </w:pPr>
      <w:r>
        <w:rPr/>
        <w:drawing>
          <wp:anchor distT="0" distB="0" distL="0" distR="0" allowOverlap="1" layoutInCell="1" locked="0" behindDoc="1" simplePos="0" relativeHeight="227520512">
            <wp:simplePos x="0" y="0"/>
            <wp:positionH relativeFrom="page">
              <wp:posOffset>1239220</wp:posOffset>
            </wp:positionH>
            <wp:positionV relativeFrom="paragraph">
              <wp:posOffset>417777</wp:posOffset>
            </wp:positionV>
            <wp:extent cx="5022641" cy="5144769"/>
            <wp:effectExtent l="0" t="0" r="0" b="0"/>
            <wp:wrapNone/>
            <wp:docPr id="103" name="image47.png"/>
            <wp:cNvGraphicFramePr>
              <a:graphicFrameLocks noChangeAspect="1"/>
            </wp:cNvGraphicFramePr>
            <a:graphic>
              <a:graphicData uri="http://schemas.openxmlformats.org/drawingml/2006/picture">
                <pic:pic>
                  <pic:nvPicPr>
                    <pic:cNvPr id="104" name="image47.png"/>
                    <pic:cNvPicPr/>
                  </pic:nvPicPr>
                  <pic:blipFill>
                    <a:blip r:embed="rId57" cstate="print"/>
                    <a:stretch>
                      <a:fillRect/>
                    </a:stretch>
                  </pic:blipFill>
                  <pic:spPr>
                    <a:xfrm>
                      <a:off x="0" y="0"/>
                      <a:ext cx="5022641" cy="5144769"/>
                    </a:xfrm>
                    <a:prstGeom prst="rect">
                      <a:avLst/>
                    </a:prstGeom>
                  </pic:spPr>
                </pic:pic>
              </a:graphicData>
            </a:graphic>
          </wp:anchor>
        </w:drawing>
      </w:r>
      <w:r>
        <w:rPr/>
        <w:t>Abarrotes; cómputo y accesorios; mueblerías; aceites y lubricantes; consultorios médicos; ópticas; agencias de seguros; copias fotostáticas; papelerías; agencias de espectáculos; cortinas y alfombras; paquetería; agencias de publicidad; cremerías; peleterías; agencias de viajes; cristales; vidrierías y aluminios; perfumerías; alfombras y accesorios; cibercafés; escritorios públicos; pinturas; solventes e impermeabilizantes; alquiler y venta de ropa de etiqueta; decoración de interiores; productos de plástico; artículos de limpieza; depósitos y expendios de refrescos y cervezas; refaccionarias y accesorios; artículos deportivos; despachos contables; reparación de calzado; artículos desechables; despachos jurídicos; despachos de asesorías y consultorías; sastrerías; artículos para el hogar; distribución de productos del campo; seguridad privada; auto eléctrico; distribución y/o renovación de llantas; azulejos y muebles para baños; dulcerías; servicios de telecomunicaciones; bisuterías; electrónicas; servicios para fiestas; bodegas de almacenamiento; estudios fotográficos; boneterías; expendios de carne de pollo; sombrererías; bordados y venta uniformes; farmacias; talleres de electrodomésticos; boutiques de ropa; ferreterías y materiales de construcción; talleres de mofles y radiadores; talleres de suspensiones; carpinterías; forrajes y pasturas; talleres de tornos; casas de empeño; fruterías; talleres mecánicos; cerería; funerarias (sala de exhibición); taller y venta de bicicletas; cerrajería; herrería; tapicería; cocinas integrales; inmobiliarias; tiendas naturistas; compra y venta de artesanías; joyerías; tlapalerías; compra y venta de artículos de limpieza y para el hogar; jugueterías; venta de accesorios y reparación de motocicletas; compra y venta de desperdicio; librerías; venta de blancos; compra y venta de equipo de audio y sonido; madererías; videoclub; compra y venta de madera y derivados; mercerías; vinaterías; vulcanizadoras; zapaterías; estéticas; talleres de laminado y pintura; estacionamientos públicos; tiendas de venta de telas; y pastelerías.</w:t>
      </w:r>
    </w:p>
    <w:p>
      <w:pPr>
        <w:pStyle w:val="BodyText"/>
        <w:spacing w:before="1"/>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7"/>
        <w:gridCol w:w="1700"/>
        <w:gridCol w:w="1698"/>
        <w:gridCol w:w="1700"/>
      </w:tblGrid>
      <w:tr>
        <w:trPr>
          <w:trHeight w:val="433" w:hRule="atLeast"/>
        </w:trPr>
        <w:tc>
          <w:tcPr>
            <w:tcW w:w="8965" w:type="dxa"/>
            <w:gridSpan w:val="4"/>
          </w:tcPr>
          <w:p>
            <w:pPr>
              <w:pStyle w:val="TableParagraph"/>
              <w:spacing w:before="79"/>
              <w:ind w:left="2885" w:right="2881"/>
              <w:jc w:val="center"/>
              <w:rPr>
                <w:b/>
                <w:sz w:val="24"/>
              </w:rPr>
            </w:pPr>
            <w:r>
              <w:rPr>
                <w:b/>
                <w:sz w:val="24"/>
              </w:rPr>
              <w:t>Actividad Comercial Nivel 3</w:t>
            </w:r>
          </w:p>
        </w:tc>
      </w:tr>
      <w:tr>
        <w:trPr>
          <w:trHeight w:val="453" w:hRule="atLeast"/>
        </w:trPr>
        <w:tc>
          <w:tcPr>
            <w:tcW w:w="3867" w:type="dxa"/>
            <w:vMerge w:val="restart"/>
          </w:tcPr>
          <w:p>
            <w:pPr>
              <w:pStyle w:val="TableParagraph"/>
              <w:rPr>
                <w:rFonts w:ascii="Times New Roman"/>
                <w:sz w:val="24"/>
              </w:rPr>
            </w:pPr>
          </w:p>
        </w:tc>
        <w:tc>
          <w:tcPr>
            <w:tcW w:w="1700" w:type="dxa"/>
          </w:tcPr>
          <w:p>
            <w:pPr>
              <w:pStyle w:val="TableParagraph"/>
              <w:spacing w:before="89"/>
              <w:ind w:left="279" w:right="275"/>
              <w:jc w:val="center"/>
              <w:rPr>
                <w:sz w:val="24"/>
              </w:rPr>
            </w:pPr>
            <w:r>
              <w:rPr>
                <w:sz w:val="24"/>
              </w:rPr>
              <w:t>Zona Baja</w:t>
            </w:r>
          </w:p>
        </w:tc>
        <w:tc>
          <w:tcPr>
            <w:tcW w:w="1698" w:type="dxa"/>
          </w:tcPr>
          <w:p>
            <w:pPr>
              <w:pStyle w:val="TableParagraph"/>
              <w:spacing w:before="89"/>
              <w:ind w:left="193" w:right="187"/>
              <w:jc w:val="center"/>
              <w:rPr>
                <w:sz w:val="24"/>
              </w:rPr>
            </w:pPr>
            <w:r>
              <w:rPr>
                <w:sz w:val="24"/>
              </w:rPr>
              <w:t>Zona Media</w:t>
            </w:r>
          </w:p>
        </w:tc>
        <w:tc>
          <w:tcPr>
            <w:tcW w:w="1700" w:type="dxa"/>
          </w:tcPr>
          <w:p>
            <w:pPr>
              <w:pStyle w:val="TableParagraph"/>
              <w:spacing w:before="89"/>
              <w:ind w:left="277" w:right="275"/>
              <w:jc w:val="center"/>
              <w:rPr>
                <w:sz w:val="24"/>
              </w:rPr>
            </w:pPr>
            <w:r>
              <w:rPr>
                <w:sz w:val="24"/>
              </w:rPr>
              <w:t>Zona Alta</w:t>
            </w:r>
          </w:p>
        </w:tc>
      </w:tr>
      <w:tr>
        <w:trPr>
          <w:trHeight w:val="417" w:hRule="atLeast"/>
        </w:trPr>
        <w:tc>
          <w:tcPr>
            <w:tcW w:w="3867" w:type="dxa"/>
            <w:vMerge/>
            <w:tcBorders>
              <w:top w:val="nil"/>
            </w:tcBorders>
          </w:tcPr>
          <w:p>
            <w:pPr>
              <w:rPr>
                <w:sz w:val="2"/>
                <w:szCs w:val="2"/>
              </w:rPr>
            </w:pPr>
          </w:p>
        </w:tc>
        <w:tc>
          <w:tcPr>
            <w:tcW w:w="1700" w:type="dxa"/>
          </w:tcPr>
          <w:p>
            <w:pPr>
              <w:pStyle w:val="TableParagraph"/>
              <w:spacing w:before="70"/>
              <w:ind w:left="279" w:right="273"/>
              <w:jc w:val="center"/>
              <w:rPr>
                <w:sz w:val="24"/>
              </w:rPr>
            </w:pPr>
            <w:r>
              <w:rPr>
                <w:sz w:val="24"/>
              </w:rPr>
              <w:t>3B</w:t>
            </w:r>
          </w:p>
        </w:tc>
        <w:tc>
          <w:tcPr>
            <w:tcW w:w="1698" w:type="dxa"/>
          </w:tcPr>
          <w:p>
            <w:pPr>
              <w:pStyle w:val="TableParagraph"/>
              <w:spacing w:before="70"/>
              <w:ind w:left="193" w:right="187"/>
              <w:jc w:val="center"/>
              <w:rPr>
                <w:sz w:val="24"/>
              </w:rPr>
            </w:pPr>
            <w:r>
              <w:rPr>
                <w:sz w:val="24"/>
              </w:rPr>
              <w:t>3C</w:t>
            </w:r>
          </w:p>
        </w:tc>
        <w:tc>
          <w:tcPr>
            <w:tcW w:w="1700" w:type="dxa"/>
          </w:tcPr>
          <w:p>
            <w:pPr>
              <w:pStyle w:val="TableParagraph"/>
              <w:spacing w:before="70"/>
              <w:ind w:left="278" w:right="275"/>
              <w:jc w:val="center"/>
              <w:rPr>
                <w:sz w:val="24"/>
              </w:rPr>
            </w:pPr>
            <w:r>
              <w:rPr>
                <w:sz w:val="24"/>
              </w:rPr>
              <w:t>3D</w:t>
            </w:r>
          </w:p>
        </w:tc>
      </w:tr>
      <w:tr>
        <w:trPr>
          <w:trHeight w:val="739" w:hRule="atLeast"/>
        </w:trPr>
        <w:tc>
          <w:tcPr>
            <w:tcW w:w="3867" w:type="dxa"/>
          </w:tcPr>
          <w:p>
            <w:pPr>
              <w:pStyle w:val="TableParagraph"/>
              <w:spacing w:before="230"/>
              <w:ind w:left="730" w:right="724"/>
              <w:jc w:val="center"/>
              <w:rPr>
                <w:sz w:val="24"/>
              </w:rPr>
            </w:pPr>
            <w:r>
              <w:rPr>
                <w:sz w:val="24"/>
              </w:rPr>
              <w:t>Consumo de Agua</w:t>
            </w:r>
          </w:p>
        </w:tc>
        <w:tc>
          <w:tcPr>
            <w:tcW w:w="1700" w:type="dxa"/>
          </w:tcPr>
          <w:p>
            <w:pPr>
              <w:pStyle w:val="TableParagraph"/>
              <w:spacing w:before="230"/>
              <w:ind w:left="218"/>
              <w:rPr>
                <w:sz w:val="24"/>
              </w:rPr>
            </w:pPr>
            <w:r>
              <w:rPr>
                <w:sz w:val="24"/>
              </w:rPr>
              <w:t>86.00 + IVA</w:t>
            </w:r>
          </w:p>
        </w:tc>
        <w:tc>
          <w:tcPr>
            <w:tcW w:w="1698" w:type="dxa"/>
          </w:tcPr>
          <w:p>
            <w:pPr>
              <w:pStyle w:val="TableParagraph"/>
              <w:spacing w:before="230"/>
              <w:ind w:left="150"/>
              <w:rPr>
                <w:sz w:val="24"/>
              </w:rPr>
            </w:pPr>
            <w:r>
              <w:rPr>
                <w:sz w:val="24"/>
              </w:rPr>
              <w:t>136.00 + IVA</w:t>
            </w:r>
          </w:p>
        </w:tc>
        <w:tc>
          <w:tcPr>
            <w:tcW w:w="1700" w:type="dxa"/>
          </w:tcPr>
          <w:p>
            <w:pPr>
              <w:pStyle w:val="TableParagraph"/>
              <w:spacing w:before="230"/>
              <w:ind w:left="149"/>
              <w:rPr>
                <w:sz w:val="24"/>
              </w:rPr>
            </w:pPr>
            <w:r>
              <w:rPr>
                <w:sz w:val="24"/>
              </w:rPr>
              <w:t>168.00 + IVA</w:t>
            </w:r>
          </w:p>
        </w:tc>
      </w:tr>
      <w:tr>
        <w:trPr>
          <w:trHeight w:val="738" w:hRule="atLeast"/>
        </w:trPr>
        <w:tc>
          <w:tcPr>
            <w:tcW w:w="3867" w:type="dxa"/>
          </w:tcPr>
          <w:p>
            <w:pPr>
              <w:pStyle w:val="TableParagraph"/>
              <w:spacing w:before="230"/>
              <w:ind w:left="730" w:right="724"/>
              <w:jc w:val="center"/>
              <w:rPr>
                <w:sz w:val="24"/>
              </w:rPr>
            </w:pPr>
            <w:r>
              <w:rPr>
                <w:sz w:val="24"/>
              </w:rPr>
              <w:t>Alcantarillado</w:t>
            </w:r>
          </w:p>
        </w:tc>
        <w:tc>
          <w:tcPr>
            <w:tcW w:w="1700" w:type="dxa"/>
          </w:tcPr>
          <w:p>
            <w:pPr>
              <w:pStyle w:val="TableParagraph"/>
              <w:spacing w:before="230"/>
              <w:ind w:left="218"/>
              <w:rPr>
                <w:sz w:val="24"/>
              </w:rPr>
            </w:pPr>
            <w:r>
              <w:rPr>
                <w:sz w:val="24"/>
              </w:rPr>
              <w:t>29.00 + IVA</w:t>
            </w:r>
          </w:p>
        </w:tc>
        <w:tc>
          <w:tcPr>
            <w:tcW w:w="1698" w:type="dxa"/>
          </w:tcPr>
          <w:p>
            <w:pPr>
              <w:pStyle w:val="TableParagraph"/>
              <w:spacing w:before="230"/>
              <w:ind w:left="217"/>
              <w:rPr>
                <w:sz w:val="24"/>
              </w:rPr>
            </w:pPr>
            <w:r>
              <w:rPr>
                <w:sz w:val="24"/>
              </w:rPr>
              <w:t>45.00 + IVA</w:t>
            </w:r>
          </w:p>
        </w:tc>
        <w:tc>
          <w:tcPr>
            <w:tcW w:w="1700" w:type="dxa"/>
          </w:tcPr>
          <w:p>
            <w:pPr>
              <w:pStyle w:val="TableParagraph"/>
              <w:spacing w:before="230"/>
              <w:ind w:left="217"/>
              <w:rPr>
                <w:sz w:val="24"/>
              </w:rPr>
            </w:pPr>
            <w:r>
              <w:rPr>
                <w:sz w:val="24"/>
              </w:rPr>
              <w:t>56.00 + IVA</w:t>
            </w:r>
          </w:p>
        </w:tc>
      </w:tr>
      <w:tr>
        <w:trPr>
          <w:trHeight w:val="738" w:hRule="atLeast"/>
        </w:trPr>
        <w:tc>
          <w:tcPr>
            <w:tcW w:w="3867" w:type="dxa"/>
          </w:tcPr>
          <w:p>
            <w:pPr>
              <w:pStyle w:val="TableParagraph"/>
              <w:spacing w:before="233"/>
              <w:ind w:left="730" w:right="724"/>
              <w:jc w:val="center"/>
              <w:rPr>
                <w:sz w:val="24"/>
              </w:rPr>
            </w:pPr>
            <w:r>
              <w:rPr>
                <w:sz w:val="24"/>
              </w:rPr>
              <w:t>Planta de Tratamiento</w:t>
            </w:r>
          </w:p>
        </w:tc>
        <w:tc>
          <w:tcPr>
            <w:tcW w:w="1700" w:type="dxa"/>
          </w:tcPr>
          <w:p>
            <w:pPr>
              <w:pStyle w:val="TableParagraph"/>
              <w:spacing w:before="233"/>
              <w:ind w:left="218"/>
              <w:rPr>
                <w:sz w:val="24"/>
              </w:rPr>
            </w:pPr>
            <w:r>
              <w:rPr>
                <w:sz w:val="24"/>
              </w:rPr>
              <w:t>29.00 + IVA</w:t>
            </w:r>
          </w:p>
        </w:tc>
        <w:tc>
          <w:tcPr>
            <w:tcW w:w="1698" w:type="dxa"/>
          </w:tcPr>
          <w:p>
            <w:pPr>
              <w:pStyle w:val="TableParagraph"/>
              <w:spacing w:before="233"/>
              <w:ind w:left="217"/>
              <w:rPr>
                <w:sz w:val="24"/>
              </w:rPr>
            </w:pPr>
            <w:r>
              <w:rPr>
                <w:sz w:val="24"/>
              </w:rPr>
              <w:t>45.00 + IVA</w:t>
            </w:r>
          </w:p>
        </w:tc>
        <w:tc>
          <w:tcPr>
            <w:tcW w:w="1700" w:type="dxa"/>
          </w:tcPr>
          <w:p>
            <w:pPr>
              <w:pStyle w:val="TableParagraph"/>
              <w:spacing w:before="233"/>
              <w:ind w:left="217"/>
              <w:rPr>
                <w:sz w:val="24"/>
              </w:rPr>
            </w:pPr>
            <w:r>
              <w:rPr>
                <w:sz w:val="24"/>
              </w:rPr>
              <w:t>56.00 + IVA</w:t>
            </w:r>
          </w:p>
        </w:tc>
      </w:tr>
    </w:tbl>
    <w:p>
      <w:pPr>
        <w:pStyle w:val="BodyText"/>
      </w:pPr>
    </w:p>
    <w:p>
      <w:pPr>
        <w:pStyle w:val="BodyText"/>
        <w:ind w:left="400" w:right="431"/>
        <w:jc w:val="both"/>
      </w:pPr>
      <w:r>
        <w:rPr/>
        <w:t>Acuarios y accesorios; iglesias; blockeras; taquerías, cafetería y lonchería; tiendas de conveniencia; carnicerías; minisúper; serigrafías; tortillerías; clínicas veterinarias; oficinas administrativas; venta de gas LP; cocinas económicas; compra y venta de autos usados; panaderías; peluquerías y barberías; distribuidoras de cervezas; pollerías; salones de belleza; servicios de análisis clínicos; florerías; planchadurías; y rosticerías.</w:t>
      </w:r>
    </w:p>
    <w:p>
      <w:pPr>
        <w:spacing w:after="0"/>
        <w:jc w:val="both"/>
        <w:sectPr>
          <w:pgSz w:w="12250" w:h="15850"/>
          <w:pgMar w:header="730" w:footer="0" w:top="1000" w:bottom="280" w:left="860" w:right="820"/>
        </w:sectPr>
      </w:pPr>
    </w:p>
    <w:p>
      <w:pPr>
        <w:pStyle w:val="BodyText"/>
        <w:spacing w:before="1"/>
        <w:rPr>
          <w:sz w:val="17"/>
        </w:rPr>
      </w:pPr>
    </w:p>
    <w:tbl>
      <w:tblPr>
        <w:tblW w:w="0" w:type="auto"/>
        <w:jc w:val="left"/>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9"/>
        <w:gridCol w:w="1698"/>
        <w:gridCol w:w="1701"/>
        <w:gridCol w:w="1698"/>
      </w:tblGrid>
      <w:tr>
        <w:trPr>
          <w:trHeight w:val="420" w:hRule="atLeast"/>
        </w:trPr>
        <w:tc>
          <w:tcPr>
            <w:tcW w:w="8986" w:type="dxa"/>
            <w:gridSpan w:val="4"/>
          </w:tcPr>
          <w:p>
            <w:pPr>
              <w:pStyle w:val="TableParagraph"/>
              <w:spacing w:line="256" w:lineRule="exact" w:before="144"/>
              <w:ind w:left="2893" w:right="2894"/>
              <w:jc w:val="center"/>
              <w:rPr>
                <w:b/>
                <w:sz w:val="24"/>
              </w:rPr>
            </w:pPr>
            <w:r>
              <w:rPr>
                <w:b/>
                <w:sz w:val="24"/>
              </w:rPr>
              <w:t>Actividad Comercial Nivel 4</w:t>
            </w:r>
          </w:p>
        </w:tc>
      </w:tr>
      <w:tr>
        <w:trPr>
          <w:trHeight w:val="738" w:hRule="atLeast"/>
        </w:trPr>
        <w:tc>
          <w:tcPr>
            <w:tcW w:w="3889" w:type="dxa"/>
            <w:vMerge w:val="restart"/>
          </w:tcPr>
          <w:p>
            <w:pPr>
              <w:pStyle w:val="TableParagraph"/>
              <w:rPr>
                <w:rFonts w:ascii="Times New Roman"/>
                <w:sz w:val="24"/>
              </w:rPr>
            </w:pPr>
          </w:p>
        </w:tc>
        <w:tc>
          <w:tcPr>
            <w:tcW w:w="1698" w:type="dxa"/>
          </w:tcPr>
          <w:p>
            <w:pPr>
              <w:pStyle w:val="TableParagraph"/>
              <w:spacing w:before="233"/>
              <w:ind w:left="187" w:right="187"/>
              <w:jc w:val="center"/>
              <w:rPr>
                <w:sz w:val="24"/>
              </w:rPr>
            </w:pPr>
            <w:r>
              <w:rPr>
                <w:sz w:val="24"/>
              </w:rPr>
              <w:t>Zona Baja</w:t>
            </w:r>
          </w:p>
        </w:tc>
        <w:tc>
          <w:tcPr>
            <w:tcW w:w="1701" w:type="dxa"/>
          </w:tcPr>
          <w:p>
            <w:pPr>
              <w:pStyle w:val="TableParagraph"/>
              <w:spacing w:before="233"/>
              <w:ind w:left="212"/>
              <w:rPr>
                <w:sz w:val="24"/>
              </w:rPr>
            </w:pPr>
            <w:r>
              <w:rPr>
                <w:sz w:val="24"/>
              </w:rPr>
              <w:t>Zona Media</w:t>
            </w:r>
          </w:p>
        </w:tc>
        <w:tc>
          <w:tcPr>
            <w:tcW w:w="1698" w:type="dxa"/>
          </w:tcPr>
          <w:p>
            <w:pPr>
              <w:pStyle w:val="TableParagraph"/>
              <w:spacing w:before="233"/>
              <w:ind w:left="186" w:right="187"/>
              <w:jc w:val="center"/>
              <w:rPr>
                <w:sz w:val="24"/>
              </w:rPr>
            </w:pPr>
            <w:r>
              <w:rPr>
                <w:sz w:val="24"/>
              </w:rPr>
              <w:t>Zona Alta</w:t>
            </w:r>
          </w:p>
        </w:tc>
      </w:tr>
      <w:tr>
        <w:trPr>
          <w:trHeight w:val="738" w:hRule="atLeast"/>
        </w:trPr>
        <w:tc>
          <w:tcPr>
            <w:tcW w:w="3889" w:type="dxa"/>
            <w:vMerge/>
            <w:tcBorders>
              <w:top w:val="nil"/>
            </w:tcBorders>
          </w:tcPr>
          <w:p>
            <w:pPr>
              <w:rPr>
                <w:sz w:val="2"/>
                <w:szCs w:val="2"/>
              </w:rPr>
            </w:pPr>
          </w:p>
        </w:tc>
        <w:tc>
          <w:tcPr>
            <w:tcW w:w="1698" w:type="dxa"/>
          </w:tcPr>
          <w:p>
            <w:pPr>
              <w:pStyle w:val="TableParagraph"/>
              <w:spacing w:before="233"/>
              <w:ind w:left="189" w:right="187"/>
              <w:jc w:val="center"/>
              <w:rPr>
                <w:sz w:val="24"/>
              </w:rPr>
            </w:pPr>
            <w:r>
              <w:rPr>
                <w:sz w:val="24"/>
              </w:rPr>
              <w:t>4B</w:t>
            </w:r>
          </w:p>
        </w:tc>
        <w:tc>
          <w:tcPr>
            <w:tcW w:w="1701" w:type="dxa"/>
          </w:tcPr>
          <w:p>
            <w:pPr>
              <w:pStyle w:val="TableParagraph"/>
              <w:spacing w:before="233"/>
              <w:ind w:left="672" w:right="671"/>
              <w:jc w:val="center"/>
              <w:rPr>
                <w:sz w:val="24"/>
              </w:rPr>
            </w:pPr>
            <w:r>
              <w:rPr>
                <w:sz w:val="24"/>
              </w:rPr>
              <w:t>4C</w:t>
            </w:r>
          </w:p>
        </w:tc>
        <w:tc>
          <w:tcPr>
            <w:tcW w:w="1698" w:type="dxa"/>
          </w:tcPr>
          <w:p>
            <w:pPr>
              <w:pStyle w:val="TableParagraph"/>
              <w:spacing w:before="233"/>
              <w:ind w:left="187" w:right="187"/>
              <w:jc w:val="center"/>
              <w:rPr>
                <w:sz w:val="24"/>
              </w:rPr>
            </w:pPr>
            <w:r>
              <w:rPr>
                <w:sz w:val="24"/>
              </w:rPr>
              <w:t>4D</w:t>
            </w:r>
          </w:p>
        </w:tc>
      </w:tr>
      <w:tr>
        <w:trPr>
          <w:trHeight w:val="738" w:hRule="atLeast"/>
        </w:trPr>
        <w:tc>
          <w:tcPr>
            <w:tcW w:w="3889" w:type="dxa"/>
          </w:tcPr>
          <w:p>
            <w:pPr>
              <w:pStyle w:val="TableParagraph"/>
              <w:spacing w:before="233"/>
              <w:ind w:left="740" w:right="735"/>
              <w:jc w:val="center"/>
              <w:rPr>
                <w:sz w:val="24"/>
              </w:rPr>
            </w:pPr>
            <w:r>
              <w:rPr>
                <w:sz w:val="24"/>
              </w:rPr>
              <w:t>Consumo de Agua</w:t>
            </w:r>
          </w:p>
        </w:tc>
        <w:tc>
          <w:tcPr>
            <w:tcW w:w="1698" w:type="dxa"/>
          </w:tcPr>
          <w:p>
            <w:pPr>
              <w:pStyle w:val="TableParagraph"/>
              <w:spacing w:before="233"/>
              <w:ind w:left="148"/>
              <w:rPr>
                <w:sz w:val="24"/>
              </w:rPr>
            </w:pPr>
            <w:r>
              <w:rPr>
                <w:sz w:val="24"/>
              </w:rPr>
              <w:t>176.00 + IVA</w:t>
            </w:r>
          </w:p>
        </w:tc>
        <w:tc>
          <w:tcPr>
            <w:tcW w:w="1701" w:type="dxa"/>
          </w:tcPr>
          <w:p>
            <w:pPr>
              <w:pStyle w:val="TableParagraph"/>
              <w:spacing w:before="233"/>
              <w:ind w:left="149"/>
              <w:rPr>
                <w:sz w:val="24"/>
              </w:rPr>
            </w:pPr>
            <w:r>
              <w:rPr>
                <w:sz w:val="24"/>
              </w:rPr>
              <w:t>230.00 + IVA</w:t>
            </w:r>
          </w:p>
        </w:tc>
        <w:tc>
          <w:tcPr>
            <w:tcW w:w="1698" w:type="dxa"/>
          </w:tcPr>
          <w:p>
            <w:pPr>
              <w:pStyle w:val="TableParagraph"/>
              <w:spacing w:before="233"/>
              <w:ind w:left="146"/>
              <w:rPr>
                <w:sz w:val="24"/>
              </w:rPr>
            </w:pPr>
            <w:r>
              <w:rPr>
                <w:sz w:val="24"/>
              </w:rPr>
              <w:t>298.00 + IVA</w:t>
            </w:r>
          </w:p>
        </w:tc>
      </w:tr>
      <w:tr>
        <w:trPr>
          <w:trHeight w:val="738" w:hRule="atLeast"/>
        </w:trPr>
        <w:tc>
          <w:tcPr>
            <w:tcW w:w="3889" w:type="dxa"/>
          </w:tcPr>
          <w:p>
            <w:pPr>
              <w:pStyle w:val="TableParagraph"/>
              <w:spacing w:before="233"/>
              <w:ind w:left="740" w:right="736"/>
              <w:jc w:val="center"/>
              <w:rPr>
                <w:sz w:val="24"/>
              </w:rPr>
            </w:pPr>
            <w:r>
              <w:rPr>
                <w:sz w:val="24"/>
              </w:rPr>
              <w:t>Alcantarillado</w:t>
            </w:r>
          </w:p>
        </w:tc>
        <w:tc>
          <w:tcPr>
            <w:tcW w:w="1698" w:type="dxa"/>
          </w:tcPr>
          <w:p>
            <w:pPr>
              <w:pStyle w:val="TableParagraph"/>
              <w:spacing w:before="233"/>
              <w:ind w:left="215"/>
              <w:rPr>
                <w:sz w:val="24"/>
              </w:rPr>
            </w:pPr>
            <w:r>
              <w:rPr>
                <w:sz w:val="24"/>
              </w:rPr>
              <w:t>59.00 + IVA</w:t>
            </w:r>
          </w:p>
        </w:tc>
        <w:tc>
          <w:tcPr>
            <w:tcW w:w="1701" w:type="dxa"/>
          </w:tcPr>
          <w:p>
            <w:pPr>
              <w:pStyle w:val="TableParagraph"/>
              <w:spacing w:before="233"/>
              <w:ind w:left="216"/>
              <w:rPr>
                <w:sz w:val="24"/>
              </w:rPr>
            </w:pPr>
            <w:r>
              <w:rPr>
                <w:sz w:val="24"/>
              </w:rPr>
              <w:t>77.00 + IVA</w:t>
            </w:r>
          </w:p>
        </w:tc>
        <w:tc>
          <w:tcPr>
            <w:tcW w:w="1698" w:type="dxa"/>
          </w:tcPr>
          <w:p>
            <w:pPr>
              <w:pStyle w:val="TableParagraph"/>
              <w:spacing w:before="233"/>
              <w:ind w:left="213"/>
              <w:rPr>
                <w:sz w:val="24"/>
              </w:rPr>
            </w:pPr>
            <w:r>
              <w:rPr>
                <w:sz w:val="24"/>
              </w:rPr>
              <w:t>99.00 + IVA</w:t>
            </w:r>
          </w:p>
        </w:tc>
      </w:tr>
      <w:tr>
        <w:trPr>
          <w:trHeight w:val="741" w:hRule="atLeast"/>
        </w:trPr>
        <w:tc>
          <w:tcPr>
            <w:tcW w:w="3889" w:type="dxa"/>
          </w:tcPr>
          <w:p>
            <w:pPr>
              <w:pStyle w:val="TableParagraph"/>
              <w:spacing w:before="233"/>
              <w:ind w:left="740" w:right="737"/>
              <w:jc w:val="center"/>
              <w:rPr>
                <w:sz w:val="24"/>
              </w:rPr>
            </w:pPr>
            <w:r>
              <w:rPr>
                <w:sz w:val="24"/>
              </w:rPr>
              <w:t>Planta de Tratamiento</w:t>
            </w:r>
          </w:p>
        </w:tc>
        <w:tc>
          <w:tcPr>
            <w:tcW w:w="1698" w:type="dxa"/>
          </w:tcPr>
          <w:p>
            <w:pPr>
              <w:pStyle w:val="TableParagraph"/>
              <w:spacing w:before="233"/>
              <w:ind w:left="215"/>
              <w:rPr>
                <w:sz w:val="24"/>
              </w:rPr>
            </w:pPr>
            <w:r>
              <w:rPr>
                <w:sz w:val="24"/>
              </w:rPr>
              <w:t>59.00 + IVA</w:t>
            </w:r>
          </w:p>
        </w:tc>
        <w:tc>
          <w:tcPr>
            <w:tcW w:w="1701" w:type="dxa"/>
          </w:tcPr>
          <w:p>
            <w:pPr>
              <w:pStyle w:val="TableParagraph"/>
              <w:spacing w:before="233"/>
              <w:ind w:left="216"/>
              <w:rPr>
                <w:sz w:val="24"/>
              </w:rPr>
            </w:pPr>
            <w:r>
              <w:rPr>
                <w:sz w:val="24"/>
              </w:rPr>
              <w:t>77.00 + IVA</w:t>
            </w:r>
          </w:p>
        </w:tc>
        <w:tc>
          <w:tcPr>
            <w:tcW w:w="1698" w:type="dxa"/>
          </w:tcPr>
          <w:p>
            <w:pPr>
              <w:pStyle w:val="TableParagraph"/>
              <w:spacing w:before="233"/>
              <w:ind w:left="213"/>
              <w:rPr>
                <w:sz w:val="24"/>
              </w:rPr>
            </w:pPr>
            <w:r>
              <w:rPr>
                <w:sz w:val="24"/>
              </w:rPr>
              <w:t>99.00 + IVA</w:t>
            </w:r>
          </w:p>
        </w:tc>
      </w:tr>
    </w:tbl>
    <w:p>
      <w:pPr>
        <w:pStyle w:val="BodyText"/>
        <w:rPr>
          <w:sz w:val="16"/>
        </w:rPr>
      </w:pPr>
    </w:p>
    <w:p>
      <w:pPr>
        <w:pStyle w:val="BodyText"/>
        <w:spacing w:before="92"/>
        <w:ind w:left="400"/>
        <w:jc w:val="both"/>
      </w:pPr>
      <w:r>
        <w:rPr/>
        <w:drawing>
          <wp:anchor distT="0" distB="0" distL="0" distR="0" allowOverlap="1" layoutInCell="1" locked="0" behindDoc="1" simplePos="0" relativeHeight="227521536">
            <wp:simplePos x="0" y="0"/>
            <wp:positionH relativeFrom="page">
              <wp:posOffset>1252555</wp:posOffset>
            </wp:positionH>
            <wp:positionV relativeFrom="paragraph">
              <wp:posOffset>-1490143</wp:posOffset>
            </wp:positionV>
            <wp:extent cx="5022641" cy="5144769"/>
            <wp:effectExtent l="0" t="0" r="0" b="0"/>
            <wp:wrapNone/>
            <wp:docPr id="105" name="image48.png"/>
            <wp:cNvGraphicFramePr>
              <a:graphicFrameLocks noChangeAspect="1"/>
            </wp:cNvGraphicFramePr>
            <a:graphic>
              <a:graphicData uri="http://schemas.openxmlformats.org/drawingml/2006/picture">
                <pic:pic>
                  <pic:nvPicPr>
                    <pic:cNvPr id="106" name="image48.png"/>
                    <pic:cNvPicPr/>
                  </pic:nvPicPr>
                  <pic:blipFill>
                    <a:blip r:embed="rId58" cstate="print"/>
                    <a:stretch>
                      <a:fillRect/>
                    </a:stretch>
                  </pic:blipFill>
                  <pic:spPr>
                    <a:xfrm>
                      <a:off x="0" y="0"/>
                      <a:ext cx="5022641" cy="5144769"/>
                    </a:xfrm>
                    <a:prstGeom prst="rect">
                      <a:avLst/>
                    </a:prstGeom>
                  </pic:spPr>
                </pic:pic>
              </a:graphicData>
            </a:graphic>
          </wp:anchor>
        </w:drawing>
      </w:r>
      <w:r>
        <w:rPr/>
        <w:t>Escuelas; guarderías; internados; asilos y orfanatos públicos.</w:t>
      </w:r>
    </w:p>
    <w:p>
      <w:pPr>
        <w:pStyle w:val="BodyText"/>
      </w:pPr>
    </w:p>
    <w:tbl>
      <w:tblPr>
        <w:tblW w:w="0" w:type="auto"/>
        <w:jc w:val="left"/>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3"/>
        <w:gridCol w:w="1419"/>
        <w:gridCol w:w="1416"/>
        <w:gridCol w:w="1558"/>
        <w:gridCol w:w="1417"/>
        <w:gridCol w:w="1349"/>
      </w:tblGrid>
      <w:tr>
        <w:trPr>
          <w:trHeight w:val="419" w:hRule="atLeast"/>
        </w:trPr>
        <w:tc>
          <w:tcPr>
            <w:tcW w:w="8942" w:type="dxa"/>
            <w:gridSpan w:val="6"/>
          </w:tcPr>
          <w:p>
            <w:pPr>
              <w:pStyle w:val="TableParagraph"/>
              <w:spacing w:line="255" w:lineRule="exact" w:before="144"/>
              <w:ind w:left="2824" w:right="2825"/>
              <w:jc w:val="center"/>
              <w:rPr>
                <w:b/>
                <w:sz w:val="24"/>
              </w:rPr>
            </w:pPr>
            <w:r>
              <w:rPr>
                <w:b/>
                <w:sz w:val="24"/>
              </w:rPr>
              <w:t>Actividad Escuelas Públicas</w:t>
            </w:r>
          </w:p>
        </w:tc>
      </w:tr>
      <w:tr>
        <w:trPr>
          <w:trHeight w:val="738" w:hRule="atLeast"/>
        </w:trPr>
        <w:tc>
          <w:tcPr>
            <w:tcW w:w="1783" w:type="dxa"/>
            <w:vMerge w:val="restart"/>
          </w:tcPr>
          <w:p>
            <w:pPr>
              <w:pStyle w:val="TableParagraph"/>
              <w:rPr>
                <w:rFonts w:ascii="Times New Roman"/>
                <w:sz w:val="24"/>
              </w:rPr>
            </w:pPr>
          </w:p>
        </w:tc>
        <w:tc>
          <w:tcPr>
            <w:tcW w:w="1419" w:type="dxa"/>
          </w:tcPr>
          <w:p>
            <w:pPr>
              <w:pStyle w:val="TableParagraph"/>
              <w:spacing w:before="230"/>
              <w:ind w:left="115" w:right="105"/>
              <w:jc w:val="center"/>
              <w:rPr>
                <w:sz w:val="24"/>
              </w:rPr>
            </w:pPr>
            <w:r>
              <w:rPr>
                <w:sz w:val="24"/>
              </w:rPr>
              <w:t>Preescolar</w:t>
            </w:r>
          </w:p>
        </w:tc>
        <w:tc>
          <w:tcPr>
            <w:tcW w:w="1416" w:type="dxa"/>
            <w:tcBorders>
              <w:right w:val="single" w:sz="6" w:space="0" w:color="000000"/>
            </w:tcBorders>
          </w:tcPr>
          <w:p>
            <w:pPr>
              <w:pStyle w:val="TableParagraph"/>
              <w:spacing w:before="230"/>
              <w:ind w:left="239" w:right="231"/>
              <w:jc w:val="center"/>
              <w:rPr>
                <w:sz w:val="24"/>
              </w:rPr>
            </w:pPr>
            <w:r>
              <w:rPr>
                <w:sz w:val="24"/>
              </w:rPr>
              <w:t>Primaria</w:t>
            </w:r>
          </w:p>
        </w:tc>
        <w:tc>
          <w:tcPr>
            <w:tcW w:w="1558" w:type="dxa"/>
            <w:tcBorders>
              <w:left w:val="single" w:sz="6" w:space="0" w:color="000000"/>
            </w:tcBorders>
          </w:tcPr>
          <w:p>
            <w:pPr>
              <w:pStyle w:val="TableParagraph"/>
              <w:spacing w:before="230"/>
              <w:ind w:left="57" w:right="52"/>
              <w:jc w:val="center"/>
              <w:rPr>
                <w:sz w:val="24"/>
              </w:rPr>
            </w:pPr>
            <w:r>
              <w:rPr>
                <w:sz w:val="24"/>
              </w:rPr>
              <w:t>Secundaria</w:t>
            </w:r>
          </w:p>
        </w:tc>
        <w:tc>
          <w:tcPr>
            <w:tcW w:w="1417" w:type="dxa"/>
          </w:tcPr>
          <w:p>
            <w:pPr>
              <w:pStyle w:val="TableParagraph"/>
              <w:ind w:left="254" w:right="225" w:firstLine="124"/>
              <w:rPr>
                <w:sz w:val="24"/>
              </w:rPr>
            </w:pPr>
            <w:r>
              <w:rPr>
                <w:sz w:val="24"/>
              </w:rPr>
              <w:t>Media Superior</w:t>
            </w:r>
          </w:p>
        </w:tc>
        <w:tc>
          <w:tcPr>
            <w:tcW w:w="1349" w:type="dxa"/>
          </w:tcPr>
          <w:p>
            <w:pPr>
              <w:pStyle w:val="TableParagraph"/>
              <w:ind w:left="200" w:right="190"/>
              <w:jc w:val="center"/>
              <w:rPr>
                <w:sz w:val="24"/>
              </w:rPr>
            </w:pPr>
            <w:r>
              <w:rPr>
                <w:sz w:val="24"/>
              </w:rPr>
              <w:t>Superior</w:t>
            </w:r>
          </w:p>
        </w:tc>
      </w:tr>
      <w:tr>
        <w:trPr>
          <w:trHeight w:val="739" w:hRule="atLeast"/>
        </w:trPr>
        <w:tc>
          <w:tcPr>
            <w:tcW w:w="1783" w:type="dxa"/>
            <w:vMerge/>
            <w:tcBorders>
              <w:top w:val="nil"/>
            </w:tcBorders>
          </w:tcPr>
          <w:p>
            <w:pPr>
              <w:rPr>
                <w:sz w:val="2"/>
                <w:szCs w:val="2"/>
              </w:rPr>
            </w:pPr>
          </w:p>
        </w:tc>
        <w:tc>
          <w:tcPr>
            <w:tcW w:w="1419" w:type="dxa"/>
          </w:tcPr>
          <w:p>
            <w:pPr>
              <w:pStyle w:val="TableParagraph"/>
              <w:spacing w:before="230"/>
              <w:ind w:left="115" w:right="105"/>
              <w:jc w:val="center"/>
              <w:rPr>
                <w:sz w:val="24"/>
              </w:rPr>
            </w:pPr>
            <w:r>
              <w:rPr>
                <w:sz w:val="24"/>
              </w:rPr>
              <w:t>4B</w:t>
            </w:r>
          </w:p>
        </w:tc>
        <w:tc>
          <w:tcPr>
            <w:tcW w:w="1416" w:type="dxa"/>
            <w:tcBorders>
              <w:right w:val="single" w:sz="6" w:space="0" w:color="000000"/>
            </w:tcBorders>
          </w:tcPr>
          <w:p>
            <w:pPr>
              <w:pStyle w:val="TableParagraph"/>
              <w:spacing w:before="230"/>
              <w:ind w:left="239" w:right="231"/>
              <w:jc w:val="center"/>
              <w:rPr>
                <w:sz w:val="24"/>
              </w:rPr>
            </w:pPr>
            <w:r>
              <w:rPr>
                <w:sz w:val="24"/>
              </w:rPr>
              <w:t>4C</w:t>
            </w:r>
          </w:p>
        </w:tc>
        <w:tc>
          <w:tcPr>
            <w:tcW w:w="1558" w:type="dxa"/>
            <w:tcBorders>
              <w:left w:val="single" w:sz="6" w:space="0" w:color="000000"/>
            </w:tcBorders>
          </w:tcPr>
          <w:p>
            <w:pPr>
              <w:pStyle w:val="TableParagraph"/>
              <w:spacing w:before="230"/>
              <w:ind w:left="57" w:right="51"/>
              <w:jc w:val="center"/>
              <w:rPr>
                <w:sz w:val="24"/>
              </w:rPr>
            </w:pPr>
            <w:r>
              <w:rPr>
                <w:sz w:val="24"/>
              </w:rPr>
              <w:t>4D</w:t>
            </w:r>
          </w:p>
        </w:tc>
        <w:tc>
          <w:tcPr>
            <w:tcW w:w="1417" w:type="dxa"/>
          </w:tcPr>
          <w:p>
            <w:pPr>
              <w:pStyle w:val="TableParagraph"/>
              <w:spacing w:before="230"/>
              <w:ind w:left="507" w:right="498"/>
              <w:jc w:val="center"/>
              <w:rPr>
                <w:sz w:val="24"/>
              </w:rPr>
            </w:pPr>
            <w:r>
              <w:rPr>
                <w:sz w:val="24"/>
              </w:rPr>
              <w:t>6 A</w:t>
            </w:r>
          </w:p>
        </w:tc>
        <w:tc>
          <w:tcPr>
            <w:tcW w:w="1349" w:type="dxa"/>
          </w:tcPr>
          <w:p>
            <w:pPr>
              <w:pStyle w:val="TableParagraph"/>
              <w:spacing w:before="230"/>
              <w:ind w:left="199" w:right="190"/>
              <w:jc w:val="center"/>
              <w:rPr>
                <w:sz w:val="24"/>
              </w:rPr>
            </w:pPr>
            <w:r>
              <w:rPr>
                <w:sz w:val="24"/>
              </w:rPr>
              <w:t>7 A</w:t>
            </w:r>
          </w:p>
        </w:tc>
      </w:tr>
      <w:tr>
        <w:trPr>
          <w:trHeight w:val="738" w:hRule="atLeast"/>
        </w:trPr>
        <w:tc>
          <w:tcPr>
            <w:tcW w:w="1783" w:type="dxa"/>
          </w:tcPr>
          <w:p>
            <w:pPr>
              <w:pStyle w:val="TableParagraph"/>
              <w:spacing w:before="94"/>
              <w:ind w:left="609" w:right="184" w:hanging="401"/>
              <w:rPr>
                <w:sz w:val="24"/>
              </w:rPr>
            </w:pPr>
            <w:r>
              <w:rPr>
                <w:sz w:val="24"/>
              </w:rPr>
              <w:t>Consumo de Agua</w:t>
            </w:r>
          </w:p>
        </w:tc>
        <w:tc>
          <w:tcPr>
            <w:tcW w:w="1419" w:type="dxa"/>
          </w:tcPr>
          <w:p>
            <w:pPr>
              <w:pStyle w:val="TableParagraph"/>
              <w:spacing w:before="94"/>
              <w:ind w:left="514" w:right="144" w:hanging="344"/>
              <w:rPr>
                <w:sz w:val="24"/>
              </w:rPr>
            </w:pPr>
            <w:r>
              <w:rPr>
                <w:sz w:val="24"/>
              </w:rPr>
              <w:t>$176.00 + IVA</w:t>
            </w:r>
          </w:p>
        </w:tc>
        <w:tc>
          <w:tcPr>
            <w:tcW w:w="1416" w:type="dxa"/>
            <w:tcBorders>
              <w:right w:val="single" w:sz="6" w:space="0" w:color="000000"/>
            </w:tcBorders>
          </w:tcPr>
          <w:p>
            <w:pPr>
              <w:pStyle w:val="TableParagraph"/>
              <w:spacing w:before="94"/>
              <w:ind w:left="511" w:right="142" w:hanging="344"/>
              <w:rPr>
                <w:sz w:val="24"/>
              </w:rPr>
            </w:pPr>
            <w:r>
              <w:rPr>
                <w:sz w:val="24"/>
              </w:rPr>
              <w:t>$230.00 + IVA</w:t>
            </w:r>
          </w:p>
        </w:tc>
        <w:tc>
          <w:tcPr>
            <w:tcW w:w="1558" w:type="dxa"/>
            <w:tcBorders>
              <w:left w:val="single" w:sz="6" w:space="0" w:color="000000"/>
            </w:tcBorders>
          </w:tcPr>
          <w:p>
            <w:pPr>
              <w:pStyle w:val="TableParagraph"/>
              <w:spacing w:before="94"/>
              <w:ind w:left="581" w:right="214" w:hanging="344"/>
              <w:rPr>
                <w:sz w:val="24"/>
              </w:rPr>
            </w:pPr>
            <w:r>
              <w:rPr>
                <w:sz w:val="24"/>
              </w:rPr>
              <w:t>$298.00 + IVA</w:t>
            </w:r>
          </w:p>
        </w:tc>
        <w:tc>
          <w:tcPr>
            <w:tcW w:w="1417" w:type="dxa"/>
          </w:tcPr>
          <w:p>
            <w:pPr>
              <w:pStyle w:val="TableParagraph"/>
              <w:ind w:left="69" w:right="243"/>
              <w:rPr>
                <w:sz w:val="24"/>
              </w:rPr>
            </w:pPr>
            <w:r>
              <w:rPr>
                <w:sz w:val="24"/>
              </w:rPr>
              <w:t>$897.00 + IVA</w:t>
            </w:r>
          </w:p>
        </w:tc>
        <w:tc>
          <w:tcPr>
            <w:tcW w:w="1349" w:type="dxa"/>
          </w:tcPr>
          <w:p>
            <w:pPr>
              <w:pStyle w:val="TableParagraph"/>
              <w:ind w:left="479" w:right="43" w:hanging="411"/>
              <w:rPr>
                <w:sz w:val="24"/>
              </w:rPr>
            </w:pPr>
            <w:r>
              <w:rPr>
                <w:sz w:val="24"/>
              </w:rPr>
              <w:t>$1542.00 + IVA</w:t>
            </w:r>
          </w:p>
        </w:tc>
      </w:tr>
      <w:tr>
        <w:trPr>
          <w:trHeight w:val="738" w:hRule="atLeast"/>
        </w:trPr>
        <w:tc>
          <w:tcPr>
            <w:tcW w:w="1783" w:type="dxa"/>
          </w:tcPr>
          <w:p>
            <w:pPr>
              <w:pStyle w:val="TableParagraph"/>
              <w:spacing w:before="233"/>
              <w:ind w:left="170"/>
              <w:rPr>
                <w:sz w:val="24"/>
              </w:rPr>
            </w:pPr>
            <w:r>
              <w:rPr>
                <w:sz w:val="24"/>
              </w:rPr>
              <w:t>Alcantarillado</w:t>
            </w:r>
          </w:p>
        </w:tc>
        <w:tc>
          <w:tcPr>
            <w:tcW w:w="1419" w:type="dxa"/>
          </w:tcPr>
          <w:p>
            <w:pPr>
              <w:pStyle w:val="TableParagraph"/>
              <w:spacing w:before="94"/>
              <w:ind w:left="514" w:right="213" w:hanging="279"/>
              <w:rPr>
                <w:sz w:val="24"/>
              </w:rPr>
            </w:pPr>
            <w:r>
              <w:rPr>
                <w:sz w:val="24"/>
              </w:rPr>
              <w:t>$59.00 + IVA</w:t>
            </w:r>
          </w:p>
        </w:tc>
        <w:tc>
          <w:tcPr>
            <w:tcW w:w="1416" w:type="dxa"/>
            <w:tcBorders>
              <w:right w:val="single" w:sz="6" w:space="0" w:color="000000"/>
            </w:tcBorders>
          </w:tcPr>
          <w:p>
            <w:pPr>
              <w:pStyle w:val="TableParagraph"/>
              <w:spacing w:before="94"/>
              <w:ind w:left="511" w:right="210" w:hanging="279"/>
              <w:rPr>
                <w:sz w:val="24"/>
              </w:rPr>
            </w:pPr>
            <w:r>
              <w:rPr>
                <w:sz w:val="24"/>
              </w:rPr>
              <w:t>$77.00 + IVA</w:t>
            </w:r>
          </w:p>
        </w:tc>
        <w:tc>
          <w:tcPr>
            <w:tcW w:w="1558" w:type="dxa"/>
            <w:tcBorders>
              <w:left w:val="single" w:sz="6" w:space="0" w:color="000000"/>
            </w:tcBorders>
          </w:tcPr>
          <w:p>
            <w:pPr>
              <w:pStyle w:val="TableParagraph"/>
              <w:spacing w:before="233"/>
              <w:ind w:left="57" w:right="54"/>
              <w:jc w:val="center"/>
              <w:rPr>
                <w:sz w:val="24"/>
              </w:rPr>
            </w:pPr>
            <w:r>
              <w:rPr>
                <w:sz w:val="24"/>
              </w:rPr>
              <w:t>$99.00 + IVA</w:t>
            </w:r>
          </w:p>
        </w:tc>
        <w:tc>
          <w:tcPr>
            <w:tcW w:w="1417" w:type="dxa"/>
          </w:tcPr>
          <w:p>
            <w:pPr>
              <w:pStyle w:val="TableParagraph"/>
              <w:ind w:left="513" w:right="143" w:hanging="344"/>
              <w:rPr>
                <w:sz w:val="24"/>
              </w:rPr>
            </w:pPr>
            <w:r>
              <w:rPr>
                <w:sz w:val="24"/>
              </w:rPr>
              <w:t>$299.00 + IVA</w:t>
            </w:r>
          </w:p>
        </w:tc>
        <w:tc>
          <w:tcPr>
            <w:tcW w:w="1349" w:type="dxa"/>
          </w:tcPr>
          <w:p>
            <w:pPr>
              <w:pStyle w:val="TableParagraph"/>
              <w:ind w:left="479" w:right="109" w:hanging="344"/>
              <w:rPr>
                <w:sz w:val="24"/>
              </w:rPr>
            </w:pPr>
            <w:r>
              <w:rPr>
                <w:sz w:val="24"/>
              </w:rPr>
              <w:t>$514.00 + IVA</w:t>
            </w:r>
          </w:p>
        </w:tc>
      </w:tr>
      <w:tr>
        <w:trPr>
          <w:trHeight w:val="738" w:hRule="atLeast"/>
        </w:trPr>
        <w:tc>
          <w:tcPr>
            <w:tcW w:w="1783" w:type="dxa"/>
            <w:tcBorders>
              <w:bottom w:val="single" w:sz="6" w:space="0" w:color="000000"/>
            </w:tcBorders>
          </w:tcPr>
          <w:p>
            <w:pPr>
              <w:pStyle w:val="TableParagraph"/>
              <w:spacing w:before="94"/>
              <w:ind w:left="249" w:right="223" w:firstLine="134"/>
              <w:rPr>
                <w:sz w:val="24"/>
              </w:rPr>
            </w:pPr>
            <w:r>
              <w:rPr>
                <w:sz w:val="24"/>
              </w:rPr>
              <w:t>Planta de Tratamiento</w:t>
            </w:r>
          </w:p>
        </w:tc>
        <w:tc>
          <w:tcPr>
            <w:tcW w:w="1419" w:type="dxa"/>
            <w:tcBorders>
              <w:bottom w:val="single" w:sz="6" w:space="0" w:color="000000"/>
            </w:tcBorders>
          </w:tcPr>
          <w:p>
            <w:pPr>
              <w:pStyle w:val="TableParagraph"/>
              <w:spacing w:before="94"/>
              <w:ind w:left="514" w:right="213" w:hanging="279"/>
              <w:rPr>
                <w:sz w:val="24"/>
              </w:rPr>
            </w:pPr>
            <w:r>
              <w:rPr>
                <w:sz w:val="24"/>
              </w:rPr>
              <w:t>$59.00 + IVA</w:t>
            </w:r>
          </w:p>
        </w:tc>
        <w:tc>
          <w:tcPr>
            <w:tcW w:w="1416" w:type="dxa"/>
            <w:tcBorders>
              <w:bottom w:val="single" w:sz="6" w:space="0" w:color="000000"/>
              <w:right w:val="single" w:sz="6" w:space="0" w:color="000000"/>
            </w:tcBorders>
          </w:tcPr>
          <w:p>
            <w:pPr>
              <w:pStyle w:val="TableParagraph"/>
              <w:spacing w:before="94"/>
              <w:ind w:left="511" w:right="210" w:hanging="279"/>
              <w:rPr>
                <w:sz w:val="24"/>
              </w:rPr>
            </w:pPr>
            <w:r>
              <w:rPr>
                <w:sz w:val="24"/>
              </w:rPr>
              <w:t>$77.00 + IVA</w:t>
            </w:r>
          </w:p>
        </w:tc>
        <w:tc>
          <w:tcPr>
            <w:tcW w:w="1558" w:type="dxa"/>
            <w:tcBorders>
              <w:left w:val="single" w:sz="6" w:space="0" w:color="000000"/>
              <w:bottom w:val="single" w:sz="6" w:space="0" w:color="000000"/>
            </w:tcBorders>
          </w:tcPr>
          <w:p>
            <w:pPr>
              <w:pStyle w:val="TableParagraph"/>
              <w:spacing w:before="233"/>
              <w:ind w:left="57" w:right="54"/>
              <w:jc w:val="center"/>
              <w:rPr>
                <w:sz w:val="24"/>
              </w:rPr>
            </w:pPr>
            <w:r>
              <w:rPr>
                <w:sz w:val="24"/>
              </w:rPr>
              <w:t>$99.00 + IVA</w:t>
            </w:r>
          </w:p>
        </w:tc>
        <w:tc>
          <w:tcPr>
            <w:tcW w:w="1417" w:type="dxa"/>
            <w:tcBorders>
              <w:bottom w:val="single" w:sz="6" w:space="0" w:color="000000"/>
            </w:tcBorders>
          </w:tcPr>
          <w:p>
            <w:pPr>
              <w:pStyle w:val="TableParagraph"/>
              <w:ind w:left="513" w:right="143" w:hanging="344"/>
              <w:rPr>
                <w:sz w:val="24"/>
              </w:rPr>
            </w:pPr>
            <w:r>
              <w:rPr>
                <w:sz w:val="24"/>
              </w:rPr>
              <w:t>$299.00 + IVA</w:t>
            </w:r>
          </w:p>
        </w:tc>
        <w:tc>
          <w:tcPr>
            <w:tcW w:w="1349" w:type="dxa"/>
            <w:tcBorders>
              <w:bottom w:val="single" w:sz="6" w:space="0" w:color="000000"/>
            </w:tcBorders>
          </w:tcPr>
          <w:p>
            <w:pPr>
              <w:pStyle w:val="TableParagraph"/>
              <w:ind w:left="479" w:right="109" w:hanging="344"/>
              <w:rPr>
                <w:sz w:val="24"/>
              </w:rPr>
            </w:pPr>
            <w:r>
              <w:rPr>
                <w:sz w:val="24"/>
              </w:rPr>
              <w:t>$514.00 + IVA</w:t>
            </w:r>
          </w:p>
        </w:tc>
      </w:tr>
    </w:tbl>
    <w:p>
      <w:pPr>
        <w:pStyle w:val="BodyText"/>
      </w:pPr>
    </w:p>
    <w:p>
      <w:pPr>
        <w:pStyle w:val="BodyText"/>
        <w:ind w:left="400" w:right="431"/>
        <w:jc w:val="both"/>
      </w:pPr>
      <w:r>
        <w:rPr/>
        <w:t>Lavanderías; </w:t>
      </w:r>
      <w:r>
        <w:rPr>
          <w:position w:val="1"/>
        </w:rPr>
        <w:t>Estacionamientos con servicio de lavado; elaboración de helados y nieves; </w:t>
      </w:r>
      <w:r>
        <w:rPr/>
        <w:t>tintorerías; ladrilleras; auto lavados; bancos; bares y cantinas; billares; pescaderías; escuelas preescolares, primarias, secundarias y academias particulares; gimnasio; guarderías particulares; pizzerías; purificadoras de agua; salones de eventos; Sanitarios públicos; servicios de lavado y engrasado; servicio de spa; funerarias con sala de velación; centros de rehabilitación; y casas con alberca.</w:t>
      </w:r>
    </w:p>
    <w:p>
      <w:pPr>
        <w:spacing w:after="0"/>
        <w:jc w:val="both"/>
        <w:sectPr>
          <w:pgSz w:w="12250" w:h="15850"/>
          <w:pgMar w:header="730" w:footer="0" w:top="1000" w:bottom="280" w:left="860" w:right="820"/>
        </w:sectPr>
      </w:pPr>
    </w:p>
    <w:p>
      <w:pPr>
        <w:pStyle w:val="BodyText"/>
        <w:spacing w:before="10"/>
        <w:rPr>
          <w:sz w:val="15"/>
        </w:r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7"/>
        <w:gridCol w:w="1760"/>
        <w:gridCol w:w="1763"/>
      </w:tblGrid>
      <w:tr>
        <w:trPr>
          <w:trHeight w:val="420" w:hRule="atLeast"/>
        </w:trPr>
        <w:tc>
          <w:tcPr>
            <w:tcW w:w="8840" w:type="dxa"/>
            <w:gridSpan w:val="3"/>
          </w:tcPr>
          <w:p>
            <w:pPr>
              <w:pStyle w:val="TableParagraph"/>
              <w:spacing w:before="72"/>
              <w:ind w:left="3436" w:right="3433"/>
              <w:jc w:val="center"/>
              <w:rPr>
                <w:b/>
                <w:sz w:val="24"/>
              </w:rPr>
            </w:pPr>
            <w:r>
              <w:rPr>
                <w:b/>
                <w:sz w:val="24"/>
              </w:rPr>
              <w:t>Actividad Nivel 5</w:t>
            </w:r>
          </w:p>
        </w:tc>
      </w:tr>
      <w:tr>
        <w:trPr>
          <w:trHeight w:val="738" w:hRule="atLeast"/>
        </w:trPr>
        <w:tc>
          <w:tcPr>
            <w:tcW w:w="5317" w:type="dxa"/>
            <w:vMerge w:val="restart"/>
          </w:tcPr>
          <w:p>
            <w:pPr>
              <w:pStyle w:val="TableParagraph"/>
              <w:rPr>
                <w:rFonts w:ascii="Times New Roman"/>
                <w:sz w:val="24"/>
              </w:rPr>
            </w:pPr>
          </w:p>
        </w:tc>
        <w:tc>
          <w:tcPr>
            <w:tcW w:w="1760" w:type="dxa"/>
            <w:tcBorders>
              <w:right w:val="single" w:sz="6" w:space="0" w:color="000000"/>
            </w:tcBorders>
          </w:tcPr>
          <w:p>
            <w:pPr>
              <w:pStyle w:val="TableParagraph"/>
              <w:spacing w:before="96"/>
              <w:ind w:left="165" w:right="135" w:firstLine="285"/>
              <w:rPr>
                <w:sz w:val="24"/>
              </w:rPr>
            </w:pPr>
            <w:r>
              <w:rPr>
                <w:sz w:val="24"/>
              </w:rPr>
              <w:t>TARIFA COMERCIAL</w:t>
            </w:r>
          </w:p>
        </w:tc>
        <w:tc>
          <w:tcPr>
            <w:tcW w:w="1763" w:type="dxa"/>
            <w:tcBorders>
              <w:left w:val="single" w:sz="6" w:space="0" w:color="000000"/>
            </w:tcBorders>
          </w:tcPr>
          <w:p>
            <w:pPr>
              <w:pStyle w:val="TableParagraph"/>
              <w:spacing w:before="96"/>
              <w:ind w:left="162" w:right="141" w:firstLine="285"/>
              <w:rPr>
                <w:sz w:val="24"/>
              </w:rPr>
            </w:pPr>
            <w:r>
              <w:rPr>
                <w:sz w:val="24"/>
              </w:rPr>
              <w:t>TARIFA DOMESTICA</w:t>
            </w:r>
          </w:p>
        </w:tc>
      </w:tr>
      <w:tr>
        <w:trPr>
          <w:trHeight w:val="741" w:hRule="atLeast"/>
        </w:trPr>
        <w:tc>
          <w:tcPr>
            <w:tcW w:w="5317" w:type="dxa"/>
            <w:vMerge/>
            <w:tcBorders>
              <w:top w:val="nil"/>
            </w:tcBorders>
          </w:tcPr>
          <w:p>
            <w:pPr>
              <w:rPr>
                <w:sz w:val="2"/>
                <w:szCs w:val="2"/>
              </w:rPr>
            </w:pPr>
          </w:p>
        </w:tc>
        <w:tc>
          <w:tcPr>
            <w:tcW w:w="1760" w:type="dxa"/>
            <w:tcBorders>
              <w:right w:val="single" w:sz="6" w:space="0" w:color="000000"/>
            </w:tcBorders>
          </w:tcPr>
          <w:p>
            <w:pPr>
              <w:pStyle w:val="TableParagraph"/>
              <w:spacing w:before="233"/>
              <w:ind w:left="95" w:right="84"/>
              <w:jc w:val="center"/>
              <w:rPr>
                <w:sz w:val="24"/>
              </w:rPr>
            </w:pPr>
            <w:r>
              <w:rPr>
                <w:sz w:val="24"/>
              </w:rPr>
              <w:t>5A</w:t>
            </w:r>
          </w:p>
        </w:tc>
        <w:tc>
          <w:tcPr>
            <w:tcW w:w="1763" w:type="dxa"/>
            <w:tcBorders>
              <w:left w:val="single" w:sz="6" w:space="0" w:color="000000"/>
            </w:tcBorders>
          </w:tcPr>
          <w:p>
            <w:pPr>
              <w:pStyle w:val="TableParagraph"/>
              <w:spacing w:before="233"/>
              <w:ind w:left="421" w:right="419"/>
              <w:jc w:val="center"/>
              <w:rPr>
                <w:sz w:val="24"/>
              </w:rPr>
            </w:pPr>
            <w:r>
              <w:rPr>
                <w:sz w:val="24"/>
              </w:rPr>
              <w:t>5B</w:t>
            </w:r>
          </w:p>
        </w:tc>
      </w:tr>
      <w:tr>
        <w:trPr>
          <w:trHeight w:val="738" w:hRule="atLeast"/>
        </w:trPr>
        <w:tc>
          <w:tcPr>
            <w:tcW w:w="5317" w:type="dxa"/>
          </w:tcPr>
          <w:p>
            <w:pPr>
              <w:pStyle w:val="TableParagraph"/>
              <w:spacing w:before="230"/>
              <w:ind w:left="1455" w:right="1449"/>
              <w:jc w:val="center"/>
              <w:rPr>
                <w:sz w:val="24"/>
              </w:rPr>
            </w:pPr>
            <w:r>
              <w:rPr>
                <w:sz w:val="24"/>
              </w:rPr>
              <w:t>Consumo de Agua</w:t>
            </w:r>
          </w:p>
        </w:tc>
        <w:tc>
          <w:tcPr>
            <w:tcW w:w="1760" w:type="dxa"/>
            <w:tcBorders>
              <w:right w:val="single" w:sz="6" w:space="0" w:color="000000"/>
            </w:tcBorders>
          </w:tcPr>
          <w:p>
            <w:pPr>
              <w:pStyle w:val="TableParagraph"/>
              <w:spacing w:before="230"/>
              <w:ind w:left="95" w:right="84"/>
              <w:jc w:val="center"/>
              <w:rPr>
                <w:sz w:val="24"/>
              </w:rPr>
            </w:pPr>
            <w:r>
              <w:rPr>
                <w:sz w:val="24"/>
              </w:rPr>
              <w:t>$574.00 + IVA</w:t>
            </w:r>
          </w:p>
        </w:tc>
        <w:tc>
          <w:tcPr>
            <w:tcW w:w="1763" w:type="dxa"/>
            <w:tcBorders>
              <w:left w:val="single" w:sz="6" w:space="0" w:color="000000"/>
            </w:tcBorders>
          </w:tcPr>
          <w:p>
            <w:pPr>
              <w:pStyle w:val="TableParagraph"/>
              <w:spacing w:before="230"/>
              <w:ind w:left="421" w:right="421"/>
              <w:jc w:val="center"/>
              <w:rPr>
                <w:sz w:val="24"/>
              </w:rPr>
            </w:pPr>
            <w:r>
              <w:rPr>
                <w:sz w:val="24"/>
              </w:rPr>
              <w:t>$574.00</w:t>
            </w:r>
          </w:p>
        </w:tc>
      </w:tr>
      <w:tr>
        <w:trPr>
          <w:trHeight w:val="738" w:hRule="atLeast"/>
        </w:trPr>
        <w:tc>
          <w:tcPr>
            <w:tcW w:w="5317" w:type="dxa"/>
          </w:tcPr>
          <w:p>
            <w:pPr>
              <w:pStyle w:val="TableParagraph"/>
              <w:spacing w:before="230"/>
              <w:ind w:left="1455" w:right="1449"/>
              <w:jc w:val="center"/>
              <w:rPr>
                <w:sz w:val="24"/>
              </w:rPr>
            </w:pPr>
            <w:r>
              <w:rPr>
                <w:sz w:val="24"/>
              </w:rPr>
              <w:t>Alcantarillado</w:t>
            </w:r>
          </w:p>
        </w:tc>
        <w:tc>
          <w:tcPr>
            <w:tcW w:w="1760" w:type="dxa"/>
            <w:tcBorders>
              <w:right w:val="single" w:sz="6" w:space="0" w:color="000000"/>
            </w:tcBorders>
          </w:tcPr>
          <w:p>
            <w:pPr>
              <w:pStyle w:val="TableParagraph"/>
              <w:spacing w:before="230"/>
              <w:ind w:left="95" w:right="84"/>
              <w:jc w:val="center"/>
              <w:rPr>
                <w:sz w:val="24"/>
              </w:rPr>
            </w:pPr>
            <w:r>
              <w:rPr>
                <w:sz w:val="24"/>
              </w:rPr>
              <w:t>$191.00 + IVA</w:t>
            </w:r>
          </w:p>
        </w:tc>
        <w:tc>
          <w:tcPr>
            <w:tcW w:w="1763" w:type="dxa"/>
            <w:tcBorders>
              <w:left w:val="single" w:sz="6" w:space="0" w:color="000000"/>
            </w:tcBorders>
          </w:tcPr>
          <w:p>
            <w:pPr>
              <w:pStyle w:val="TableParagraph"/>
              <w:spacing w:before="230"/>
              <w:ind w:left="421" w:right="421"/>
              <w:jc w:val="center"/>
              <w:rPr>
                <w:sz w:val="24"/>
              </w:rPr>
            </w:pPr>
            <w:r>
              <w:rPr>
                <w:sz w:val="24"/>
              </w:rPr>
              <w:t>$191.00</w:t>
            </w:r>
          </w:p>
        </w:tc>
      </w:tr>
      <w:tr>
        <w:trPr>
          <w:trHeight w:val="739" w:hRule="atLeast"/>
        </w:trPr>
        <w:tc>
          <w:tcPr>
            <w:tcW w:w="5317" w:type="dxa"/>
          </w:tcPr>
          <w:p>
            <w:pPr>
              <w:pStyle w:val="TableParagraph"/>
              <w:spacing w:before="231"/>
              <w:ind w:left="1455" w:right="1450"/>
              <w:jc w:val="center"/>
              <w:rPr>
                <w:sz w:val="24"/>
              </w:rPr>
            </w:pPr>
            <w:r>
              <w:rPr>
                <w:sz w:val="24"/>
              </w:rPr>
              <w:t>Planta de Tratamiento</w:t>
            </w:r>
          </w:p>
        </w:tc>
        <w:tc>
          <w:tcPr>
            <w:tcW w:w="1760" w:type="dxa"/>
            <w:tcBorders>
              <w:right w:val="single" w:sz="6" w:space="0" w:color="000000"/>
            </w:tcBorders>
          </w:tcPr>
          <w:p>
            <w:pPr>
              <w:pStyle w:val="TableParagraph"/>
              <w:spacing w:before="231"/>
              <w:ind w:left="95" w:right="84"/>
              <w:jc w:val="center"/>
              <w:rPr>
                <w:sz w:val="24"/>
              </w:rPr>
            </w:pPr>
            <w:r>
              <w:rPr>
                <w:sz w:val="24"/>
              </w:rPr>
              <w:t>$191.00 + IVA</w:t>
            </w:r>
          </w:p>
        </w:tc>
        <w:tc>
          <w:tcPr>
            <w:tcW w:w="1763" w:type="dxa"/>
            <w:tcBorders>
              <w:left w:val="single" w:sz="6" w:space="0" w:color="000000"/>
            </w:tcBorders>
          </w:tcPr>
          <w:p>
            <w:pPr>
              <w:pStyle w:val="TableParagraph"/>
              <w:spacing w:before="231"/>
              <w:ind w:left="421" w:right="421"/>
              <w:jc w:val="center"/>
              <w:rPr>
                <w:sz w:val="24"/>
              </w:rPr>
            </w:pPr>
            <w:r>
              <w:rPr>
                <w:sz w:val="24"/>
              </w:rPr>
              <w:t>$191.00</w:t>
            </w:r>
          </w:p>
        </w:tc>
      </w:tr>
    </w:tbl>
    <w:p>
      <w:pPr>
        <w:pStyle w:val="BodyText"/>
        <w:rPr>
          <w:sz w:val="16"/>
        </w:rPr>
      </w:pPr>
    </w:p>
    <w:p>
      <w:pPr>
        <w:pStyle w:val="BodyText"/>
        <w:spacing w:before="92"/>
        <w:ind w:left="400" w:right="434"/>
        <w:jc w:val="both"/>
      </w:pPr>
      <w:r>
        <w:rPr/>
        <w:drawing>
          <wp:anchor distT="0" distB="0" distL="0" distR="0" allowOverlap="1" layoutInCell="1" locked="0" behindDoc="1" simplePos="0" relativeHeight="227522560">
            <wp:simplePos x="0" y="0"/>
            <wp:positionH relativeFrom="page">
              <wp:posOffset>1239220</wp:posOffset>
            </wp:positionH>
            <wp:positionV relativeFrom="paragraph">
              <wp:posOffset>-1480999</wp:posOffset>
            </wp:positionV>
            <wp:extent cx="5022641" cy="5144769"/>
            <wp:effectExtent l="0" t="0" r="0" b="0"/>
            <wp:wrapNone/>
            <wp:docPr id="107" name="image49.png"/>
            <wp:cNvGraphicFramePr>
              <a:graphicFrameLocks noChangeAspect="1"/>
            </wp:cNvGraphicFramePr>
            <a:graphic>
              <a:graphicData uri="http://schemas.openxmlformats.org/drawingml/2006/picture">
                <pic:pic>
                  <pic:nvPicPr>
                    <pic:cNvPr id="108" name="image49.png"/>
                    <pic:cNvPicPr/>
                  </pic:nvPicPr>
                  <pic:blipFill>
                    <a:blip r:embed="rId59" cstate="print"/>
                    <a:stretch>
                      <a:fillRect/>
                    </a:stretch>
                  </pic:blipFill>
                  <pic:spPr>
                    <a:xfrm>
                      <a:off x="0" y="0"/>
                      <a:ext cx="5022641" cy="5144769"/>
                    </a:xfrm>
                    <a:prstGeom prst="rect">
                      <a:avLst/>
                    </a:prstGeom>
                  </pic:spPr>
                </pic:pic>
              </a:graphicData>
            </a:graphic>
          </wp:anchor>
        </w:drawing>
      </w:r>
      <w:r>
        <w:rPr/>
        <w:t>Así los privados; baños públicos; comercializadora de carnes, pescados y mariscos; elaboración y comercialización de alimentos; restaurantes; centros de recreación; e </w:t>
      </w:r>
      <w:r>
        <w:rPr>
          <w:position w:val="1"/>
        </w:rPr>
        <w:t>invernaderos y viveros; </w:t>
      </w:r>
      <w:r>
        <w:rPr/>
        <w:t>y condominios de 4 a 9 departamentos</w:t>
      </w:r>
      <w:r>
        <w:rPr>
          <w:position w:val="1"/>
        </w:rPr>
        <w:t>.</w:t>
      </w:r>
    </w:p>
    <w:p>
      <w:pPr>
        <w:pStyle w:val="BodyText"/>
        <w:spacing w:before="11"/>
        <w:rPr>
          <w:sz w:val="23"/>
        </w:rPr>
      </w:pPr>
    </w:p>
    <w:tbl>
      <w:tblPr>
        <w:tblW w:w="0" w:type="auto"/>
        <w:jc w:val="left"/>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1"/>
        <w:gridCol w:w="1759"/>
        <w:gridCol w:w="1762"/>
      </w:tblGrid>
      <w:tr>
        <w:trPr>
          <w:trHeight w:val="609" w:hRule="atLeast"/>
        </w:trPr>
        <w:tc>
          <w:tcPr>
            <w:tcW w:w="8732" w:type="dxa"/>
            <w:gridSpan w:val="3"/>
          </w:tcPr>
          <w:p>
            <w:pPr>
              <w:pStyle w:val="TableParagraph"/>
              <w:spacing w:before="166"/>
              <w:ind w:left="3383" w:right="3378"/>
              <w:jc w:val="center"/>
              <w:rPr>
                <w:b/>
                <w:sz w:val="24"/>
              </w:rPr>
            </w:pPr>
            <w:r>
              <w:rPr>
                <w:b/>
                <w:sz w:val="24"/>
              </w:rPr>
              <w:t>Actividad Nivel 6</w:t>
            </w:r>
          </w:p>
        </w:tc>
      </w:tr>
      <w:tr>
        <w:trPr>
          <w:trHeight w:val="738" w:hRule="atLeast"/>
        </w:trPr>
        <w:tc>
          <w:tcPr>
            <w:tcW w:w="5211" w:type="dxa"/>
            <w:vMerge w:val="restart"/>
          </w:tcPr>
          <w:p>
            <w:pPr>
              <w:pStyle w:val="TableParagraph"/>
              <w:rPr>
                <w:rFonts w:ascii="Times New Roman"/>
                <w:sz w:val="24"/>
              </w:rPr>
            </w:pPr>
          </w:p>
        </w:tc>
        <w:tc>
          <w:tcPr>
            <w:tcW w:w="1759" w:type="dxa"/>
          </w:tcPr>
          <w:p>
            <w:pPr>
              <w:pStyle w:val="TableParagraph"/>
              <w:spacing w:before="94"/>
              <w:ind w:left="165" w:right="137" w:firstLine="285"/>
              <w:rPr>
                <w:sz w:val="24"/>
              </w:rPr>
            </w:pPr>
            <w:r>
              <w:rPr>
                <w:sz w:val="24"/>
              </w:rPr>
              <w:t>TARIFA COMERCIAL</w:t>
            </w:r>
          </w:p>
        </w:tc>
        <w:tc>
          <w:tcPr>
            <w:tcW w:w="1762" w:type="dxa"/>
          </w:tcPr>
          <w:p>
            <w:pPr>
              <w:pStyle w:val="TableParagraph"/>
              <w:spacing w:before="94"/>
              <w:ind w:left="166" w:right="139" w:firstLine="285"/>
              <w:rPr>
                <w:sz w:val="24"/>
              </w:rPr>
            </w:pPr>
            <w:r>
              <w:rPr>
                <w:sz w:val="24"/>
              </w:rPr>
              <w:t>TARIFA DOMESTICA</w:t>
            </w:r>
          </w:p>
        </w:tc>
      </w:tr>
      <w:tr>
        <w:trPr>
          <w:trHeight w:val="739" w:hRule="atLeast"/>
        </w:trPr>
        <w:tc>
          <w:tcPr>
            <w:tcW w:w="5211" w:type="dxa"/>
            <w:vMerge/>
            <w:tcBorders>
              <w:top w:val="nil"/>
            </w:tcBorders>
          </w:tcPr>
          <w:p>
            <w:pPr>
              <w:rPr>
                <w:sz w:val="2"/>
                <w:szCs w:val="2"/>
              </w:rPr>
            </w:pPr>
          </w:p>
        </w:tc>
        <w:tc>
          <w:tcPr>
            <w:tcW w:w="1759" w:type="dxa"/>
          </w:tcPr>
          <w:p>
            <w:pPr>
              <w:pStyle w:val="TableParagraph"/>
              <w:spacing w:before="231"/>
              <w:ind w:left="95" w:right="85"/>
              <w:jc w:val="center"/>
              <w:rPr>
                <w:sz w:val="24"/>
              </w:rPr>
            </w:pPr>
            <w:r>
              <w:rPr>
                <w:sz w:val="24"/>
              </w:rPr>
              <w:t>6A</w:t>
            </w:r>
          </w:p>
        </w:tc>
        <w:tc>
          <w:tcPr>
            <w:tcW w:w="1762" w:type="dxa"/>
          </w:tcPr>
          <w:p>
            <w:pPr>
              <w:pStyle w:val="TableParagraph"/>
              <w:spacing w:before="231"/>
              <w:ind w:left="425" w:right="416"/>
              <w:jc w:val="center"/>
              <w:rPr>
                <w:sz w:val="24"/>
              </w:rPr>
            </w:pPr>
            <w:r>
              <w:rPr>
                <w:sz w:val="24"/>
              </w:rPr>
              <w:t>6B</w:t>
            </w:r>
          </w:p>
        </w:tc>
      </w:tr>
      <w:tr>
        <w:trPr>
          <w:trHeight w:val="738" w:hRule="atLeast"/>
        </w:trPr>
        <w:tc>
          <w:tcPr>
            <w:tcW w:w="5211" w:type="dxa"/>
          </w:tcPr>
          <w:p>
            <w:pPr>
              <w:pStyle w:val="TableParagraph"/>
              <w:spacing w:before="230"/>
              <w:ind w:left="1402" w:right="1396"/>
              <w:jc w:val="center"/>
              <w:rPr>
                <w:sz w:val="24"/>
              </w:rPr>
            </w:pPr>
            <w:r>
              <w:rPr>
                <w:sz w:val="24"/>
              </w:rPr>
              <w:t>Consumo de Agua</w:t>
            </w:r>
          </w:p>
        </w:tc>
        <w:tc>
          <w:tcPr>
            <w:tcW w:w="1759" w:type="dxa"/>
          </w:tcPr>
          <w:p>
            <w:pPr>
              <w:pStyle w:val="TableParagraph"/>
              <w:spacing w:before="230"/>
              <w:ind w:left="95" w:right="85"/>
              <w:jc w:val="center"/>
              <w:rPr>
                <w:sz w:val="24"/>
              </w:rPr>
            </w:pPr>
            <w:r>
              <w:rPr>
                <w:sz w:val="24"/>
              </w:rPr>
              <w:t>$897.00 + IVA</w:t>
            </w:r>
          </w:p>
        </w:tc>
        <w:tc>
          <w:tcPr>
            <w:tcW w:w="1762" w:type="dxa"/>
          </w:tcPr>
          <w:p>
            <w:pPr>
              <w:pStyle w:val="TableParagraph"/>
              <w:spacing w:before="230"/>
              <w:ind w:left="425" w:right="418"/>
              <w:jc w:val="center"/>
              <w:rPr>
                <w:sz w:val="24"/>
              </w:rPr>
            </w:pPr>
            <w:r>
              <w:rPr>
                <w:sz w:val="24"/>
              </w:rPr>
              <w:t>$897.00</w:t>
            </w:r>
          </w:p>
        </w:tc>
      </w:tr>
      <w:tr>
        <w:trPr>
          <w:trHeight w:val="738" w:hRule="atLeast"/>
        </w:trPr>
        <w:tc>
          <w:tcPr>
            <w:tcW w:w="5211" w:type="dxa"/>
          </w:tcPr>
          <w:p>
            <w:pPr>
              <w:pStyle w:val="TableParagraph"/>
              <w:spacing w:before="230"/>
              <w:ind w:left="1402" w:right="1396"/>
              <w:jc w:val="center"/>
              <w:rPr>
                <w:sz w:val="24"/>
              </w:rPr>
            </w:pPr>
            <w:r>
              <w:rPr>
                <w:sz w:val="24"/>
              </w:rPr>
              <w:t>Alcantarillado</w:t>
            </w:r>
          </w:p>
        </w:tc>
        <w:tc>
          <w:tcPr>
            <w:tcW w:w="1759" w:type="dxa"/>
          </w:tcPr>
          <w:p>
            <w:pPr>
              <w:pStyle w:val="TableParagraph"/>
              <w:spacing w:before="230"/>
              <w:ind w:left="95" w:right="85"/>
              <w:jc w:val="center"/>
              <w:rPr>
                <w:sz w:val="24"/>
              </w:rPr>
            </w:pPr>
            <w:r>
              <w:rPr>
                <w:sz w:val="24"/>
              </w:rPr>
              <w:t>$299.00 + IVA</w:t>
            </w:r>
          </w:p>
        </w:tc>
        <w:tc>
          <w:tcPr>
            <w:tcW w:w="1762" w:type="dxa"/>
          </w:tcPr>
          <w:p>
            <w:pPr>
              <w:pStyle w:val="TableParagraph"/>
              <w:spacing w:before="230"/>
              <w:ind w:left="425" w:right="418"/>
              <w:jc w:val="center"/>
              <w:rPr>
                <w:sz w:val="24"/>
              </w:rPr>
            </w:pPr>
            <w:r>
              <w:rPr>
                <w:sz w:val="24"/>
              </w:rPr>
              <w:t>$299.00</w:t>
            </w:r>
          </w:p>
        </w:tc>
      </w:tr>
      <w:tr>
        <w:trPr>
          <w:trHeight w:val="738" w:hRule="atLeast"/>
        </w:trPr>
        <w:tc>
          <w:tcPr>
            <w:tcW w:w="5211" w:type="dxa"/>
          </w:tcPr>
          <w:p>
            <w:pPr>
              <w:pStyle w:val="TableParagraph"/>
              <w:spacing w:before="233"/>
              <w:ind w:left="1402" w:right="1396"/>
              <w:jc w:val="center"/>
              <w:rPr>
                <w:sz w:val="24"/>
              </w:rPr>
            </w:pPr>
            <w:r>
              <w:rPr>
                <w:sz w:val="24"/>
              </w:rPr>
              <w:t>Planta de Tratamiento</w:t>
            </w:r>
          </w:p>
        </w:tc>
        <w:tc>
          <w:tcPr>
            <w:tcW w:w="1759" w:type="dxa"/>
          </w:tcPr>
          <w:p>
            <w:pPr>
              <w:pStyle w:val="TableParagraph"/>
              <w:spacing w:before="233"/>
              <w:ind w:left="95" w:right="85"/>
              <w:jc w:val="center"/>
              <w:rPr>
                <w:sz w:val="24"/>
              </w:rPr>
            </w:pPr>
            <w:r>
              <w:rPr>
                <w:sz w:val="24"/>
              </w:rPr>
              <w:t>$299.00 + IVA</w:t>
            </w:r>
          </w:p>
        </w:tc>
        <w:tc>
          <w:tcPr>
            <w:tcW w:w="1762" w:type="dxa"/>
          </w:tcPr>
          <w:p>
            <w:pPr>
              <w:pStyle w:val="TableParagraph"/>
              <w:spacing w:before="233"/>
              <w:ind w:left="425" w:right="418"/>
              <w:jc w:val="center"/>
              <w:rPr>
                <w:sz w:val="24"/>
              </w:rPr>
            </w:pPr>
            <w:r>
              <w:rPr>
                <w:sz w:val="24"/>
              </w:rPr>
              <w:t>$299.00</w:t>
            </w:r>
          </w:p>
        </w:tc>
      </w:tr>
    </w:tbl>
    <w:p>
      <w:pPr>
        <w:pStyle w:val="BodyText"/>
        <w:spacing w:before="1"/>
      </w:pPr>
    </w:p>
    <w:p>
      <w:pPr>
        <w:pStyle w:val="BodyText"/>
        <w:ind w:left="400"/>
        <w:jc w:val="both"/>
      </w:pPr>
      <w:r>
        <w:rPr/>
        <w:t>Gasolineras, condominios de 10 a 20 departamentos, y escuelas media superior privadas.</w:t>
      </w:r>
    </w:p>
    <w:p>
      <w:pPr>
        <w:pStyle w:val="BodyText"/>
        <w:spacing w:before="11"/>
        <w:rPr>
          <w:sz w:val="23"/>
        </w:rPr>
      </w:pPr>
    </w:p>
    <w:tbl>
      <w:tblPr>
        <w:tblW w:w="0" w:type="auto"/>
        <w:jc w:val="left"/>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3"/>
        <w:gridCol w:w="1956"/>
        <w:gridCol w:w="1949"/>
      </w:tblGrid>
      <w:tr>
        <w:trPr>
          <w:trHeight w:val="371" w:hRule="atLeast"/>
        </w:trPr>
        <w:tc>
          <w:tcPr>
            <w:tcW w:w="8708" w:type="dxa"/>
            <w:gridSpan w:val="3"/>
          </w:tcPr>
          <w:p>
            <w:pPr>
              <w:pStyle w:val="TableParagraph"/>
              <w:spacing w:before="48"/>
              <w:ind w:left="3371" w:right="3365"/>
              <w:jc w:val="center"/>
              <w:rPr>
                <w:b/>
                <w:sz w:val="24"/>
              </w:rPr>
            </w:pPr>
            <w:r>
              <w:rPr>
                <w:b/>
                <w:sz w:val="24"/>
              </w:rPr>
              <w:t>Actividad Nivel 7</w:t>
            </w:r>
          </w:p>
        </w:tc>
      </w:tr>
      <w:tr>
        <w:trPr>
          <w:trHeight w:val="738" w:hRule="atLeast"/>
        </w:trPr>
        <w:tc>
          <w:tcPr>
            <w:tcW w:w="4803" w:type="dxa"/>
            <w:vMerge w:val="restart"/>
          </w:tcPr>
          <w:p>
            <w:pPr>
              <w:pStyle w:val="TableParagraph"/>
              <w:rPr>
                <w:rFonts w:ascii="Times New Roman"/>
                <w:sz w:val="24"/>
              </w:rPr>
            </w:pPr>
          </w:p>
        </w:tc>
        <w:tc>
          <w:tcPr>
            <w:tcW w:w="1956" w:type="dxa"/>
          </w:tcPr>
          <w:p>
            <w:pPr>
              <w:pStyle w:val="TableParagraph"/>
              <w:spacing w:before="94"/>
              <w:ind w:left="264" w:right="235" w:firstLine="285"/>
              <w:rPr>
                <w:sz w:val="24"/>
              </w:rPr>
            </w:pPr>
            <w:r>
              <w:rPr>
                <w:sz w:val="24"/>
              </w:rPr>
              <w:t>TARIFA COMERCIAL</w:t>
            </w:r>
          </w:p>
        </w:tc>
        <w:tc>
          <w:tcPr>
            <w:tcW w:w="1949" w:type="dxa"/>
          </w:tcPr>
          <w:p>
            <w:pPr>
              <w:pStyle w:val="TableParagraph"/>
              <w:spacing w:before="94"/>
              <w:ind w:left="259" w:right="233" w:firstLine="288"/>
              <w:rPr>
                <w:sz w:val="24"/>
              </w:rPr>
            </w:pPr>
            <w:r>
              <w:rPr>
                <w:sz w:val="24"/>
              </w:rPr>
              <w:t>TARIFA DOMESTICA</w:t>
            </w:r>
          </w:p>
        </w:tc>
      </w:tr>
      <w:tr>
        <w:trPr>
          <w:trHeight w:val="738" w:hRule="atLeast"/>
        </w:trPr>
        <w:tc>
          <w:tcPr>
            <w:tcW w:w="4803" w:type="dxa"/>
            <w:vMerge/>
            <w:tcBorders>
              <w:top w:val="nil"/>
            </w:tcBorders>
          </w:tcPr>
          <w:p>
            <w:pPr>
              <w:rPr>
                <w:sz w:val="2"/>
                <w:szCs w:val="2"/>
              </w:rPr>
            </w:pPr>
          </w:p>
        </w:tc>
        <w:tc>
          <w:tcPr>
            <w:tcW w:w="1956" w:type="dxa"/>
          </w:tcPr>
          <w:p>
            <w:pPr>
              <w:pStyle w:val="TableParagraph"/>
              <w:spacing w:before="233"/>
              <w:ind w:left="92" w:right="82"/>
              <w:jc w:val="center"/>
              <w:rPr>
                <w:sz w:val="24"/>
              </w:rPr>
            </w:pPr>
            <w:r>
              <w:rPr>
                <w:sz w:val="24"/>
              </w:rPr>
              <w:t>7A</w:t>
            </w:r>
          </w:p>
        </w:tc>
        <w:tc>
          <w:tcPr>
            <w:tcW w:w="1949" w:type="dxa"/>
          </w:tcPr>
          <w:p>
            <w:pPr>
              <w:pStyle w:val="TableParagraph"/>
              <w:spacing w:before="233"/>
              <w:ind w:left="420" w:right="407"/>
              <w:jc w:val="center"/>
              <w:rPr>
                <w:sz w:val="24"/>
              </w:rPr>
            </w:pPr>
            <w:r>
              <w:rPr>
                <w:sz w:val="24"/>
              </w:rPr>
              <w:t>7B</w:t>
            </w:r>
          </w:p>
        </w:tc>
      </w:tr>
      <w:tr>
        <w:trPr>
          <w:trHeight w:val="741" w:hRule="atLeast"/>
        </w:trPr>
        <w:tc>
          <w:tcPr>
            <w:tcW w:w="4803" w:type="dxa"/>
          </w:tcPr>
          <w:p>
            <w:pPr>
              <w:pStyle w:val="TableParagraph"/>
              <w:spacing w:before="233"/>
              <w:ind w:left="1403"/>
              <w:rPr>
                <w:sz w:val="24"/>
              </w:rPr>
            </w:pPr>
            <w:r>
              <w:rPr>
                <w:sz w:val="24"/>
              </w:rPr>
              <w:t>Consumo de Agua</w:t>
            </w:r>
          </w:p>
        </w:tc>
        <w:tc>
          <w:tcPr>
            <w:tcW w:w="1956" w:type="dxa"/>
          </w:tcPr>
          <w:p>
            <w:pPr>
              <w:pStyle w:val="TableParagraph"/>
              <w:spacing w:before="233"/>
              <w:ind w:left="92" w:right="85"/>
              <w:jc w:val="center"/>
              <w:rPr>
                <w:sz w:val="24"/>
              </w:rPr>
            </w:pPr>
            <w:r>
              <w:rPr>
                <w:sz w:val="24"/>
              </w:rPr>
              <w:t>$1,542.00 + IVA</w:t>
            </w:r>
          </w:p>
        </w:tc>
        <w:tc>
          <w:tcPr>
            <w:tcW w:w="1949" w:type="dxa"/>
          </w:tcPr>
          <w:p>
            <w:pPr>
              <w:pStyle w:val="TableParagraph"/>
              <w:spacing w:before="233"/>
              <w:ind w:left="420" w:right="411"/>
              <w:jc w:val="center"/>
              <w:rPr>
                <w:sz w:val="24"/>
              </w:rPr>
            </w:pPr>
            <w:r>
              <w:rPr>
                <w:sz w:val="24"/>
              </w:rPr>
              <w:t>$1,542.00</w:t>
            </w:r>
          </w:p>
        </w:tc>
      </w:tr>
    </w:tbl>
    <w:p>
      <w:pPr>
        <w:spacing w:after="0"/>
        <w:jc w:val="center"/>
        <w:rPr>
          <w:sz w:val="24"/>
        </w:rPr>
        <w:sectPr>
          <w:pgSz w:w="12250" w:h="15850"/>
          <w:pgMar w:header="730" w:footer="0" w:top="1000" w:bottom="280" w:left="860" w:right="820"/>
        </w:sectPr>
      </w:pPr>
    </w:p>
    <w:p>
      <w:pPr>
        <w:pStyle w:val="BodyText"/>
        <w:spacing w:before="1"/>
        <w:rPr>
          <w:sz w:val="17"/>
        </w:rPr>
      </w:pPr>
    </w:p>
    <w:tbl>
      <w:tblPr>
        <w:tblW w:w="0" w:type="auto"/>
        <w:jc w:val="left"/>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3"/>
        <w:gridCol w:w="1956"/>
        <w:gridCol w:w="1949"/>
      </w:tblGrid>
      <w:tr>
        <w:trPr>
          <w:trHeight w:val="371" w:hRule="atLeast"/>
        </w:trPr>
        <w:tc>
          <w:tcPr>
            <w:tcW w:w="8708" w:type="dxa"/>
            <w:gridSpan w:val="3"/>
          </w:tcPr>
          <w:p>
            <w:pPr>
              <w:pStyle w:val="TableParagraph"/>
              <w:spacing w:before="48"/>
              <w:ind w:left="3371" w:right="3365"/>
              <w:jc w:val="center"/>
              <w:rPr>
                <w:b/>
                <w:sz w:val="24"/>
              </w:rPr>
            </w:pPr>
            <w:r>
              <w:rPr>
                <w:b/>
                <w:sz w:val="24"/>
              </w:rPr>
              <w:t>Actividad Nivel 7</w:t>
            </w:r>
          </w:p>
        </w:tc>
      </w:tr>
      <w:tr>
        <w:trPr>
          <w:trHeight w:val="739" w:hRule="atLeast"/>
        </w:trPr>
        <w:tc>
          <w:tcPr>
            <w:tcW w:w="4803" w:type="dxa"/>
          </w:tcPr>
          <w:p>
            <w:pPr>
              <w:pStyle w:val="TableParagraph"/>
              <w:spacing w:before="233"/>
              <w:ind w:left="1196" w:right="1194"/>
              <w:jc w:val="center"/>
              <w:rPr>
                <w:sz w:val="24"/>
              </w:rPr>
            </w:pPr>
            <w:r>
              <w:rPr>
                <w:sz w:val="24"/>
              </w:rPr>
              <w:t>Alcantarillado</w:t>
            </w:r>
          </w:p>
        </w:tc>
        <w:tc>
          <w:tcPr>
            <w:tcW w:w="1956" w:type="dxa"/>
          </w:tcPr>
          <w:p>
            <w:pPr>
              <w:pStyle w:val="TableParagraph"/>
              <w:spacing w:before="233"/>
              <w:ind w:left="92" w:right="82"/>
              <w:jc w:val="center"/>
              <w:rPr>
                <w:sz w:val="24"/>
              </w:rPr>
            </w:pPr>
            <w:r>
              <w:rPr>
                <w:sz w:val="24"/>
              </w:rPr>
              <w:t>$514.00 + IVA</w:t>
            </w:r>
          </w:p>
        </w:tc>
        <w:tc>
          <w:tcPr>
            <w:tcW w:w="1949" w:type="dxa"/>
          </w:tcPr>
          <w:p>
            <w:pPr>
              <w:pStyle w:val="TableParagraph"/>
              <w:spacing w:before="233"/>
              <w:ind w:left="540"/>
              <w:rPr>
                <w:sz w:val="24"/>
              </w:rPr>
            </w:pPr>
            <w:r>
              <w:rPr>
                <w:sz w:val="24"/>
              </w:rPr>
              <w:t>$514.00</w:t>
            </w:r>
          </w:p>
        </w:tc>
      </w:tr>
      <w:tr>
        <w:trPr>
          <w:trHeight w:val="738" w:hRule="atLeast"/>
        </w:trPr>
        <w:tc>
          <w:tcPr>
            <w:tcW w:w="4803" w:type="dxa"/>
          </w:tcPr>
          <w:p>
            <w:pPr>
              <w:pStyle w:val="TableParagraph"/>
              <w:spacing w:before="233"/>
              <w:ind w:left="1196" w:right="1195"/>
              <w:jc w:val="center"/>
              <w:rPr>
                <w:sz w:val="24"/>
              </w:rPr>
            </w:pPr>
            <w:r>
              <w:rPr>
                <w:sz w:val="24"/>
              </w:rPr>
              <w:t>Planta de Tratamiento</w:t>
            </w:r>
          </w:p>
        </w:tc>
        <w:tc>
          <w:tcPr>
            <w:tcW w:w="1956" w:type="dxa"/>
          </w:tcPr>
          <w:p>
            <w:pPr>
              <w:pStyle w:val="TableParagraph"/>
              <w:spacing w:before="233"/>
              <w:ind w:left="92" w:right="82"/>
              <w:jc w:val="center"/>
              <w:rPr>
                <w:sz w:val="24"/>
              </w:rPr>
            </w:pPr>
            <w:r>
              <w:rPr>
                <w:sz w:val="24"/>
              </w:rPr>
              <w:t>$514.00 + IVA</w:t>
            </w:r>
          </w:p>
        </w:tc>
        <w:tc>
          <w:tcPr>
            <w:tcW w:w="1949" w:type="dxa"/>
          </w:tcPr>
          <w:p>
            <w:pPr>
              <w:pStyle w:val="TableParagraph"/>
              <w:spacing w:before="233"/>
              <w:ind w:left="540"/>
              <w:rPr>
                <w:sz w:val="24"/>
              </w:rPr>
            </w:pPr>
            <w:r>
              <w:rPr>
                <w:sz w:val="24"/>
              </w:rPr>
              <w:t>$514.00</w:t>
            </w:r>
          </w:p>
        </w:tc>
      </w:tr>
    </w:tbl>
    <w:p>
      <w:pPr>
        <w:pStyle w:val="BodyText"/>
        <w:rPr>
          <w:sz w:val="16"/>
        </w:rPr>
      </w:pPr>
    </w:p>
    <w:p>
      <w:pPr>
        <w:pStyle w:val="BodyText"/>
        <w:spacing w:before="92"/>
        <w:ind w:left="400" w:right="431"/>
        <w:jc w:val="both"/>
      </w:pPr>
      <w:r>
        <w:rPr/>
        <w:drawing>
          <wp:anchor distT="0" distB="0" distL="0" distR="0" allowOverlap="1" layoutInCell="1" locked="0" behindDoc="1" simplePos="0" relativeHeight="227523584">
            <wp:simplePos x="0" y="0"/>
            <wp:positionH relativeFrom="page">
              <wp:posOffset>1252555</wp:posOffset>
            </wp:positionH>
            <wp:positionV relativeFrom="paragraph">
              <wp:posOffset>-31294</wp:posOffset>
            </wp:positionV>
            <wp:extent cx="5022641" cy="5144769"/>
            <wp:effectExtent l="0" t="0" r="0" b="0"/>
            <wp:wrapNone/>
            <wp:docPr id="109" name="image50.png"/>
            <wp:cNvGraphicFramePr>
              <a:graphicFrameLocks noChangeAspect="1"/>
            </wp:cNvGraphicFramePr>
            <a:graphic>
              <a:graphicData uri="http://schemas.openxmlformats.org/drawingml/2006/picture">
                <pic:pic>
                  <pic:nvPicPr>
                    <pic:cNvPr id="110" name="image50.png"/>
                    <pic:cNvPicPr/>
                  </pic:nvPicPr>
                  <pic:blipFill>
                    <a:blip r:embed="rId60" cstate="print"/>
                    <a:stretch>
                      <a:fillRect/>
                    </a:stretch>
                  </pic:blipFill>
                  <pic:spPr>
                    <a:xfrm>
                      <a:off x="0" y="0"/>
                      <a:ext cx="5022641" cy="5144769"/>
                    </a:xfrm>
                    <a:prstGeom prst="rect">
                      <a:avLst/>
                    </a:prstGeom>
                  </pic:spPr>
                </pic:pic>
              </a:graphicData>
            </a:graphic>
          </wp:anchor>
        </w:drawing>
      </w:r>
      <w:r>
        <w:rPr/>
        <w:t>Albercas y escuelas de natación; giros negros; antros y centros nocturnos; clínica y hospitales; embotelladoras de agua; hoteles; moteles y posadas; tienda de autoservicio; club deportivo; </w:t>
      </w:r>
      <w:r>
        <w:rPr>
          <w:spacing w:val="2"/>
        </w:rPr>
        <w:t>centros </w:t>
      </w:r>
      <w:r>
        <w:rPr/>
        <w:t>botaneros; central de autobuses; condominios de </w:t>
      </w:r>
      <w:r>
        <w:rPr>
          <w:spacing w:val="8"/>
        </w:rPr>
        <w:t>21 </w:t>
      </w:r>
      <w:r>
        <w:rPr/>
        <w:t>o más departamentos; cines; plazas comerciales y tiendas departamentales; centros  de apuestas; escuelas privadas de nivel superior; fábricas de hielo; y</w:t>
      </w:r>
      <w:r>
        <w:rPr>
          <w:spacing w:val="-3"/>
        </w:rPr>
        <w:t> </w:t>
      </w:r>
      <w:r>
        <w:rPr/>
        <w:t>ferrocarriles.</w:t>
      </w:r>
    </w:p>
    <w:p>
      <w:pPr>
        <w:pStyle w:val="BodyText"/>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0"/>
        <w:gridCol w:w="1567"/>
        <w:gridCol w:w="1759"/>
        <w:gridCol w:w="1762"/>
      </w:tblGrid>
      <w:tr>
        <w:trPr>
          <w:trHeight w:val="738" w:hRule="atLeast"/>
        </w:trPr>
        <w:tc>
          <w:tcPr>
            <w:tcW w:w="8818" w:type="dxa"/>
            <w:gridSpan w:val="4"/>
          </w:tcPr>
          <w:p>
            <w:pPr>
              <w:pStyle w:val="TableParagraph"/>
              <w:spacing w:before="233"/>
              <w:ind w:left="3426" w:right="3420"/>
              <w:jc w:val="center"/>
              <w:rPr>
                <w:b/>
                <w:sz w:val="24"/>
              </w:rPr>
            </w:pPr>
            <w:r>
              <w:rPr>
                <w:b/>
                <w:sz w:val="24"/>
              </w:rPr>
              <w:t>Actividad Nivel 9</w:t>
            </w:r>
          </w:p>
        </w:tc>
      </w:tr>
      <w:tr>
        <w:trPr>
          <w:trHeight w:val="738" w:hRule="atLeast"/>
        </w:trPr>
        <w:tc>
          <w:tcPr>
            <w:tcW w:w="3730" w:type="dxa"/>
            <w:vMerge w:val="restart"/>
          </w:tcPr>
          <w:p>
            <w:pPr>
              <w:pStyle w:val="TableParagraph"/>
              <w:rPr>
                <w:rFonts w:ascii="Times New Roman"/>
                <w:sz w:val="24"/>
              </w:rPr>
            </w:pPr>
          </w:p>
        </w:tc>
        <w:tc>
          <w:tcPr>
            <w:tcW w:w="1567" w:type="dxa"/>
          </w:tcPr>
          <w:p>
            <w:pPr>
              <w:pStyle w:val="TableParagraph"/>
              <w:spacing w:before="94"/>
              <w:ind w:left="69" w:right="41" w:firstLine="285"/>
              <w:rPr>
                <w:sz w:val="24"/>
              </w:rPr>
            </w:pPr>
            <w:r>
              <w:rPr>
                <w:sz w:val="24"/>
              </w:rPr>
              <w:t>TARIFA COMERCIAL</w:t>
            </w:r>
          </w:p>
        </w:tc>
        <w:tc>
          <w:tcPr>
            <w:tcW w:w="1759" w:type="dxa"/>
          </w:tcPr>
          <w:p>
            <w:pPr>
              <w:pStyle w:val="TableParagraph"/>
              <w:spacing w:before="94"/>
              <w:ind w:left="166" w:right="136" w:firstLine="285"/>
              <w:rPr>
                <w:sz w:val="24"/>
              </w:rPr>
            </w:pPr>
            <w:r>
              <w:rPr>
                <w:sz w:val="24"/>
              </w:rPr>
              <w:t>TARIFA DOMESTICA</w:t>
            </w:r>
          </w:p>
        </w:tc>
        <w:tc>
          <w:tcPr>
            <w:tcW w:w="1762" w:type="dxa"/>
          </w:tcPr>
          <w:p>
            <w:pPr>
              <w:pStyle w:val="TableParagraph"/>
              <w:spacing w:before="94"/>
              <w:ind w:left="166" w:right="139" w:firstLine="285"/>
              <w:rPr>
                <w:sz w:val="24"/>
              </w:rPr>
            </w:pPr>
            <w:r>
              <w:rPr>
                <w:sz w:val="24"/>
              </w:rPr>
              <w:t>TARIFA COMERCIAL</w:t>
            </w:r>
          </w:p>
        </w:tc>
      </w:tr>
      <w:tr>
        <w:trPr>
          <w:trHeight w:val="741" w:hRule="atLeast"/>
        </w:trPr>
        <w:tc>
          <w:tcPr>
            <w:tcW w:w="3730" w:type="dxa"/>
            <w:vMerge/>
            <w:tcBorders>
              <w:top w:val="nil"/>
            </w:tcBorders>
          </w:tcPr>
          <w:p>
            <w:pPr>
              <w:rPr>
                <w:sz w:val="2"/>
                <w:szCs w:val="2"/>
              </w:rPr>
            </w:pPr>
          </w:p>
        </w:tc>
        <w:tc>
          <w:tcPr>
            <w:tcW w:w="1567" w:type="dxa"/>
          </w:tcPr>
          <w:p>
            <w:pPr>
              <w:pStyle w:val="TableParagraph"/>
              <w:spacing w:before="233"/>
              <w:ind w:left="616" w:right="606"/>
              <w:jc w:val="center"/>
              <w:rPr>
                <w:sz w:val="24"/>
              </w:rPr>
            </w:pPr>
            <w:r>
              <w:rPr>
                <w:sz w:val="24"/>
              </w:rPr>
              <w:t>9A</w:t>
            </w:r>
          </w:p>
        </w:tc>
        <w:tc>
          <w:tcPr>
            <w:tcW w:w="1759" w:type="dxa"/>
          </w:tcPr>
          <w:p>
            <w:pPr>
              <w:pStyle w:val="TableParagraph"/>
              <w:spacing w:before="233"/>
              <w:ind w:left="95" w:right="84"/>
              <w:jc w:val="center"/>
              <w:rPr>
                <w:sz w:val="24"/>
              </w:rPr>
            </w:pPr>
            <w:r>
              <w:rPr>
                <w:sz w:val="24"/>
              </w:rPr>
              <w:t>9B</w:t>
            </w:r>
          </w:p>
        </w:tc>
        <w:tc>
          <w:tcPr>
            <w:tcW w:w="1762" w:type="dxa"/>
          </w:tcPr>
          <w:p>
            <w:pPr>
              <w:pStyle w:val="TableParagraph"/>
              <w:spacing w:before="233"/>
              <w:ind w:left="425" w:right="417"/>
              <w:jc w:val="center"/>
              <w:rPr>
                <w:sz w:val="24"/>
              </w:rPr>
            </w:pPr>
            <w:r>
              <w:rPr>
                <w:sz w:val="24"/>
              </w:rPr>
              <w:t>9C</w:t>
            </w:r>
          </w:p>
        </w:tc>
      </w:tr>
      <w:tr>
        <w:trPr>
          <w:trHeight w:val="738" w:hRule="atLeast"/>
        </w:trPr>
        <w:tc>
          <w:tcPr>
            <w:tcW w:w="3730" w:type="dxa"/>
          </w:tcPr>
          <w:p>
            <w:pPr>
              <w:pStyle w:val="TableParagraph"/>
              <w:spacing w:before="230"/>
              <w:ind w:left="661" w:right="657"/>
              <w:jc w:val="center"/>
              <w:rPr>
                <w:sz w:val="24"/>
              </w:rPr>
            </w:pPr>
            <w:r>
              <w:rPr>
                <w:sz w:val="24"/>
              </w:rPr>
              <w:t>Consumo de Agua</w:t>
            </w:r>
          </w:p>
        </w:tc>
        <w:tc>
          <w:tcPr>
            <w:tcW w:w="1567" w:type="dxa"/>
          </w:tcPr>
          <w:p>
            <w:pPr>
              <w:pStyle w:val="TableParagraph"/>
              <w:spacing w:before="94"/>
              <w:ind w:left="590" w:right="119" w:hanging="447"/>
              <w:rPr>
                <w:sz w:val="24"/>
              </w:rPr>
            </w:pPr>
            <w:r>
              <w:rPr>
                <w:sz w:val="24"/>
              </w:rPr>
              <w:t>$2,978.00 + IVA</w:t>
            </w:r>
          </w:p>
        </w:tc>
        <w:tc>
          <w:tcPr>
            <w:tcW w:w="1759" w:type="dxa"/>
          </w:tcPr>
          <w:p>
            <w:pPr>
              <w:pStyle w:val="TableParagraph"/>
              <w:spacing w:before="230"/>
              <w:ind w:left="95" w:right="84"/>
              <w:jc w:val="center"/>
              <w:rPr>
                <w:sz w:val="24"/>
              </w:rPr>
            </w:pPr>
            <w:r>
              <w:rPr>
                <w:sz w:val="24"/>
              </w:rPr>
              <w:t>$2,978.00</w:t>
            </w:r>
          </w:p>
        </w:tc>
        <w:tc>
          <w:tcPr>
            <w:tcW w:w="1762" w:type="dxa"/>
          </w:tcPr>
          <w:p>
            <w:pPr>
              <w:pStyle w:val="TableParagraph"/>
              <w:spacing w:before="94"/>
              <w:ind w:left="687" w:right="217" w:hanging="447"/>
              <w:rPr>
                <w:sz w:val="24"/>
              </w:rPr>
            </w:pPr>
            <w:r>
              <w:rPr>
                <w:sz w:val="24"/>
              </w:rPr>
              <w:t>$4,756.00 + IVA</w:t>
            </w:r>
          </w:p>
        </w:tc>
      </w:tr>
      <w:tr>
        <w:trPr>
          <w:trHeight w:val="739" w:hRule="atLeast"/>
        </w:trPr>
        <w:tc>
          <w:tcPr>
            <w:tcW w:w="3730" w:type="dxa"/>
          </w:tcPr>
          <w:p>
            <w:pPr>
              <w:pStyle w:val="TableParagraph"/>
              <w:spacing w:before="231"/>
              <w:ind w:left="661" w:right="657"/>
              <w:jc w:val="center"/>
              <w:rPr>
                <w:sz w:val="24"/>
              </w:rPr>
            </w:pPr>
            <w:r>
              <w:rPr>
                <w:sz w:val="24"/>
              </w:rPr>
              <w:t>Alcantarillado</w:t>
            </w:r>
          </w:p>
        </w:tc>
        <w:tc>
          <w:tcPr>
            <w:tcW w:w="1567" w:type="dxa"/>
          </w:tcPr>
          <w:p>
            <w:pPr>
              <w:pStyle w:val="TableParagraph"/>
              <w:spacing w:before="94"/>
              <w:ind w:left="590" w:right="218" w:hanging="346"/>
              <w:rPr>
                <w:sz w:val="24"/>
              </w:rPr>
            </w:pPr>
            <w:r>
              <w:rPr>
                <w:sz w:val="24"/>
              </w:rPr>
              <w:t>$993.00 + IVA</w:t>
            </w:r>
          </w:p>
        </w:tc>
        <w:tc>
          <w:tcPr>
            <w:tcW w:w="1759" w:type="dxa"/>
          </w:tcPr>
          <w:p>
            <w:pPr>
              <w:pStyle w:val="TableParagraph"/>
              <w:spacing w:before="231"/>
              <w:ind w:left="94" w:right="85"/>
              <w:jc w:val="center"/>
              <w:rPr>
                <w:sz w:val="24"/>
              </w:rPr>
            </w:pPr>
            <w:r>
              <w:rPr>
                <w:sz w:val="24"/>
              </w:rPr>
              <w:t>$993.00</w:t>
            </w:r>
          </w:p>
        </w:tc>
        <w:tc>
          <w:tcPr>
            <w:tcW w:w="1762" w:type="dxa"/>
          </w:tcPr>
          <w:p>
            <w:pPr>
              <w:pStyle w:val="TableParagraph"/>
              <w:spacing w:before="94"/>
              <w:ind w:left="687" w:right="217" w:hanging="447"/>
              <w:rPr>
                <w:sz w:val="24"/>
              </w:rPr>
            </w:pPr>
            <w:r>
              <w:rPr>
                <w:sz w:val="24"/>
              </w:rPr>
              <w:t>$1,585.00 + IVA</w:t>
            </w:r>
          </w:p>
        </w:tc>
      </w:tr>
      <w:tr>
        <w:trPr>
          <w:trHeight w:val="738" w:hRule="atLeast"/>
        </w:trPr>
        <w:tc>
          <w:tcPr>
            <w:tcW w:w="3730" w:type="dxa"/>
          </w:tcPr>
          <w:p>
            <w:pPr>
              <w:pStyle w:val="TableParagraph"/>
              <w:spacing w:before="230"/>
              <w:ind w:left="661" w:right="657"/>
              <w:jc w:val="center"/>
              <w:rPr>
                <w:sz w:val="24"/>
              </w:rPr>
            </w:pPr>
            <w:r>
              <w:rPr>
                <w:sz w:val="24"/>
              </w:rPr>
              <w:t>Planta de Tratamiento</w:t>
            </w:r>
          </w:p>
        </w:tc>
        <w:tc>
          <w:tcPr>
            <w:tcW w:w="1567" w:type="dxa"/>
          </w:tcPr>
          <w:p>
            <w:pPr>
              <w:pStyle w:val="TableParagraph"/>
              <w:spacing w:before="94"/>
              <w:ind w:left="590" w:right="218" w:hanging="346"/>
              <w:rPr>
                <w:sz w:val="24"/>
              </w:rPr>
            </w:pPr>
            <w:r>
              <w:rPr>
                <w:sz w:val="24"/>
              </w:rPr>
              <w:t>$993.00 + IVA</w:t>
            </w:r>
          </w:p>
        </w:tc>
        <w:tc>
          <w:tcPr>
            <w:tcW w:w="1759" w:type="dxa"/>
          </w:tcPr>
          <w:p>
            <w:pPr>
              <w:pStyle w:val="TableParagraph"/>
              <w:spacing w:before="230"/>
              <w:ind w:left="94" w:right="85"/>
              <w:jc w:val="center"/>
              <w:rPr>
                <w:sz w:val="24"/>
              </w:rPr>
            </w:pPr>
            <w:r>
              <w:rPr>
                <w:sz w:val="24"/>
              </w:rPr>
              <w:t>$993.00</w:t>
            </w:r>
          </w:p>
        </w:tc>
        <w:tc>
          <w:tcPr>
            <w:tcW w:w="1762" w:type="dxa"/>
          </w:tcPr>
          <w:p>
            <w:pPr>
              <w:pStyle w:val="TableParagraph"/>
              <w:spacing w:before="94"/>
              <w:ind w:left="687" w:right="217" w:hanging="447"/>
              <w:rPr>
                <w:sz w:val="24"/>
              </w:rPr>
            </w:pPr>
            <w:r>
              <w:rPr>
                <w:sz w:val="24"/>
              </w:rPr>
              <w:t>$1,585.00 + IVA</w:t>
            </w:r>
          </w:p>
        </w:tc>
      </w:tr>
    </w:tbl>
    <w:p>
      <w:pPr>
        <w:pStyle w:val="BodyText"/>
      </w:pP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64"/>
        <w:gridCol w:w="2924"/>
      </w:tblGrid>
      <w:tr>
        <w:trPr>
          <w:trHeight w:val="738" w:hRule="atLeast"/>
        </w:trPr>
        <w:tc>
          <w:tcPr>
            <w:tcW w:w="8788" w:type="dxa"/>
            <w:gridSpan w:val="2"/>
          </w:tcPr>
          <w:p>
            <w:pPr>
              <w:pStyle w:val="TableParagraph"/>
              <w:spacing w:before="233"/>
              <w:ind w:left="3345" w:right="3338"/>
              <w:jc w:val="center"/>
              <w:rPr>
                <w:b/>
                <w:sz w:val="24"/>
              </w:rPr>
            </w:pPr>
            <w:r>
              <w:rPr>
                <w:b/>
                <w:sz w:val="24"/>
              </w:rPr>
              <w:t>Actividad Nivel 15</w:t>
            </w:r>
          </w:p>
        </w:tc>
      </w:tr>
      <w:tr>
        <w:trPr>
          <w:trHeight w:val="738" w:hRule="atLeast"/>
        </w:trPr>
        <w:tc>
          <w:tcPr>
            <w:tcW w:w="5864" w:type="dxa"/>
            <w:vMerge w:val="restart"/>
          </w:tcPr>
          <w:p>
            <w:pPr>
              <w:pStyle w:val="TableParagraph"/>
              <w:rPr>
                <w:rFonts w:ascii="Times New Roman"/>
                <w:sz w:val="24"/>
              </w:rPr>
            </w:pPr>
          </w:p>
        </w:tc>
        <w:tc>
          <w:tcPr>
            <w:tcW w:w="2924" w:type="dxa"/>
          </w:tcPr>
          <w:p>
            <w:pPr>
              <w:pStyle w:val="TableParagraph"/>
              <w:spacing w:before="233"/>
              <w:ind w:left="266" w:right="261"/>
              <w:jc w:val="center"/>
              <w:rPr>
                <w:sz w:val="24"/>
              </w:rPr>
            </w:pPr>
            <w:r>
              <w:rPr>
                <w:sz w:val="24"/>
              </w:rPr>
              <w:t>TARIFA COMERCIAL</w:t>
            </w:r>
          </w:p>
        </w:tc>
      </w:tr>
      <w:tr>
        <w:trPr>
          <w:trHeight w:val="739" w:hRule="atLeast"/>
        </w:trPr>
        <w:tc>
          <w:tcPr>
            <w:tcW w:w="5864" w:type="dxa"/>
            <w:vMerge/>
            <w:tcBorders>
              <w:top w:val="nil"/>
            </w:tcBorders>
          </w:tcPr>
          <w:p>
            <w:pPr>
              <w:rPr>
                <w:sz w:val="2"/>
                <w:szCs w:val="2"/>
              </w:rPr>
            </w:pPr>
          </w:p>
        </w:tc>
        <w:tc>
          <w:tcPr>
            <w:tcW w:w="2924" w:type="dxa"/>
          </w:tcPr>
          <w:p>
            <w:pPr>
              <w:pStyle w:val="TableParagraph"/>
              <w:spacing w:before="233"/>
              <w:ind w:left="266" w:right="258"/>
              <w:jc w:val="center"/>
              <w:rPr>
                <w:sz w:val="24"/>
              </w:rPr>
            </w:pPr>
            <w:r>
              <w:rPr>
                <w:sz w:val="24"/>
              </w:rPr>
              <w:t>15A</w:t>
            </w:r>
          </w:p>
        </w:tc>
      </w:tr>
      <w:tr>
        <w:trPr>
          <w:trHeight w:val="738" w:hRule="atLeast"/>
        </w:trPr>
        <w:tc>
          <w:tcPr>
            <w:tcW w:w="5864" w:type="dxa"/>
          </w:tcPr>
          <w:p>
            <w:pPr>
              <w:pStyle w:val="TableParagraph"/>
              <w:spacing w:before="233"/>
              <w:ind w:left="1729" w:right="1723"/>
              <w:jc w:val="center"/>
              <w:rPr>
                <w:sz w:val="24"/>
              </w:rPr>
            </w:pPr>
            <w:r>
              <w:rPr>
                <w:sz w:val="24"/>
              </w:rPr>
              <w:t>Consumo de Agua</w:t>
            </w:r>
          </w:p>
        </w:tc>
        <w:tc>
          <w:tcPr>
            <w:tcW w:w="2924" w:type="dxa"/>
          </w:tcPr>
          <w:p>
            <w:pPr>
              <w:pStyle w:val="TableParagraph"/>
              <w:spacing w:before="233"/>
              <w:ind w:left="266" w:right="197"/>
              <w:jc w:val="center"/>
              <w:rPr>
                <w:sz w:val="24"/>
              </w:rPr>
            </w:pPr>
            <w:r>
              <w:rPr>
                <w:sz w:val="24"/>
              </w:rPr>
              <w:t>$ 10,920.00 + IVA</w:t>
            </w:r>
          </w:p>
        </w:tc>
      </w:tr>
      <w:tr>
        <w:trPr>
          <w:trHeight w:val="738" w:hRule="atLeast"/>
        </w:trPr>
        <w:tc>
          <w:tcPr>
            <w:tcW w:w="5864" w:type="dxa"/>
          </w:tcPr>
          <w:p>
            <w:pPr>
              <w:pStyle w:val="TableParagraph"/>
              <w:spacing w:before="233"/>
              <w:ind w:left="1729" w:right="1722"/>
              <w:jc w:val="center"/>
              <w:rPr>
                <w:sz w:val="24"/>
              </w:rPr>
            </w:pPr>
            <w:r>
              <w:rPr>
                <w:sz w:val="24"/>
              </w:rPr>
              <w:t>Alcantarillado</w:t>
            </w:r>
          </w:p>
        </w:tc>
        <w:tc>
          <w:tcPr>
            <w:tcW w:w="2924" w:type="dxa"/>
          </w:tcPr>
          <w:p>
            <w:pPr>
              <w:pStyle w:val="TableParagraph"/>
              <w:spacing w:before="233"/>
              <w:ind w:left="265" w:right="261"/>
              <w:jc w:val="center"/>
              <w:rPr>
                <w:sz w:val="24"/>
              </w:rPr>
            </w:pPr>
            <w:r>
              <w:rPr>
                <w:sz w:val="24"/>
              </w:rPr>
              <w:t>$ 3,600.00 + IVA</w:t>
            </w:r>
          </w:p>
        </w:tc>
      </w:tr>
      <w:tr>
        <w:trPr>
          <w:trHeight w:val="741" w:hRule="atLeast"/>
        </w:trPr>
        <w:tc>
          <w:tcPr>
            <w:tcW w:w="5864" w:type="dxa"/>
          </w:tcPr>
          <w:p>
            <w:pPr>
              <w:pStyle w:val="TableParagraph"/>
              <w:spacing w:before="233"/>
              <w:ind w:left="1729" w:right="1723"/>
              <w:jc w:val="center"/>
              <w:rPr>
                <w:sz w:val="24"/>
              </w:rPr>
            </w:pPr>
            <w:r>
              <w:rPr>
                <w:sz w:val="24"/>
              </w:rPr>
              <w:t>Planta de Tratamiento</w:t>
            </w:r>
          </w:p>
        </w:tc>
        <w:tc>
          <w:tcPr>
            <w:tcW w:w="2924" w:type="dxa"/>
          </w:tcPr>
          <w:p>
            <w:pPr>
              <w:pStyle w:val="TableParagraph"/>
              <w:spacing w:before="233"/>
              <w:ind w:left="265" w:right="261"/>
              <w:jc w:val="center"/>
              <w:rPr>
                <w:sz w:val="24"/>
              </w:rPr>
            </w:pPr>
            <w:r>
              <w:rPr>
                <w:sz w:val="24"/>
              </w:rPr>
              <w:t>$ 3,600.00 + IVA</w:t>
            </w:r>
          </w:p>
        </w:tc>
      </w:tr>
    </w:tbl>
    <w:p>
      <w:pPr>
        <w:spacing w:after="0"/>
        <w:jc w:val="center"/>
        <w:rPr>
          <w:sz w:val="24"/>
        </w:rPr>
        <w:sectPr>
          <w:pgSz w:w="12250" w:h="15850"/>
          <w:pgMar w:header="730" w:footer="0" w:top="1000" w:bottom="280" w:left="860" w:right="820"/>
        </w:sectPr>
      </w:pPr>
    </w:p>
    <w:p>
      <w:pPr>
        <w:pStyle w:val="BodyText"/>
        <w:spacing w:before="183"/>
        <w:ind w:left="400" w:right="433"/>
        <w:jc w:val="both"/>
      </w:pPr>
      <w:r>
        <w:rPr/>
        <w:t>A los giros comerciales que no se mencionan en las tarifas con clave 3B, 3C, 3D, 4B, </w:t>
      </w:r>
      <w:r>
        <w:rPr>
          <w:spacing w:val="4"/>
        </w:rPr>
        <w:t>4C </w:t>
      </w:r>
      <w:r>
        <w:rPr/>
        <w:t>y 4D, y todos aquellos que por sus características requieran el uso y consumo de un volumen de agua superior a los 30 metros cúbicos por mes, siempre que su actividad no corresponda a la industrial y no exceda de 500 metros cúbicos al mes, se realizará inspección previa para determinar el cobro</w:t>
      </w:r>
      <w:r>
        <w:rPr>
          <w:spacing w:val="4"/>
        </w:rPr>
        <w:t> </w:t>
      </w:r>
      <w:r>
        <w:rPr/>
        <w:t>correspondiente.</w:t>
      </w:r>
    </w:p>
    <w:p>
      <w:pPr>
        <w:pStyle w:val="BodyText"/>
      </w:pPr>
    </w:p>
    <w:p>
      <w:pPr>
        <w:pStyle w:val="BodyText"/>
        <w:ind w:left="400"/>
        <w:jc w:val="both"/>
      </w:pPr>
      <w:r>
        <w:rPr/>
        <w:t>En lo referente a los cambios de tarifa comercial a tarifa doméstica, se tendrá un costo de</w:t>
      </w:r>
    </w:p>
    <w:p>
      <w:pPr>
        <w:pStyle w:val="BodyText"/>
        <w:ind w:left="400" w:right="438"/>
        <w:jc w:val="both"/>
      </w:pPr>
      <w:r>
        <w:rPr/>
        <w:drawing>
          <wp:anchor distT="0" distB="0" distL="0" distR="0" allowOverlap="1" layoutInCell="1" locked="0" behindDoc="1" simplePos="0" relativeHeight="227524608">
            <wp:simplePos x="0" y="0"/>
            <wp:positionH relativeFrom="page">
              <wp:posOffset>1239220</wp:posOffset>
            </wp:positionH>
            <wp:positionV relativeFrom="paragraph">
              <wp:posOffset>67257</wp:posOffset>
            </wp:positionV>
            <wp:extent cx="5022641" cy="5144769"/>
            <wp:effectExtent l="0" t="0" r="0" b="0"/>
            <wp:wrapNone/>
            <wp:docPr id="111" name="image51.png"/>
            <wp:cNvGraphicFramePr>
              <a:graphicFrameLocks noChangeAspect="1"/>
            </wp:cNvGraphicFramePr>
            <a:graphic>
              <a:graphicData uri="http://schemas.openxmlformats.org/drawingml/2006/picture">
                <pic:pic>
                  <pic:nvPicPr>
                    <pic:cNvPr id="112" name="image51.png"/>
                    <pic:cNvPicPr/>
                  </pic:nvPicPr>
                  <pic:blipFill>
                    <a:blip r:embed="rId61" cstate="print"/>
                    <a:stretch>
                      <a:fillRect/>
                    </a:stretch>
                  </pic:blipFill>
                  <pic:spPr>
                    <a:xfrm>
                      <a:off x="0" y="0"/>
                      <a:ext cx="5022641" cy="5144769"/>
                    </a:xfrm>
                    <a:prstGeom prst="rect">
                      <a:avLst/>
                    </a:prstGeom>
                  </pic:spPr>
                </pic:pic>
              </a:graphicData>
            </a:graphic>
          </wp:anchor>
        </w:drawing>
      </w:r>
      <w:r>
        <w:rPr/>
        <w:t>$50.00 pesos más IVA, el cual podrá exentarse al presentar baja de licencia de funcionamiento o, en su defecto, la inspección correspondiente.</w:t>
      </w:r>
    </w:p>
    <w:p>
      <w:pPr>
        <w:pStyle w:val="BodyText"/>
        <w:spacing w:before="11"/>
        <w:rPr>
          <w:sz w:val="31"/>
        </w:rPr>
      </w:pPr>
    </w:p>
    <w:p>
      <w:pPr>
        <w:pStyle w:val="Heading1"/>
        <w:numPr>
          <w:ilvl w:val="1"/>
          <w:numId w:val="55"/>
        </w:numPr>
        <w:tabs>
          <w:tab w:pos="1393" w:val="left" w:leader="none"/>
          <w:tab w:pos="1394" w:val="left" w:leader="none"/>
        </w:tabs>
        <w:spacing w:line="240" w:lineRule="auto" w:before="0" w:after="0"/>
        <w:ind w:left="1394" w:right="0" w:hanging="711"/>
        <w:jc w:val="left"/>
      </w:pPr>
      <w:r>
        <w:rPr/>
        <w:t>Uso comercial con actividad</w:t>
      </w:r>
      <w:r>
        <w:rPr>
          <w:spacing w:val="-4"/>
        </w:rPr>
        <w:t> </w:t>
      </w:r>
      <w:r>
        <w:rPr/>
        <w:t>industrial.</w:t>
      </w:r>
    </w:p>
    <w:p>
      <w:pPr>
        <w:pStyle w:val="BodyText"/>
        <w:rPr>
          <w:b/>
        </w:rPr>
      </w:pPr>
    </w:p>
    <w:p>
      <w:pPr>
        <w:pStyle w:val="BodyText"/>
        <w:ind w:left="400" w:right="432"/>
        <w:jc w:val="both"/>
      </w:pPr>
      <w:r>
        <w:rPr/>
        <w:t>Se considera agua de uso industrial la aplicación del agua en fábricas o empresas que realicen la extracción, conservación o transformación de materias primas o minerales, el acabado de productos o la elaboración de satisfactores, así como el agua que se utiliza en parques industriales, calderas, dispositivos para enfriamiento, lavado, baños y otros servicios dentro de la empresa, las salmueras que se utilizan para la extracción de cualquier tipo de sustancias y el agua aun en estado de vapor, que sea usada para la generación de energía eléctrica o para cualquier otro uso o aprovechamiento de transformación.</w:t>
      </w:r>
    </w:p>
    <w:p>
      <w:pPr>
        <w:pStyle w:val="BodyText"/>
        <w:spacing w:before="2"/>
        <w:rPr>
          <w:sz w:val="32"/>
        </w:rPr>
      </w:pPr>
    </w:p>
    <w:p>
      <w:pPr>
        <w:pStyle w:val="Heading1"/>
        <w:numPr>
          <w:ilvl w:val="1"/>
          <w:numId w:val="55"/>
        </w:numPr>
        <w:tabs>
          <w:tab w:pos="1393" w:val="left" w:leader="none"/>
          <w:tab w:pos="1394" w:val="left" w:leader="none"/>
        </w:tabs>
        <w:spacing w:line="240" w:lineRule="auto" w:before="1" w:after="0"/>
        <w:ind w:left="1394" w:right="439" w:hanging="711"/>
        <w:jc w:val="left"/>
      </w:pPr>
      <w:r>
        <w:rPr>
          <w:spacing w:val="-3"/>
        </w:rPr>
        <w:t>Tarifa de </w:t>
      </w:r>
      <w:r>
        <w:rPr/>
        <w:t>servicio medido mensual para agua potable, alcantarillado y saneamiento.</w:t>
      </w:r>
    </w:p>
    <w:p>
      <w:pPr>
        <w:pStyle w:val="BodyText"/>
        <w:rPr>
          <w:b/>
        </w:rPr>
      </w:pPr>
    </w:p>
    <w:p>
      <w:pPr>
        <w:pStyle w:val="BodyText"/>
        <w:ind w:left="400" w:right="434"/>
        <w:jc w:val="both"/>
      </w:pPr>
      <w:r>
        <w:rPr/>
        <w:t>Si se cuenta con medidor instalado se pagarán mensualmente las cuotas por el servicio de suministro de agua potable de acuerdo con lo siguiente:</w:t>
      </w:r>
    </w:p>
    <w:p>
      <w:pPr>
        <w:pStyle w:val="BodyText"/>
      </w:pPr>
    </w:p>
    <w:tbl>
      <w:tblPr>
        <w:tblW w:w="0" w:type="auto"/>
        <w:jc w:val="left"/>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0"/>
        <w:gridCol w:w="1135"/>
        <w:gridCol w:w="1702"/>
        <w:gridCol w:w="1346"/>
      </w:tblGrid>
      <w:tr>
        <w:trPr>
          <w:trHeight w:val="709" w:hRule="atLeast"/>
        </w:trPr>
        <w:tc>
          <w:tcPr>
            <w:tcW w:w="4710" w:type="dxa"/>
          </w:tcPr>
          <w:p>
            <w:pPr>
              <w:pStyle w:val="TableParagraph"/>
              <w:ind w:left="1591" w:right="1575"/>
              <w:jc w:val="center"/>
              <w:rPr>
                <w:b/>
                <w:sz w:val="24"/>
              </w:rPr>
            </w:pPr>
            <w:r>
              <w:rPr>
                <w:b/>
                <w:sz w:val="24"/>
              </w:rPr>
              <w:t>Metro cúbico</w:t>
            </w:r>
          </w:p>
        </w:tc>
        <w:tc>
          <w:tcPr>
            <w:tcW w:w="4183" w:type="dxa"/>
            <w:gridSpan w:val="3"/>
            <w:tcBorders>
              <w:top w:val="single" w:sz="8" w:space="0" w:color="000000"/>
              <w:bottom w:val="single" w:sz="8" w:space="0" w:color="000000"/>
              <w:right w:val="single" w:sz="8" w:space="0" w:color="000000"/>
            </w:tcBorders>
          </w:tcPr>
          <w:p>
            <w:pPr>
              <w:pStyle w:val="TableParagraph"/>
              <w:spacing w:before="218"/>
              <w:ind w:left="1611" w:right="1597"/>
              <w:jc w:val="center"/>
              <w:rPr>
                <w:b/>
                <w:sz w:val="24"/>
              </w:rPr>
            </w:pPr>
            <w:r>
              <w:rPr>
                <w:b/>
                <w:sz w:val="24"/>
              </w:rPr>
              <w:t>ZONA B</w:t>
            </w:r>
          </w:p>
        </w:tc>
      </w:tr>
      <w:tr>
        <w:trPr>
          <w:trHeight w:val="1112" w:hRule="atLeast"/>
        </w:trPr>
        <w:tc>
          <w:tcPr>
            <w:tcW w:w="4710" w:type="dxa"/>
            <w:tcBorders>
              <w:left w:val="single" w:sz="8" w:space="0" w:color="000000"/>
              <w:bottom w:val="single" w:sz="8" w:space="0" w:color="000000"/>
              <w:right w:val="single" w:sz="8" w:space="0" w:color="000000"/>
            </w:tcBorders>
          </w:tcPr>
          <w:p>
            <w:pPr>
              <w:pStyle w:val="TableParagraph"/>
              <w:rPr>
                <w:rFonts w:ascii="Times New Roman"/>
                <w:sz w:val="24"/>
              </w:rPr>
            </w:pPr>
          </w:p>
        </w:tc>
        <w:tc>
          <w:tcPr>
            <w:tcW w:w="1135" w:type="dxa"/>
            <w:tcBorders>
              <w:top w:val="single" w:sz="8" w:space="0" w:color="000000"/>
              <w:left w:val="single" w:sz="8" w:space="0" w:color="000000"/>
              <w:right w:val="single" w:sz="8" w:space="0" w:color="000000"/>
            </w:tcBorders>
          </w:tcPr>
          <w:p>
            <w:pPr>
              <w:pStyle w:val="TableParagraph"/>
              <w:spacing w:before="7"/>
              <w:rPr>
                <w:sz w:val="24"/>
              </w:rPr>
            </w:pPr>
          </w:p>
          <w:p>
            <w:pPr>
              <w:pStyle w:val="TableParagraph"/>
              <w:ind w:left="114" w:right="18" w:hanging="65"/>
              <w:rPr>
                <w:sz w:val="24"/>
              </w:rPr>
            </w:pPr>
            <w:r>
              <w:rPr>
                <w:sz w:val="24"/>
              </w:rPr>
              <w:t>Consumo de Agua</w:t>
            </w:r>
          </w:p>
        </w:tc>
        <w:tc>
          <w:tcPr>
            <w:tcW w:w="1702" w:type="dxa"/>
            <w:tcBorders>
              <w:top w:val="single" w:sz="8" w:space="0" w:color="000000"/>
              <w:left w:val="single" w:sz="8" w:space="0" w:color="000000"/>
              <w:right w:val="single" w:sz="8" w:space="0" w:color="000000"/>
            </w:tcBorders>
          </w:tcPr>
          <w:p>
            <w:pPr>
              <w:pStyle w:val="TableParagraph"/>
              <w:spacing w:before="8"/>
              <w:rPr>
                <w:sz w:val="36"/>
              </w:rPr>
            </w:pPr>
          </w:p>
          <w:p>
            <w:pPr>
              <w:pStyle w:val="TableParagraph"/>
              <w:ind w:left="105" w:right="94"/>
              <w:jc w:val="center"/>
              <w:rPr>
                <w:sz w:val="24"/>
              </w:rPr>
            </w:pPr>
            <w:r>
              <w:rPr>
                <w:sz w:val="24"/>
              </w:rPr>
              <w:t>Alcantarillado</w:t>
            </w:r>
          </w:p>
        </w:tc>
        <w:tc>
          <w:tcPr>
            <w:tcW w:w="1346" w:type="dxa"/>
            <w:tcBorders>
              <w:top w:val="single" w:sz="8" w:space="0" w:color="000000"/>
              <w:left w:val="single" w:sz="8" w:space="0" w:color="000000"/>
              <w:right w:val="single" w:sz="8" w:space="0" w:color="000000"/>
            </w:tcBorders>
          </w:tcPr>
          <w:p>
            <w:pPr>
              <w:pStyle w:val="TableParagraph"/>
              <w:spacing w:before="7"/>
              <w:rPr>
                <w:sz w:val="24"/>
              </w:rPr>
            </w:pPr>
          </w:p>
          <w:p>
            <w:pPr>
              <w:pStyle w:val="TableParagraph"/>
              <w:ind w:left="64" w:right="41" w:firstLine="93"/>
              <w:rPr>
                <w:sz w:val="24"/>
              </w:rPr>
            </w:pPr>
            <w:r>
              <w:rPr>
                <w:sz w:val="24"/>
              </w:rPr>
              <w:t>Planta de tratamiento</w:t>
            </w:r>
          </w:p>
        </w:tc>
      </w:tr>
      <w:tr>
        <w:trPr>
          <w:trHeight w:val="277" w:hRule="atLeast"/>
        </w:trPr>
        <w:tc>
          <w:tcPr>
            <w:tcW w:w="4710" w:type="dxa"/>
            <w:tcBorders>
              <w:top w:val="single" w:sz="8" w:space="0" w:color="000000"/>
              <w:left w:val="single" w:sz="8" w:space="0" w:color="000000"/>
              <w:bottom w:val="single" w:sz="8" w:space="0" w:color="000000"/>
            </w:tcBorders>
          </w:tcPr>
          <w:p>
            <w:pPr>
              <w:pStyle w:val="TableParagraph"/>
              <w:spacing w:line="255" w:lineRule="exact" w:before="2"/>
              <w:ind w:left="1534" w:right="1516"/>
              <w:jc w:val="center"/>
              <w:rPr>
                <w:sz w:val="24"/>
              </w:rPr>
            </w:pPr>
            <w:r>
              <w:rPr>
                <w:sz w:val="24"/>
              </w:rPr>
              <w:t>BASE 0  m³</w:t>
            </w:r>
          </w:p>
        </w:tc>
        <w:tc>
          <w:tcPr>
            <w:tcW w:w="1135" w:type="dxa"/>
          </w:tcPr>
          <w:p>
            <w:pPr>
              <w:pStyle w:val="TableParagraph"/>
              <w:spacing w:line="255" w:lineRule="exact" w:before="2"/>
              <w:ind w:right="184"/>
              <w:jc w:val="right"/>
              <w:rPr>
                <w:sz w:val="24"/>
              </w:rPr>
            </w:pPr>
            <w:r>
              <w:rPr>
                <w:sz w:val="24"/>
              </w:rPr>
              <w:t>$37.00</w:t>
            </w:r>
          </w:p>
        </w:tc>
        <w:tc>
          <w:tcPr>
            <w:tcW w:w="1702" w:type="dxa"/>
          </w:tcPr>
          <w:p>
            <w:pPr>
              <w:pStyle w:val="TableParagraph"/>
              <w:spacing w:line="255" w:lineRule="exact" w:before="2"/>
              <w:ind w:left="105" w:right="89"/>
              <w:jc w:val="center"/>
              <w:rPr>
                <w:sz w:val="24"/>
              </w:rPr>
            </w:pPr>
            <w:r>
              <w:rPr>
                <w:sz w:val="24"/>
              </w:rPr>
              <w:t>$12.00</w:t>
            </w:r>
          </w:p>
        </w:tc>
        <w:tc>
          <w:tcPr>
            <w:tcW w:w="1346" w:type="dxa"/>
          </w:tcPr>
          <w:p>
            <w:pPr>
              <w:pStyle w:val="TableParagraph"/>
              <w:spacing w:line="255" w:lineRule="exact" w:before="2"/>
              <w:ind w:left="284" w:right="271"/>
              <w:jc w:val="center"/>
              <w:rPr>
                <w:sz w:val="24"/>
              </w:rPr>
            </w:pPr>
            <w:r>
              <w:rPr>
                <w:sz w:val="24"/>
              </w:rPr>
              <w:t>$12.00</w:t>
            </w:r>
          </w:p>
        </w:tc>
      </w:tr>
      <w:tr>
        <w:trPr>
          <w:trHeight w:val="654" w:hRule="atLeast"/>
        </w:trPr>
        <w:tc>
          <w:tcPr>
            <w:tcW w:w="4710" w:type="dxa"/>
            <w:vMerge w:val="restart"/>
            <w:tcBorders>
              <w:top w:val="single" w:sz="8" w:space="0" w:color="000000"/>
              <w:left w:val="single" w:sz="8" w:space="0" w:color="000000"/>
              <w:bottom w:val="single" w:sz="8" w:space="0" w:color="000000"/>
            </w:tcBorders>
          </w:tcPr>
          <w:p>
            <w:pPr>
              <w:pStyle w:val="TableParagraph"/>
              <w:spacing w:before="3"/>
              <w:rPr>
                <w:sz w:val="34"/>
              </w:rPr>
            </w:pPr>
          </w:p>
          <w:p>
            <w:pPr>
              <w:pStyle w:val="TableParagraph"/>
              <w:ind w:left="1534" w:right="1519"/>
              <w:jc w:val="center"/>
              <w:rPr>
                <w:sz w:val="24"/>
              </w:rPr>
            </w:pPr>
            <w:r>
              <w:rPr>
                <w:sz w:val="24"/>
              </w:rPr>
              <w:t>CUOTA FIJA 1</w:t>
            </w:r>
          </w:p>
          <w:p>
            <w:pPr>
              <w:pStyle w:val="TableParagraph"/>
              <w:ind w:left="1534" w:right="1516"/>
              <w:jc w:val="center"/>
              <w:rPr>
                <w:sz w:val="24"/>
              </w:rPr>
            </w:pPr>
            <w:r>
              <w:rPr>
                <w:sz w:val="24"/>
              </w:rPr>
              <w:t>1  A</w:t>
            </w:r>
            <w:r>
              <w:rPr>
                <w:spacing w:val="65"/>
                <w:sz w:val="24"/>
              </w:rPr>
              <w:t> </w:t>
            </w:r>
            <w:r>
              <w:rPr>
                <w:sz w:val="24"/>
              </w:rPr>
              <w:t>10m³</w:t>
            </w:r>
          </w:p>
        </w:tc>
        <w:tc>
          <w:tcPr>
            <w:tcW w:w="1135" w:type="dxa"/>
          </w:tcPr>
          <w:p>
            <w:pPr>
              <w:pStyle w:val="TableParagraph"/>
              <w:spacing w:before="192"/>
              <w:ind w:right="184"/>
              <w:jc w:val="right"/>
              <w:rPr>
                <w:sz w:val="24"/>
              </w:rPr>
            </w:pPr>
            <w:r>
              <w:rPr>
                <w:sz w:val="24"/>
              </w:rPr>
              <w:t>$12.00</w:t>
            </w:r>
          </w:p>
        </w:tc>
        <w:tc>
          <w:tcPr>
            <w:tcW w:w="1702" w:type="dxa"/>
          </w:tcPr>
          <w:p>
            <w:pPr>
              <w:pStyle w:val="TableParagraph"/>
              <w:spacing w:before="192"/>
              <w:ind w:left="105" w:right="88"/>
              <w:jc w:val="center"/>
              <w:rPr>
                <w:sz w:val="24"/>
              </w:rPr>
            </w:pPr>
            <w:r>
              <w:rPr>
                <w:sz w:val="24"/>
              </w:rPr>
              <w:t>$4.00</w:t>
            </w:r>
          </w:p>
        </w:tc>
        <w:tc>
          <w:tcPr>
            <w:tcW w:w="1346" w:type="dxa"/>
          </w:tcPr>
          <w:p>
            <w:pPr>
              <w:pStyle w:val="TableParagraph"/>
              <w:spacing w:before="192"/>
              <w:ind w:left="284" w:right="271"/>
              <w:jc w:val="center"/>
              <w:rPr>
                <w:sz w:val="24"/>
              </w:rPr>
            </w:pPr>
            <w:r>
              <w:rPr>
                <w:sz w:val="24"/>
              </w:rPr>
              <w:t>$4.00</w:t>
            </w:r>
          </w:p>
        </w:tc>
      </w:tr>
      <w:tr>
        <w:trPr>
          <w:trHeight w:val="661" w:hRule="atLeast"/>
        </w:trPr>
        <w:tc>
          <w:tcPr>
            <w:tcW w:w="4710" w:type="dxa"/>
            <w:vMerge/>
            <w:tcBorders>
              <w:top w:val="nil"/>
              <w:left w:val="single" w:sz="8" w:space="0" w:color="000000"/>
              <w:bottom w:val="single" w:sz="8" w:space="0" w:color="000000"/>
            </w:tcBorders>
          </w:tcPr>
          <w:p>
            <w:pPr>
              <w:rPr>
                <w:sz w:val="2"/>
                <w:szCs w:val="2"/>
              </w:rPr>
            </w:pPr>
          </w:p>
        </w:tc>
        <w:tc>
          <w:tcPr>
            <w:tcW w:w="4183" w:type="dxa"/>
            <w:gridSpan w:val="3"/>
          </w:tcPr>
          <w:p>
            <w:pPr>
              <w:pStyle w:val="TableParagraph"/>
              <w:spacing w:before="192"/>
              <w:ind w:left="1459" w:right="1445"/>
              <w:jc w:val="center"/>
              <w:rPr>
                <w:sz w:val="24"/>
              </w:rPr>
            </w:pPr>
            <w:r>
              <w:rPr>
                <w:sz w:val="24"/>
              </w:rPr>
              <w:t>MAS BASE</w:t>
            </w:r>
          </w:p>
        </w:tc>
      </w:tr>
      <w:tr>
        <w:trPr>
          <w:trHeight w:val="659" w:hRule="atLeast"/>
        </w:trPr>
        <w:tc>
          <w:tcPr>
            <w:tcW w:w="4710" w:type="dxa"/>
            <w:vMerge w:val="restart"/>
            <w:tcBorders>
              <w:top w:val="single" w:sz="8" w:space="0" w:color="000000"/>
              <w:left w:val="single" w:sz="8" w:space="0" w:color="000000"/>
            </w:tcBorders>
          </w:tcPr>
          <w:p>
            <w:pPr>
              <w:pStyle w:val="TableParagraph"/>
              <w:spacing w:before="5"/>
              <w:rPr>
                <w:sz w:val="34"/>
              </w:rPr>
            </w:pPr>
          </w:p>
          <w:p>
            <w:pPr>
              <w:pStyle w:val="TableParagraph"/>
              <w:ind w:left="1534" w:right="1519"/>
              <w:jc w:val="center"/>
              <w:rPr>
                <w:sz w:val="24"/>
              </w:rPr>
            </w:pPr>
            <w:r>
              <w:rPr>
                <w:sz w:val="24"/>
              </w:rPr>
              <w:t>CUOTA FIJA 2</w:t>
            </w:r>
          </w:p>
          <w:p>
            <w:pPr>
              <w:pStyle w:val="TableParagraph"/>
              <w:ind w:left="1534" w:right="1516"/>
              <w:jc w:val="center"/>
              <w:rPr>
                <w:sz w:val="24"/>
              </w:rPr>
            </w:pPr>
            <w:r>
              <w:rPr>
                <w:sz w:val="24"/>
              </w:rPr>
              <w:t>11  A  20m³</w:t>
            </w:r>
          </w:p>
        </w:tc>
        <w:tc>
          <w:tcPr>
            <w:tcW w:w="1135" w:type="dxa"/>
          </w:tcPr>
          <w:p>
            <w:pPr>
              <w:pStyle w:val="TableParagraph"/>
              <w:spacing w:before="194"/>
              <w:ind w:right="184"/>
              <w:jc w:val="right"/>
              <w:rPr>
                <w:sz w:val="24"/>
              </w:rPr>
            </w:pPr>
            <w:r>
              <w:rPr>
                <w:sz w:val="24"/>
              </w:rPr>
              <w:t>$12.00</w:t>
            </w:r>
          </w:p>
        </w:tc>
        <w:tc>
          <w:tcPr>
            <w:tcW w:w="1702" w:type="dxa"/>
          </w:tcPr>
          <w:p>
            <w:pPr>
              <w:pStyle w:val="TableParagraph"/>
              <w:spacing w:before="194"/>
              <w:ind w:left="105" w:right="88"/>
              <w:jc w:val="center"/>
              <w:rPr>
                <w:sz w:val="24"/>
              </w:rPr>
            </w:pPr>
            <w:r>
              <w:rPr>
                <w:sz w:val="24"/>
              </w:rPr>
              <w:t>$4.00</w:t>
            </w:r>
          </w:p>
        </w:tc>
        <w:tc>
          <w:tcPr>
            <w:tcW w:w="1346" w:type="dxa"/>
          </w:tcPr>
          <w:p>
            <w:pPr>
              <w:pStyle w:val="TableParagraph"/>
              <w:spacing w:before="194"/>
              <w:ind w:left="284" w:right="271"/>
              <w:jc w:val="center"/>
              <w:rPr>
                <w:sz w:val="24"/>
              </w:rPr>
            </w:pPr>
            <w:r>
              <w:rPr>
                <w:sz w:val="24"/>
              </w:rPr>
              <w:t>$4.00</w:t>
            </w:r>
          </w:p>
        </w:tc>
      </w:tr>
      <w:tr>
        <w:trPr>
          <w:trHeight w:val="669" w:hRule="atLeast"/>
        </w:trPr>
        <w:tc>
          <w:tcPr>
            <w:tcW w:w="4710" w:type="dxa"/>
            <w:vMerge/>
            <w:tcBorders>
              <w:top w:val="nil"/>
              <w:left w:val="single" w:sz="8" w:space="0" w:color="000000"/>
            </w:tcBorders>
          </w:tcPr>
          <w:p>
            <w:pPr>
              <w:rPr>
                <w:sz w:val="2"/>
                <w:szCs w:val="2"/>
              </w:rPr>
            </w:pPr>
          </w:p>
        </w:tc>
        <w:tc>
          <w:tcPr>
            <w:tcW w:w="4183" w:type="dxa"/>
            <w:gridSpan w:val="3"/>
          </w:tcPr>
          <w:p>
            <w:pPr>
              <w:pStyle w:val="TableParagraph"/>
              <w:spacing w:before="197"/>
              <w:ind w:left="544"/>
              <w:rPr>
                <w:sz w:val="24"/>
              </w:rPr>
            </w:pPr>
            <w:r>
              <w:rPr>
                <w:sz w:val="24"/>
              </w:rPr>
              <w:t>BASE MAS + CUOTA FIJA 1</w:t>
            </w:r>
          </w:p>
        </w:tc>
      </w:tr>
      <w:tr>
        <w:trPr>
          <w:trHeight w:val="669" w:hRule="atLeast"/>
        </w:trPr>
        <w:tc>
          <w:tcPr>
            <w:tcW w:w="4710" w:type="dxa"/>
          </w:tcPr>
          <w:p>
            <w:pPr>
              <w:pStyle w:val="TableParagraph"/>
              <w:spacing w:before="197"/>
              <w:ind w:left="1591" w:right="1574"/>
              <w:jc w:val="center"/>
              <w:rPr>
                <w:sz w:val="24"/>
              </w:rPr>
            </w:pPr>
            <w:r>
              <w:rPr>
                <w:sz w:val="24"/>
              </w:rPr>
              <w:t>21 A 40 m³</w:t>
            </w:r>
          </w:p>
        </w:tc>
        <w:tc>
          <w:tcPr>
            <w:tcW w:w="1135" w:type="dxa"/>
          </w:tcPr>
          <w:p>
            <w:pPr>
              <w:pStyle w:val="TableParagraph"/>
              <w:spacing w:before="197"/>
              <w:ind w:right="251"/>
              <w:jc w:val="right"/>
              <w:rPr>
                <w:sz w:val="24"/>
              </w:rPr>
            </w:pPr>
            <w:r>
              <w:rPr>
                <w:sz w:val="24"/>
              </w:rPr>
              <w:t>$5.00</w:t>
            </w:r>
          </w:p>
        </w:tc>
        <w:tc>
          <w:tcPr>
            <w:tcW w:w="1702" w:type="dxa"/>
          </w:tcPr>
          <w:p>
            <w:pPr>
              <w:pStyle w:val="TableParagraph"/>
              <w:spacing w:before="197"/>
              <w:ind w:left="105" w:right="88"/>
              <w:jc w:val="center"/>
              <w:rPr>
                <w:sz w:val="24"/>
              </w:rPr>
            </w:pPr>
            <w:r>
              <w:rPr>
                <w:sz w:val="24"/>
              </w:rPr>
              <w:t>$2.00</w:t>
            </w:r>
          </w:p>
        </w:tc>
        <w:tc>
          <w:tcPr>
            <w:tcW w:w="1346" w:type="dxa"/>
          </w:tcPr>
          <w:p>
            <w:pPr>
              <w:pStyle w:val="TableParagraph"/>
              <w:spacing w:before="197"/>
              <w:ind w:left="284" w:right="271"/>
              <w:jc w:val="center"/>
              <w:rPr>
                <w:sz w:val="24"/>
              </w:rPr>
            </w:pPr>
            <w:r>
              <w:rPr>
                <w:sz w:val="24"/>
              </w:rPr>
              <w:t>$2.00</w:t>
            </w:r>
          </w:p>
        </w:tc>
      </w:tr>
    </w:tbl>
    <w:p>
      <w:pPr>
        <w:spacing w:after="0"/>
        <w:jc w:val="center"/>
        <w:rPr>
          <w:sz w:val="24"/>
        </w:rPr>
        <w:sectPr>
          <w:pgSz w:w="12250" w:h="15850"/>
          <w:pgMar w:header="730" w:footer="0" w:top="1000" w:bottom="280" w:left="860" w:right="820"/>
        </w:sectPr>
      </w:pPr>
    </w:p>
    <w:p>
      <w:pPr>
        <w:pStyle w:val="BodyText"/>
        <w:spacing w:before="1"/>
        <w:rPr>
          <w:sz w:val="17"/>
        </w:rPr>
      </w:pPr>
      <w:r>
        <w:rPr/>
        <w:drawing>
          <wp:anchor distT="0" distB="0" distL="0" distR="0" allowOverlap="1" layoutInCell="1" locked="0" behindDoc="1" simplePos="0" relativeHeight="227525632">
            <wp:simplePos x="0" y="0"/>
            <wp:positionH relativeFrom="page">
              <wp:posOffset>1252555</wp:posOffset>
            </wp:positionH>
            <wp:positionV relativeFrom="page">
              <wp:posOffset>2058161</wp:posOffset>
            </wp:positionV>
            <wp:extent cx="5021401" cy="5143500"/>
            <wp:effectExtent l="0" t="0" r="0" b="0"/>
            <wp:wrapNone/>
            <wp:docPr id="113" name="image52.png"/>
            <wp:cNvGraphicFramePr>
              <a:graphicFrameLocks noChangeAspect="1"/>
            </wp:cNvGraphicFramePr>
            <a:graphic>
              <a:graphicData uri="http://schemas.openxmlformats.org/drawingml/2006/picture">
                <pic:pic>
                  <pic:nvPicPr>
                    <pic:cNvPr id="114" name="image52.png"/>
                    <pic:cNvPicPr/>
                  </pic:nvPicPr>
                  <pic:blipFill>
                    <a:blip r:embed="rId62" cstate="print"/>
                    <a:stretch>
                      <a:fillRect/>
                    </a:stretch>
                  </pic:blipFill>
                  <pic:spPr>
                    <a:xfrm>
                      <a:off x="0" y="0"/>
                      <a:ext cx="5021401" cy="5143500"/>
                    </a:xfrm>
                    <a:prstGeom prst="rect">
                      <a:avLst/>
                    </a:prstGeom>
                  </pic:spPr>
                </pic:pic>
              </a:graphicData>
            </a:graphic>
          </wp:anchor>
        </w:drawing>
      </w:r>
    </w:p>
    <w:tbl>
      <w:tblPr>
        <w:tblW w:w="0" w:type="auto"/>
        <w:jc w:val="left"/>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0"/>
        <w:gridCol w:w="1135"/>
        <w:gridCol w:w="1702"/>
        <w:gridCol w:w="1346"/>
      </w:tblGrid>
      <w:tr>
        <w:trPr>
          <w:trHeight w:val="710" w:hRule="atLeast"/>
        </w:trPr>
        <w:tc>
          <w:tcPr>
            <w:tcW w:w="4710" w:type="dxa"/>
          </w:tcPr>
          <w:p>
            <w:pPr>
              <w:pStyle w:val="TableParagraph"/>
              <w:ind w:left="1591" w:right="1575"/>
              <w:jc w:val="center"/>
              <w:rPr>
                <w:b/>
                <w:sz w:val="24"/>
              </w:rPr>
            </w:pPr>
            <w:r>
              <w:rPr>
                <w:b/>
                <w:sz w:val="24"/>
              </w:rPr>
              <w:t>Metro cúbico</w:t>
            </w:r>
          </w:p>
        </w:tc>
        <w:tc>
          <w:tcPr>
            <w:tcW w:w="4183" w:type="dxa"/>
            <w:gridSpan w:val="3"/>
            <w:tcBorders>
              <w:top w:val="single" w:sz="8" w:space="0" w:color="000000"/>
              <w:bottom w:val="single" w:sz="8" w:space="0" w:color="000000"/>
              <w:right w:val="single" w:sz="8" w:space="0" w:color="000000"/>
            </w:tcBorders>
          </w:tcPr>
          <w:p>
            <w:pPr>
              <w:pStyle w:val="TableParagraph"/>
              <w:spacing w:before="221"/>
              <w:ind w:left="1611" w:right="1597"/>
              <w:jc w:val="center"/>
              <w:rPr>
                <w:b/>
                <w:sz w:val="24"/>
              </w:rPr>
            </w:pPr>
            <w:r>
              <w:rPr>
                <w:b/>
                <w:sz w:val="24"/>
              </w:rPr>
              <w:t>ZONA B</w:t>
            </w:r>
          </w:p>
        </w:tc>
      </w:tr>
      <w:tr>
        <w:trPr>
          <w:trHeight w:val="1112" w:hRule="atLeast"/>
        </w:trPr>
        <w:tc>
          <w:tcPr>
            <w:tcW w:w="4710" w:type="dxa"/>
            <w:tcBorders>
              <w:left w:val="single" w:sz="8" w:space="0" w:color="000000"/>
              <w:bottom w:val="single" w:sz="8" w:space="0" w:color="000000"/>
              <w:right w:val="single" w:sz="8" w:space="0" w:color="000000"/>
            </w:tcBorders>
          </w:tcPr>
          <w:p>
            <w:pPr>
              <w:pStyle w:val="TableParagraph"/>
              <w:rPr>
                <w:rFonts w:ascii="Times New Roman"/>
                <w:sz w:val="24"/>
              </w:rPr>
            </w:pPr>
          </w:p>
        </w:tc>
        <w:tc>
          <w:tcPr>
            <w:tcW w:w="1135" w:type="dxa"/>
            <w:tcBorders>
              <w:top w:val="single" w:sz="8" w:space="0" w:color="000000"/>
              <w:left w:val="single" w:sz="8" w:space="0" w:color="000000"/>
              <w:right w:val="single" w:sz="8" w:space="0" w:color="000000"/>
            </w:tcBorders>
          </w:tcPr>
          <w:p>
            <w:pPr>
              <w:pStyle w:val="TableParagraph"/>
              <w:spacing w:before="7"/>
              <w:rPr>
                <w:sz w:val="24"/>
              </w:rPr>
            </w:pPr>
          </w:p>
          <w:p>
            <w:pPr>
              <w:pStyle w:val="TableParagraph"/>
              <w:ind w:left="114" w:right="18" w:hanging="65"/>
              <w:rPr>
                <w:sz w:val="24"/>
              </w:rPr>
            </w:pPr>
            <w:r>
              <w:rPr>
                <w:sz w:val="24"/>
              </w:rPr>
              <w:t>Consumo de Agua</w:t>
            </w:r>
          </w:p>
        </w:tc>
        <w:tc>
          <w:tcPr>
            <w:tcW w:w="1702" w:type="dxa"/>
            <w:tcBorders>
              <w:top w:val="single" w:sz="8" w:space="0" w:color="000000"/>
              <w:left w:val="single" w:sz="8" w:space="0" w:color="000000"/>
              <w:right w:val="single" w:sz="8" w:space="0" w:color="000000"/>
            </w:tcBorders>
          </w:tcPr>
          <w:p>
            <w:pPr>
              <w:pStyle w:val="TableParagraph"/>
              <w:spacing w:before="8"/>
              <w:rPr>
                <w:sz w:val="36"/>
              </w:rPr>
            </w:pPr>
          </w:p>
          <w:p>
            <w:pPr>
              <w:pStyle w:val="TableParagraph"/>
              <w:ind w:left="105" w:right="94"/>
              <w:jc w:val="center"/>
              <w:rPr>
                <w:sz w:val="24"/>
              </w:rPr>
            </w:pPr>
            <w:r>
              <w:rPr>
                <w:sz w:val="24"/>
              </w:rPr>
              <w:t>Alcantarillado</w:t>
            </w:r>
          </w:p>
        </w:tc>
        <w:tc>
          <w:tcPr>
            <w:tcW w:w="1346" w:type="dxa"/>
            <w:tcBorders>
              <w:top w:val="single" w:sz="8" w:space="0" w:color="000000"/>
              <w:left w:val="single" w:sz="8" w:space="0" w:color="000000"/>
              <w:right w:val="single" w:sz="8" w:space="0" w:color="000000"/>
            </w:tcBorders>
          </w:tcPr>
          <w:p>
            <w:pPr>
              <w:pStyle w:val="TableParagraph"/>
              <w:spacing w:before="7"/>
              <w:rPr>
                <w:sz w:val="24"/>
              </w:rPr>
            </w:pPr>
          </w:p>
          <w:p>
            <w:pPr>
              <w:pStyle w:val="TableParagraph"/>
              <w:ind w:left="64" w:right="41" w:firstLine="93"/>
              <w:rPr>
                <w:sz w:val="24"/>
              </w:rPr>
            </w:pPr>
            <w:r>
              <w:rPr>
                <w:sz w:val="24"/>
              </w:rPr>
              <w:t>Planta de tratamiento</w:t>
            </w:r>
          </w:p>
        </w:tc>
      </w:tr>
      <w:tr>
        <w:trPr>
          <w:trHeight w:val="671" w:hRule="atLeast"/>
        </w:trPr>
        <w:tc>
          <w:tcPr>
            <w:tcW w:w="4710" w:type="dxa"/>
            <w:tcBorders>
              <w:top w:val="single" w:sz="8" w:space="0" w:color="000000"/>
            </w:tcBorders>
          </w:tcPr>
          <w:p>
            <w:pPr>
              <w:pStyle w:val="TableParagraph"/>
              <w:rPr>
                <w:rFonts w:ascii="Times New Roman"/>
                <w:sz w:val="24"/>
              </w:rPr>
            </w:pPr>
          </w:p>
        </w:tc>
        <w:tc>
          <w:tcPr>
            <w:tcW w:w="4183" w:type="dxa"/>
            <w:gridSpan w:val="3"/>
          </w:tcPr>
          <w:p>
            <w:pPr>
              <w:pStyle w:val="TableParagraph"/>
              <w:spacing w:before="60"/>
              <w:ind w:left="1293" w:right="102" w:hanging="1157"/>
              <w:rPr>
                <w:sz w:val="24"/>
              </w:rPr>
            </w:pPr>
            <w:r>
              <w:rPr>
                <w:sz w:val="24"/>
              </w:rPr>
              <w:t>Cada m³ + BASE + CUOTA FIJA 1 + CUOTA FIJA 2</w:t>
            </w:r>
          </w:p>
        </w:tc>
      </w:tr>
      <w:tr>
        <w:trPr>
          <w:trHeight w:val="661" w:hRule="atLeast"/>
        </w:trPr>
        <w:tc>
          <w:tcPr>
            <w:tcW w:w="4710" w:type="dxa"/>
            <w:vMerge w:val="restart"/>
            <w:tcBorders>
              <w:left w:val="single" w:sz="8" w:space="0" w:color="000000"/>
              <w:bottom w:val="single" w:sz="8" w:space="0" w:color="000000"/>
            </w:tcBorders>
          </w:tcPr>
          <w:p>
            <w:pPr>
              <w:pStyle w:val="TableParagraph"/>
              <w:rPr>
                <w:sz w:val="26"/>
              </w:rPr>
            </w:pPr>
          </w:p>
          <w:p>
            <w:pPr>
              <w:pStyle w:val="TableParagraph"/>
              <w:spacing w:before="6"/>
              <w:rPr>
                <w:sz w:val="20"/>
              </w:rPr>
            </w:pPr>
          </w:p>
          <w:p>
            <w:pPr>
              <w:pStyle w:val="TableParagraph"/>
              <w:ind w:left="1355"/>
              <w:rPr>
                <w:sz w:val="24"/>
              </w:rPr>
            </w:pPr>
            <w:r>
              <w:rPr>
                <w:sz w:val="24"/>
              </w:rPr>
              <w:t>41 m³ en adelante</w:t>
            </w:r>
          </w:p>
        </w:tc>
        <w:tc>
          <w:tcPr>
            <w:tcW w:w="1135" w:type="dxa"/>
          </w:tcPr>
          <w:p>
            <w:pPr>
              <w:pStyle w:val="TableParagraph"/>
              <w:spacing w:before="197"/>
              <w:ind w:left="203"/>
              <w:rPr>
                <w:sz w:val="24"/>
              </w:rPr>
            </w:pPr>
            <w:r>
              <w:rPr>
                <w:sz w:val="24"/>
              </w:rPr>
              <w:t>$10.00</w:t>
            </w:r>
          </w:p>
        </w:tc>
        <w:tc>
          <w:tcPr>
            <w:tcW w:w="1702" w:type="dxa"/>
          </w:tcPr>
          <w:p>
            <w:pPr>
              <w:pStyle w:val="TableParagraph"/>
              <w:spacing w:before="197"/>
              <w:ind w:left="105" w:right="88"/>
              <w:jc w:val="center"/>
              <w:rPr>
                <w:sz w:val="24"/>
              </w:rPr>
            </w:pPr>
            <w:r>
              <w:rPr>
                <w:sz w:val="24"/>
              </w:rPr>
              <w:t>$3.00</w:t>
            </w:r>
          </w:p>
        </w:tc>
        <w:tc>
          <w:tcPr>
            <w:tcW w:w="1346" w:type="dxa"/>
          </w:tcPr>
          <w:p>
            <w:pPr>
              <w:pStyle w:val="TableParagraph"/>
              <w:spacing w:before="197"/>
              <w:ind w:left="374"/>
              <w:rPr>
                <w:sz w:val="24"/>
              </w:rPr>
            </w:pPr>
            <w:r>
              <w:rPr>
                <w:sz w:val="24"/>
              </w:rPr>
              <w:t>$3.00</w:t>
            </w:r>
          </w:p>
        </w:tc>
      </w:tr>
      <w:tr>
        <w:trPr>
          <w:trHeight w:val="667" w:hRule="atLeast"/>
        </w:trPr>
        <w:tc>
          <w:tcPr>
            <w:tcW w:w="4710" w:type="dxa"/>
            <w:vMerge/>
            <w:tcBorders>
              <w:top w:val="nil"/>
              <w:left w:val="single" w:sz="8" w:space="0" w:color="000000"/>
              <w:bottom w:val="single" w:sz="8" w:space="0" w:color="000000"/>
            </w:tcBorders>
          </w:tcPr>
          <w:p>
            <w:pPr>
              <w:rPr>
                <w:sz w:val="2"/>
                <w:szCs w:val="2"/>
              </w:rPr>
            </w:pPr>
          </w:p>
        </w:tc>
        <w:tc>
          <w:tcPr>
            <w:tcW w:w="4183" w:type="dxa"/>
            <w:gridSpan w:val="3"/>
          </w:tcPr>
          <w:p>
            <w:pPr>
              <w:pStyle w:val="TableParagraph"/>
              <w:spacing w:before="55"/>
              <w:ind w:left="1293" w:right="102" w:hanging="1157"/>
              <w:rPr>
                <w:sz w:val="24"/>
              </w:rPr>
            </w:pPr>
            <w:r>
              <w:rPr>
                <w:sz w:val="24"/>
              </w:rPr>
              <w:t>Cada m³ + BASE + CUOTA FIJA 1 + CUOTA FIJA 2</w:t>
            </w:r>
          </w:p>
        </w:tc>
      </w:tr>
    </w:tbl>
    <w:p>
      <w:pPr>
        <w:pStyle w:val="BodyText"/>
        <w:rPr>
          <w:sz w:val="20"/>
        </w:rPr>
      </w:pPr>
    </w:p>
    <w:p>
      <w:pPr>
        <w:pStyle w:val="BodyText"/>
        <w:rPr>
          <w:sz w:val="28"/>
        </w:rPr>
      </w:pP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3"/>
        <w:gridCol w:w="1133"/>
        <w:gridCol w:w="1702"/>
        <w:gridCol w:w="1346"/>
      </w:tblGrid>
      <w:tr>
        <w:trPr>
          <w:trHeight w:val="796" w:hRule="atLeast"/>
        </w:trPr>
        <w:tc>
          <w:tcPr>
            <w:tcW w:w="4703" w:type="dxa"/>
          </w:tcPr>
          <w:p>
            <w:pPr>
              <w:pStyle w:val="TableParagraph"/>
              <w:ind w:left="1527" w:right="1523"/>
              <w:jc w:val="center"/>
              <w:rPr>
                <w:b/>
                <w:sz w:val="24"/>
              </w:rPr>
            </w:pPr>
            <w:r>
              <w:rPr>
                <w:b/>
                <w:sz w:val="24"/>
              </w:rPr>
              <w:t>Metro cúbico</w:t>
            </w:r>
          </w:p>
        </w:tc>
        <w:tc>
          <w:tcPr>
            <w:tcW w:w="4181" w:type="dxa"/>
            <w:gridSpan w:val="3"/>
          </w:tcPr>
          <w:p>
            <w:pPr>
              <w:pStyle w:val="TableParagraph"/>
              <w:spacing w:before="6"/>
              <w:rPr>
                <w:sz w:val="22"/>
              </w:rPr>
            </w:pPr>
          </w:p>
          <w:p>
            <w:pPr>
              <w:pStyle w:val="TableParagraph"/>
              <w:ind w:left="1447" w:right="1446"/>
              <w:jc w:val="center"/>
              <w:rPr>
                <w:b/>
                <w:sz w:val="24"/>
              </w:rPr>
            </w:pPr>
            <w:r>
              <w:rPr>
                <w:b/>
                <w:sz w:val="24"/>
              </w:rPr>
              <w:t>ZONA C</w:t>
            </w:r>
          </w:p>
        </w:tc>
      </w:tr>
      <w:tr>
        <w:trPr>
          <w:trHeight w:val="793" w:hRule="atLeast"/>
        </w:trPr>
        <w:tc>
          <w:tcPr>
            <w:tcW w:w="4703" w:type="dxa"/>
          </w:tcPr>
          <w:p>
            <w:pPr>
              <w:pStyle w:val="TableParagraph"/>
              <w:rPr>
                <w:rFonts w:ascii="Times New Roman"/>
                <w:sz w:val="24"/>
              </w:rPr>
            </w:pPr>
          </w:p>
        </w:tc>
        <w:tc>
          <w:tcPr>
            <w:tcW w:w="1133" w:type="dxa"/>
          </w:tcPr>
          <w:p>
            <w:pPr>
              <w:pStyle w:val="TableParagraph"/>
              <w:ind w:left="112" w:right="28" w:hanging="65"/>
              <w:rPr>
                <w:sz w:val="24"/>
              </w:rPr>
            </w:pPr>
            <w:r>
              <w:rPr>
                <w:sz w:val="24"/>
              </w:rPr>
              <w:t>Consumo de Agua</w:t>
            </w:r>
          </w:p>
        </w:tc>
        <w:tc>
          <w:tcPr>
            <w:tcW w:w="1702" w:type="dxa"/>
          </w:tcPr>
          <w:p>
            <w:pPr>
              <w:pStyle w:val="TableParagraph"/>
              <w:spacing w:before="6"/>
              <w:rPr>
                <w:sz w:val="22"/>
              </w:rPr>
            </w:pPr>
          </w:p>
          <w:p>
            <w:pPr>
              <w:pStyle w:val="TableParagraph"/>
              <w:ind w:left="105" w:right="105"/>
              <w:jc w:val="center"/>
              <w:rPr>
                <w:sz w:val="24"/>
              </w:rPr>
            </w:pPr>
            <w:r>
              <w:rPr>
                <w:sz w:val="24"/>
              </w:rPr>
              <w:t>Alcantarillado</w:t>
            </w:r>
          </w:p>
        </w:tc>
        <w:tc>
          <w:tcPr>
            <w:tcW w:w="1346" w:type="dxa"/>
          </w:tcPr>
          <w:p>
            <w:pPr>
              <w:pStyle w:val="TableParagraph"/>
              <w:ind w:left="66" w:right="49" w:firstLine="93"/>
              <w:rPr>
                <w:sz w:val="24"/>
              </w:rPr>
            </w:pPr>
            <w:r>
              <w:rPr>
                <w:sz w:val="24"/>
              </w:rPr>
              <w:t>Planta de tratamiento</w:t>
            </w:r>
          </w:p>
        </w:tc>
      </w:tr>
      <w:tr>
        <w:trPr>
          <w:trHeight w:val="278" w:hRule="atLeast"/>
        </w:trPr>
        <w:tc>
          <w:tcPr>
            <w:tcW w:w="4703" w:type="dxa"/>
          </w:tcPr>
          <w:p>
            <w:pPr>
              <w:pStyle w:val="TableParagraph"/>
              <w:spacing w:line="255" w:lineRule="exact" w:before="2"/>
              <w:ind w:left="1527" w:right="1521"/>
              <w:jc w:val="center"/>
              <w:rPr>
                <w:sz w:val="24"/>
              </w:rPr>
            </w:pPr>
            <w:r>
              <w:rPr>
                <w:sz w:val="24"/>
              </w:rPr>
              <w:t>BASE 0  m³</w:t>
            </w:r>
          </w:p>
        </w:tc>
        <w:tc>
          <w:tcPr>
            <w:tcW w:w="1133" w:type="dxa"/>
          </w:tcPr>
          <w:p>
            <w:pPr>
              <w:pStyle w:val="TableParagraph"/>
              <w:spacing w:line="255" w:lineRule="exact" w:before="2"/>
              <w:ind w:right="191"/>
              <w:jc w:val="right"/>
              <w:rPr>
                <w:sz w:val="24"/>
              </w:rPr>
            </w:pPr>
            <w:r>
              <w:rPr>
                <w:sz w:val="24"/>
              </w:rPr>
              <w:t>$56.00</w:t>
            </w:r>
          </w:p>
        </w:tc>
        <w:tc>
          <w:tcPr>
            <w:tcW w:w="1702" w:type="dxa"/>
          </w:tcPr>
          <w:p>
            <w:pPr>
              <w:pStyle w:val="TableParagraph"/>
              <w:spacing w:line="255" w:lineRule="exact" w:before="2"/>
              <w:ind w:left="105" w:right="100"/>
              <w:jc w:val="center"/>
              <w:rPr>
                <w:sz w:val="24"/>
              </w:rPr>
            </w:pPr>
            <w:r>
              <w:rPr>
                <w:sz w:val="24"/>
              </w:rPr>
              <w:t>$19.00</w:t>
            </w:r>
          </w:p>
        </w:tc>
        <w:tc>
          <w:tcPr>
            <w:tcW w:w="1346" w:type="dxa"/>
          </w:tcPr>
          <w:p>
            <w:pPr>
              <w:pStyle w:val="TableParagraph"/>
              <w:spacing w:line="255" w:lineRule="exact" w:before="2"/>
              <w:ind w:left="279" w:right="272"/>
              <w:jc w:val="center"/>
              <w:rPr>
                <w:sz w:val="24"/>
              </w:rPr>
            </w:pPr>
            <w:r>
              <w:rPr>
                <w:sz w:val="24"/>
              </w:rPr>
              <w:t>$19.00</w:t>
            </w:r>
          </w:p>
        </w:tc>
      </w:tr>
      <w:tr>
        <w:trPr>
          <w:trHeight w:val="667" w:hRule="atLeast"/>
        </w:trPr>
        <w:tc>
          <w:tcPr>
            <w:tcW w:w="4703" w:type="dxa"/>
            <w:vMerge w:val="restart"/>
          </w:tcPr>
          <w:p>
            <w:pPr>
              <w:pStyle w:val="TableParagraph"/>
              <w:spacing w:before="8"/>
              <w:rPr>
                <w:sz w:val="34"/>
              </w:rPr>
            </w:pPr>
          </w:p>
          <w:p>
            <w:pPr>
              <w:pStyle w:val="TableParagraph"/>
              <w:ind w:left="1527" w:right="1522"/>
              <w:jc w:val="center"/>
              <w:rPr>
                <w:sz w:val="24"/>
              </w:rPr>
            </w:pPr>
            <w:r>
              <w:rPr>
                <w:sz w:val="24"/>
              </w:rPr>
              <w:t>CUOTA FIJA 1</w:t>
            </w:r>
          </w:p>
          <w:p>
            <w:pPr>
              <w:pStyle w:val="TableParagraph"/>
              <w:ind w:left="1527" w:right="1521"/>
              <w:jc w:val="center"/>
              <w:rPr>
                <w:sz w:val="24"/>
              </w:rPr>
            </w:pPr>
            <w:r>
              <w:rPr>
                <w:sz w:val="24"/>
              </w:rPr>
              <w:t>1  A</w:t>
            </w:r>
            <w:r>
              <w:rPr>
                <w:spacing w:val="65"/>
                <w:sz w:val="24"/>
              </w:rPr>
              <w:t> </w:t>
            </w:r>
            <w:r>
              <w:rPr>
                <w:sz w:val="24"/>
              </w:rPr>
              <w:t>10m³</w:t>
            </w:r>
          </w:p>
        </w:tc>
        <w:tc>
          <w:tcPr>
            <w:tcW w:w="1133" w:type="dxa"/>
          </w:tcPr>
          <w:p>
            <w:pPr>
              <w:pStyle w:val="TableParagraph"/>
              <w:spacing w:before="197"/>
              <w:ind w:right="191"/>
              <w:jc w:val="right"/>
              <w:rPr>
                <w:sz w:val="24"/>
              </w:rPr>
            </w:pPr>
            <w:r>
              <w:rPr>
                <w:sz w:val="24"/>
              </w:rPr>
              <w:t>$18.00</w:t>
            </w:r>
          </w:p>
        </w:tc>
        <w:tc>
          <w:tcPr>
            <w:tcW w:w="1702" w:type="dxa"/>
          </w:tcPr>
          <w:p>
            <w:pPr>
              <w:pStyle w:val="TableParagraph"/>
              <w:spacing w:before="197"/>
              <w:ind w:left="105" w:right="99"/>
              <w:jc w:val="center"/>
              <w:rPr>
                <w:sz w:val="24"/>
              </w:rPr>
            </w:pPr>
            <w:r>
              <w:rPr>
                <w:sz w:val="24"/>
              </w:rPr>
              <w:t>$6.00</w:t>
            </w:r>
          </w:p>
        </w:tc>
        <w:tc>
          <w:tcPr>
            <w:tcW w:w="1346" w:type="dxa"/>
          </w:tcPr>
          <w:p>
            <w:pPr>
              <w:pStyle w:val="TableParagraph"/>
              <w:spacing w:before="197"/>
              <w:ind w:left="279" w:right="272"/>
              <w:jc w:val="center"/>
              <w:rPr>
                <w:sz w:val="24"/>
              </w:rPr>
            </w:pPr>
            <w:r>
              <w:rPr>
                <w:sz w:val="24"/>
              </w:rPr>
              <w:t>$6.00</w:t>
            </w:r>
          </w:p>
        </w:tc>
      </w:tr>
      <w:tr>
        <w:trPr>
          <w:trHeight w:val="669" w:hRule="atLeast"/>
        </w:trPr>
        <w:tc>
          <w:tcPr>
            <w:tcW w:w="4703" w:type="dxa"/>
            <w:vMerge/>
            <w:tcBorders>
              <w:top w:val="nil"/>
            </w:tcBorders>
          </w:tcPr>
          <w:p>
            <w:pPr>
              <w:rPr>
                <w:sz w:val="2"/>
                <w:szCs w:val="2"/>
              </w:rPr>
            </w:pPr>
          </w:p>
        </w:tc>
        <w:tc>
          <w:tcPr>
            <w:tcW w:w="4181" w:type="dxa"/>
            <w:gridSpan w:val="3"/>
          </w:tcPr>
          <w:p>
            <w:pPr>
              <w:pStyle w:val="TableParagraph"/>
              <w:spacing w:before="197"/>
              <w:ind w:left="1447" w:right="1446"/>
              <w:jc w:val="center"/>
              <w:rPr>
                <w:sz w:val="24"/>
              </w:rPr>
            </w:pPr>
            <w:r>
              <w:rPr>
                <w:sz w:val="24"/>
              </w:rPr>
              <w:t>MAS BASE</w:t>
            </w:r>
          </w:p>
        </w:tc>
      </w:tr>
      <w:tr>
        <w:trPr>
          <w:trHeight w:val="669" w:hRule="atLeast"/>
        </w:trPr>
        <w:tc>
          <w:tcPr>
            <w:tcW w:w="4703" w:type="dxa"/>
            <w:vMerge w:val="restart"/>
          </w:tcPr>
          <w:p>
            <w:pPr>
              <w:pStyle w:val="TableParagraph"/>
              <w:spacing w:before="7"/>
              <w:rPr>
                <w:sz w:val="34"/>
              </w:rPr>
            </w:pPr>
          </w:p>
          <w:p>
            <w:pPr>
              <w:pStyle w:val="TableParagraph"/>
              <w:ind w:left="1526" w:right="1523"/>
              <w:jc w:val="center"/>
              <w:rPr>
                <w:sz w:val="24"/>
              </w:rPr>
            </w:pPr>
            <w:r>
              <w:rPr>
                <w:sz w:val="24"/>
              </w:rPr>
              <w:t>CUOTA FIJA 2</w:t>
            </w:r>
          </w:p>
          <w:p>
            <w:pPr>
              <w:pStyle w:val="TableParagraph"/>
              <w:ind w:left="1527" w:right="1521"/>
              <w:jc w:val="center"/>
              <w:rPr>
                <w:sz w:val="24"/>
              </w:rPr>
            </w:pPr>
            <w:r>
              <w:rPr>
                <w:sz w:val="24"/>
              </w:rPr>
              <w:t>11  A  20m³</w:t>
            </w:r>
          </w:p>
        </w:tc>
        <w:tc>
          <w:tcPr>
            <w:tcW w:w="1133" w:type="dxa"/>
          </w:tcPr>
          <w:p>
            <w:pPr>
              <w:pStyle w:val="TableParagraph"/>
              <w:spacing w:before="197"/>
              <w:ind w:right="191"/>
              <w:jc w:val="right"/>
              <w:rPr>
                <w:sz w:val="24"/>
              </w:rPr>
            </w:pPr>
            <w:r>
              <w:rPr>
                <w:sz w:val="24"/>
              </w:rPr>
              <w:t>$18.00</w:t>
            </w:r>
          </w:p>
        </w:tc>
        <w:tc>
          <w:tcPr>
            <w:tcW w:w="1702" w:type="dxa"/>
          </w:tcPr>
          <w:p>
            <w:pPr>
              <w:pStyle w:val="TableParagraph"/>
              <w:spacing w:before="197"/>
              <w:ind w:left="105" w:right="99"/>
              <w:jc w:val="center"/>
              <w:rPr>
                <w:sz w:val="24"/>
              </w:rPr>
            </w:pPr>
            <w:r>
              <w:rPr>
                <w:sz w:val="24"/>
              </w:rPr>
              <w:t>$6.00</w:t>
            </w:r>
          </w:p>
        </w:tc>
        <w:tc>
          <w:tcPr>
            <w:tcW w:w="1346" w:type="dxa"/>
          </w:tcPr>
          <w:p>
            <w:pPr>
              <w:pStyle w:val="TableParagraph"/>
              <w:spacing w:before="197"/>
              <w:ind w:left="279" w:right="272"/>
              <w:jc w:val="center"/>
              <w:rPr>
                <w:sz w:val="24"/>
              </w:rPr>
            </w:pPr>
            <w:r>
              <w:rPr>
                <w:sz w:val="24"/>
              </w:rPr>
              <w:t>$6.00</w:t>
            </w:r>
          </w:p>
        </w:tc>
      </w:tr>
      <w:tr>
        <w:trPr>
          <w:trHeight w:val="669" w:hRule="atLeast"/>
        </w:trPr>
        <w:tc>
          <w:tcPr>
            <w:tcW w:w="4703" w:type="dxa"/>
            <w:vMerge/>
            <w:tcBorders>
              <w:top w:val="nil"/>
            </w:tcBorders>
          </w:tcPr>
          <w:p>
            <w:pPr>
              <w:rPr>
                <w:sz w:val="2"/>
                <w:szCs w:val="2"/>
              </w:rPr>
            </w:pPr>
          </w:p>
        </w:tc>
        <w:tc>
          <w:tcPr>
            <w:tcW w:w="4181" w:type="dxa"/>
            <w:gridSpan w:val="3"/>
          </w:tcPr>
          <w:p>
            <w:pPr>
              <w:pStyle w:val="TableParagraph"/>
              <w:spacing w:before="197"/>
              <w:ind w:left="536"/>
              <w:rPr>
                <w:sz w:val="24"/>
              </w:rPr>
            </w:pPr>
            <w:r>
              <w:rPr>
                <w:sz w:val="24"/>
              </w:rPr>
              <w:t>MAS BASE + CUOTA FIJA 1</w:t>
            </w:r>
          </w:p>
        </w:tc>
      </w:tr>
      <w:tr>
        <w:trPr>
          <w:trHeight w:val="669" w:hRule="atLeast"/>
        </w:trPr>
        <w:tc>
          <w:tcPr>
            <w:tcW w:w="4703" w:type="dxa"/>
            <w:vMerge w:val="restart"/>
          </w:tcPr>
          <w:p>
            <w:pPr>
              <w:pStyle w:val="TableParagraph"/>
              <w:rPr>
                <w:sz w:val="26"/>
              </w:rPr>
            </w:pPr>
          </w:p>
          <w:p>
            <w:pPr>
              <w:pStyle w:val="TableParagraph"/>
              <w:spacing w:before="8"/>
              <w:rPr>
                <w:sz w:val="20"/>
              </w:rPr>
            </w:pPr>
          </w:p>
          <w:p>
            <w:pPr>
              <w:pStyle w:val="TableParagraph"/>
              <w:spacing w:before="1"/>
              <w:ind w:left="1527" w:right="1523"/>
              <w:jc w:val="center"/>
              <w:rPr>
                <w:sz w:val="24"/>
              </w:rPr>
            </w:pPr>
            <w:r>
              <w:rPr>
                <w:sz w:val="24"/>
              </w:rPr>
              <w:t>21 A 40 m³</w:t>
            </w:r>
          </w:p>
        </w:tc>
        <w:tc>
          <w:tcPr>
            <w:tcW w:w="1133" w:type="dxa"/>
          </w:tcPr>
          <w:p>
            <w:pPr>
              <w:pStyle w:val="TableParagraph"/>
              <w:spacing w:before="197"/>
              <w:ind w:right="256"/>
              <w:jc w:val="right"/>
              <w:rPr>
                <w:sz w:val="24"/>
              </w:rPr>
            </w:pPr>
            <w:r>
              <w:rPr>
                <w:sz w:val="24"/>
              </w:rPr>
              <w:t>$5.00</w:t>
            </w:r>
          </w:p>
        </w:tc>
        <w:tc>
          <w:tcPr>
            <w:tcW w:w="1702" w:type="dxa"/>
          </w:tcPr>
          <w:p>
            <w:pPr>
              <w:pStyle w:val="TableParagraph"/>
              <w:spacing w:before="197"/>
              <w:ind w:left="105" w:right="99"/>
              <w:jc w:val="center"/>
              <w:rPr>
                <w:sz w:val="24"/>
              </w:rPr>
            </w:pPr>
            <w:r>
              <w:rPr>
                <w:sz w:val="24"/>
              </w:rPr>
              <w:t>$2.00</w:t>
            </w:r>
          </w:p>
        </w:tc>
        <w:tc>
          <w:tcPr>
            <w:tcW w:w="1346" w:type="dxa"/>
          </w:tcPr>
          <w:p>
            <w:pPr>
              <w:pStyle w:val="TableParagraph"/>
              <w:spacing w:before="197"/>
              <w:ind w:left="279" w:right="272"/>
              <w:jc w:val="center"/>
              <w:rPr>
                <w:sz w:val="24"/>
              </w:rPr>
            </w:pPr>
            <w:r>
              <w:rPr>
                <w:sz w:val="24"/>
              </w:rPr>
              <w:t>$2.00</w:t>
            </w:r>
          </w:p>
        </w:tc>
      </w:tr>
      <w:tr>
        <w:trPr>
          <w:trHeight w:val="669" w:hRule="atLeast"/>
        </w:trPr>
        <w:tc>
          <w:tcPr>
            <w:tcW w:w="4703" w:type="dxa"/>
            <w:vMerge/>
            <w:tcBorders>
              <w:top w:val="nil"/>
            </w:tcBorders>
          </w:tcPr>
          <w:p>
            <w:pPr>
              <w:rPr>
                <w:sz w:val="2"/>
                <w:szCs w:val="2"/>
              </w:rPr>
            </w:pPr>
          </w:p>
        </w:tc>
        <w:tc>
          <w:tcPr>
            <w:tcW w:w="4181" w:type="dxa"/>
            <w:gridSpan w:val="3"/>
          </w:tcPr>
          <w:p>
            <w:pPr>
              <w:pStyle w:val="TableParagraph"/>
              <w:spacing w:before="60"/>
              <w:ind w:left="1285" w:right="108" w:hanging="1157"/>
              <w:rPr>
                <w:sz w:val="24"/>
              </w:rPr>
            </w:pPr>
            <w:r>
              <w:rPr>
                <w:sz w:val="24"/>
              </w:rPr>
              <w:t>Cada m³ + BASE + CUOTA FIJA 1 + CUOTA FIJA 2</w:t>
            </w:r>
          </w:p>
        </w:tc>
      </w:tr>
      <w:tr>
        <w:trPr>
          <w:trHeight w:val="669" w:hRule="atLeast"/>
        </w:trPr>
        <w:tc>
          <w:tcPr>
            <w:tcW w:w="4703" w:type="dxa"/>
            <w:vMerge w:val="restart"/>
          </w:tcPr>
          <w:p>
            <w:pPr>
              <w:pStyle w:val="TableParagraph"/>
              <w:rPr>
                <w:sz w:val="26"/>
              </w:rPr>
            </w:pPr>
          </w:p>
          <w:p>
            <w:pPr>
              <w:pStyle w:val="TableParagraph"/>
              <w:spacing w:before="8"/>
              <w:rPr>
                <w:sz w:val="20"/>
              </w:rPr>
            </w:pPr>
          </w:p>
          <w:p>
            <w:pPr>
              <w:pStyle w:val="TableParagraph"/>
              <w:spacing w:before="1"/>
              <w:ind w:left="1348"/>
              <w:rPr>
                <w:sz w:val="24"/>
              </w:rPr>
            </w:pPr>
            <w:r>
              <w:rPr>
                <w:sz w:val="24"/>
              </w:rPr>
              <w:t>41 m³ en adelante</w:t>
            </w:r>
          </w:p>
        </w:tc>
        <w:tc>
          <w:tcPr>
            <w:tcW w:w="1133" w:type="dxa"/>
          </w:tcPr>
          <w:p>
            <w:pPr>
              <w:pStyle w:val="TableParagraph"/>
              <w:spacing w:before="197"/>
              <w:ind w:right="191"/>
              <w:jc w:val="right"/>
              <w:rPr>
                <w:sz w:val="24"/>
              </w:rPr>
            </w:pPr>
            <w:r>
              <w:rPr>
                <w:sz w:val="24"/>
              </w:rPr>
              <w:t>$10.00</w:t>
            </w:r>
          </w:p>
        </w:tc>
        <w:tc>
          <w:tcPr>
            <w:tcW w:w="1702" w:type="dxa"/>
          </w:tcPr>
          <w:p>
            <w:pPr>
              <w:pStyle w:val="TableParagraph"/>
              <w:spacing w:before="197"/>
              <w:ind w:left="105" w:right="99"/>
              <w:jc w:val="center"/>
              <w:rPr>
                <w:sz w:val="24"/>
              </w:rPr>
            </w:pPr>
            <w:r>
              <w:rPr>
                <w:sz w:val="24"/>
              </w:rPr>
              <w:t>$3.00</w:t>
            </w:r>
          </w:p>
        </w:tc>
        <w:tc>
          <w:tcPr>
            <w:tcW w:w="1346" w:type="dxa"/>
          </w:tcPr>
          <w:p>
            <w:pPr>
              <w:pStyle w:val="TableParagraph"/>
              <w:spacing w:before="197"/>
              <w:ind w:left="279" w:right="272"/>
              <w:jc w:val="center"/>
              <w:rPr>
                <w:sz w:val="24"/>
              </w:rPr>
            </w:pPr>
            <w:r>
              <w:rPr>
                <w:sz w:val="24"/>
              </w:rPr>
              <w:t>$3.00</w:t>
            </w:r>
          </w:p>
        </w:tc>
      </w:tr>
      <w:tr>
        <w:trPr>
          <w:trHeight w:val="669" w:hRule="atLeast"/>
        </w:trPr>
        <w:tc>
          <w:tcPr>
            <w:tcW w:w="4703" w:type="dxa"/>
            <w:vMerge/>
            <w:tcBorders>
              <w:top w:val="nil"/>
            </w:tcBorders>
          </w:tcPr>
          <w:p>
            <w:pPr>
              <w:rPr>
                <w:sz w:val="2"/>
                <w:szCs w:val="2"/>
              </w:rPr>
            </w:pPr>
          </w:p>
        </w:tc>
        <w:tc>
          <w:tcPr>
            <w:tcW w:w="4181" w:type="dxa"/>
            <w:gridSpan w:val="3"/>
          </w:tcPr>
          <w:p>
            <w:pPr>
              <w:pStyle w:val="TableParagraph"/>
              <w:spacing w:before="60"/>
              <w:ind w:left="1285" w:right="142" w:hanging="1124"/>
              <w:rPr>
                <w:sz w:val="24"/>
              </w:rPr>
            </w:pPr>
            <w:r>
              <w:rPr>
                <w:sz w:val="24"/>
              </w:rPr>
              <w:t>Cada m³ + BASE + CUOTA FIJA 1+ CUOTA FIJA 2</w:t>
            </w:r>
          </w:p>
        </w:tc>
      </w:tr>
    </w:tbl>
    <w:p>
      <w:pPr>
        <w:spacing w:after="0"/>
        <w:rPr>
          <w:sz w:val="24"/>
        </w:rPr>
        <w:sectPr>
          <w:pgSz w:w="12250" w:h="15850"/>
          <w:pgMar w:header="730" w:footer="0" w:top="1000" w:bottom="280" w:left="860" w:right="820"/>
        </w:sectPr>
      </w:pPr>
    </w:p>
    <w:p>
      <w:pPr>
        <w:pStyle w:val="BodyText"/>
        <w:spacing w:before="10"/>
        <w:rPr>
          <w:sz w:val="15"/>
        </w:rPr>
      </w:pPr>
      <w:r>
        <w:rPr/>
        <w:drawing>
          <wp:anchor distT="0" distB="0" distL="0" distR="0" allowOverlap="1" layoutInCell="1" locked="0" behindDoc="1" simplePos="0" relativeHeight="227526656">
            <wp:simplePos x="0" y="0"/>
            <wp:positionH relativeFrom="page">
              <wp:posOffset>1239220</wp:posOffset>
            </wp:positionH>
            <wp:positionV relativeFrom="page">
              <wp:posOffset>2058161</wp:posOffset>
            </wp:positionV>
            <wp:extent cx="5021401" cy="5143500"/>
            <wp:effectExtent l="0" t="0" r="0" b="0"/>
            <wp:wrapNone/>
            <wp:docPr id="115" name="image53.png"/>
            <wp:cNvGraphicFramePr>
              <a:graphicFrameLocks noChangeAspect="1"/>
            </wp:cNvGraphicFramePr>
            <a:graphic>
              <a:graphicData uri="http://schemas.openxmlformats.org/drawingml/2006/picture">
                <pic:pic>
                  <pic:nvPicPr>
                    <pic:cNvPr id="116" name="image53.png"/>
                    <pic:cNvPicPr/>
                  </pic:nvPicPr>
                  <pic:blipFill>
                    <a:blip r:embed="rId63" cstate="print"/>
                    <a:stretch>
                      <a:fillRect/>
                    </a:stretch>
                  </pic:blipFill>
                  <pic:spPr>
                    <a:xfrm>
                      <a:off x="0" y="0"/>
                      <a:ext cx="5021401" cy="5143500"/>
                    </a:xfrm>
                    <a:prstGeom prst="rect">
                      <a:avLst/>
                    </a:prstGeom>
                  </pic:spPr>
                </pic:pic>
              </a:graphicData>
            </a:graphic>
          </wp:anchor>
        </w:drawing>
      </w: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03"/>
        <w:gridCol w:w="1133"/>
        <w:gridCol w:w="1702"/>
        <w:gridCol w:w="1346"/>
      </w:tblGrid>
      <w:tr>
        <w:trPr>
          <w:trHeight w:val="782" w:hRule="atLeast"/>
        </w:trPr>
        <w:tc>
          <w:tcPr>
            <w:tcW w:w="4703" w:type="dxa"/>
          </w:tcPr>
          <w:p>
            <w:pPr>
              <w:pStyle w:val="TableParagraph"/>
              <w:spacing w:before="2"/>
              <w:ind w:left="1527" w:right="1509"/>
              <w:jc w:val="center"/>
              <w:rPr>
                <w:b/>
                <w:sz w:val="24"/>
              </w:rPr>
            </w:pPr>
            <w:r>
              <w:rPr>
                <w:b/>
                <w:sz w:val="24"/>
              </w:rPr>
              <w:t>Metro cúbico</w:t>
            </w:r>
          </w:p>
        </w:tc>
        <w:tc>
          <w:tcPr>
            <w:tcW w:w="4181" w:type="dxa"/>
            <w:gridSpan w:val="3"/>
            <w:tcBorders>
              <w:top w:val="single" w:sz="8" w:space="0" w:color="000000"/>
              <w:bottom w:val="single" w:sz="8" w:space="0" w:color="000000"/>
              <w:right w:val="single" w:sz="8" w:space="0" w:color="000000"/>
            </w:tcBorders>
          </w:tcPr>
          <w:p>
            <w:pPr>
              <w:pStyle w:val="TableParagraph"/>
              <w:spacing w:before="4"/>
              <w:rPr>
                <w:sz w:val="22"/>
              </w:rPr>
            </w:pPr>
          </w:p>
          <w:p>
            <w:pPr>
              <w:pStyle w:val="TableParagraph"/>
              <w:ind w:left="1608" w:right="1597"/>
              <w:jc w:val="center"/>
              <w:rPr>
                <w:b/>
                <w:sz w:val="24"/>
              </w:rPr>
            </w:pPr>
            <w:r>
              <w:rPr>
                <w:b/>
                <w:sz w:val="24"/>
              </w:rPr>
              <w:t>ZONA D</w:t>
            </w:r>
          </w:p>
        </w:tc>
      </w:tr>
      <w:tr>
        <w:trPr>
          <w:trHeight w:val="791" w:hRule="atLeast"/>
        </w:trPr>
        <w:tc>
          <w:tcPr>
            <w:tcW w:w="4703" w:type="dxa"/>
            <w:tcBorders>
              <w:left w:val="single" w:sz="8" w:space="0" w:color="000000"/>
              <w:bottom w:val="single" w:sz="8" w:space="0" w:color="000000"/>
              <w:right w:val="single" w:sz="8" w:space="0" w:color="000000"/>
            </w:tcBorders>
          </w:tcPr>
          <w:p>
            <w:pPr>
              <w:pStyle w:val="TableParagraph"/>
              <w:rPr>
                <w:rFonts w:ascii="Times New Roman"/>
                <w:sz w:val="24"/>
              </w:rPr>
            </w:pPr>
          </w:p>
        </w:tc>
        <w:tc>
          <w:tcPr>
            <w:tcW w:w="1133" w:type="dxa"/>
            <w:tcBorders>
              <w:top w:val="single" w:sz="8" w:space="0" w:color="000000"/>
              <w:left w:val="single" w:sz="8" w:space="0" w:color="000000"/>
              <w:right w:val="single" w:sz="8" w:space="0" w:color="000000"/>
            </w:tcBorders>
          </w:tcPr>
          <w:p>
            <w:pPr>
              <w:pStyle w:val="TableParagraph"/>
              <w:spacing w:before="5"/>
              <w:ind w:left="114" w:right="16" w:hanging="65"/>
              <w:rPr>
                <w:sz w:val="24"/>
              </w:rPr>
            </w:pPr>
            <w:r>
              <w:rPr>
                <w:sz w:val="24"/>
              </w:rPr>
              <w:t>Consumo de Agua</w:t>
            </w:r>
          </w:p>
        </w:tc>
        <w:tc>
          <w:tcPr>
            <w:tcW w:w="1702" w:type="dxa"/>
            <w:tcBorders>
              <w:top w:val="single" w:sz="8" w:space="0" w:color="000000"/>
              <w:left w:val="single" w:sz="8" w:space="0" w:color="000000"/>
              <w:right w:val="single" w:sz="8" w:space="0" w:color="000000"/>
            </w:tcBorders>
          </w:tcPr>
          <w:p>
            <w:pPr>
              <w:pStyle w:val="TableParagraph"/>
              <w:spacing w:before="8"/>
              <w:rPr>
                <w:sz w:val="22"/>
              </w:rPr>
            </w:pPr>
          </w:p>
          <w:p>
            <w:pPr>
              <w:pStyle w:val="TableParagraph"/>
              <w:ind w:left="105" w:right="95"/>
              <w:jc w:val="center"/>
              <w:rPr>
                <w:sz w:val="24"/>
              </w:rPr>
            </w:pPr>
            <w:r>
              <w:rPr>
                <w:sz w:val="24"/>
              </w:rPr>
              <w:t>Alcantarillado</w:t>
            </w:r>
          </w:p>
        </w:tc>
        <w:tc>
          <w:tcPr>
            <w:tcW w:w="1346" w:type="dxa"/>
            <w:tcBorders>
              <w:top w:val="single" w:sz="8" w:space="0" w:color="000000"/>
              <w:left w:val="single" w:sz="8" w:space="0" w:color="000000"/>
              <w:right w:val="single" w:sz="8" w:space="0" w:color="000000"/>
            </w:tcBorders>
          </w:tcPr>
          <w:p>
            <w:pPr>
              <w:pStyle w:val="TableParagraph"/>
              <w:spacing w:before="5"/>
              <w:ind w:left="66" w:right="39" w:firstLine="93"/>
              <w:rPr>
                <w:sz w:val="24"/>
              </w:rPr>
            </w:pPr>
            <w:r>
              <w:rPr>
                <w:sz w:val="24"/>
              </w:rPr>
              <w:t>Planta de tratamiento</w:t>
            </w:r>
          </w:p>
        </w:tc>
      </w:tr>
      <w:tr>
        <w:trPr>
          <w:trHeight w:val="275" w:hRule="atLeast"/>
        </w:trPr>
        <w:tc>
          <w:tcPr>
            <w:tcW w:w="4703" w:type="dxa"/>
            <w:tcBorders>
              <w:top w:val="single" w:sz="8" w:space="0" w:color="000000"/>
              <w:left w:val="single" w:sz="8" w:space="0" w:color="000000"/>
              <w:bottom w:val="single" w:sz="8" w:space="0" w:color="000000"/>
            </w:tcBorders>
          </w:tcPr>
          <w:p>
            <w:pPr>
              <w:pStyle w:val="TableParagraph"/>
              <w:spacing w:line="255" w:lineRule="exact"/>
              <w:ind w:left="1532" w:right="1511"/>
              <w:jc w:val="center"/>
              <w:rPr>
                <w:sz w:val="24"/>
              </w:rPr>
            </w:pPr>
            <w:r>
              <w:rPr>
                <w:sz w:val="24"/>
              </w:rPr>
              <w:t>BASE 0 m³</w:t>
            </w:r>
          </w:p>
        </w:tc>
        <w:tc>
          <w:tcPr>
            <w:tcW w:w="1133" w:type="dxa"/>
          </w:tcPr>
          <w:p>
            <w:pPr>
              <w:pStyle w:val="TableParagraph"/>
              <w:spacing w:line="255" w:lineRule="exact"/>
              <w:ind w:right="185"/>
              <w:jc w:val="right"/>
              <w:rPr>
                <w:sz w:val="24"/>
              </w:rPr>
            </w:pPr>
            <w:r>
              <w:rPr>
                <w:sz w:val="24"/>
              </w:rPr>
              <w:t>$74.00</w:t>
            </w:r>
          </w:p>
        </w:tc>
        <w:tc>
          <w:tcPr>
            <w:tcW w:w="1702" w:type="dxa"/>
          </w:tcPr>
          <w:p>
            <w:pPr>
              <w:pStyle w:val="TableParagraph"/>
              <w:spacing w:line="255" w:lineRule="exact"/>
              <w:ind w:left="105" w:right="90"/>
              <w:jc w:val="center"/>
              <w:rPr>
                <w:sz w:val="24"/>
              </w:rPr>
            </w:pPr>
            <w:r>
              <w:rPr>
                <w:sz w:val="24"/>
              </w:rPr>
              <w:t>$25.00</w:t>
            </w:r>
          </w:p>
        </w:tc>
        <w:tc>
          <w:tcPr>
            <w:tcW w:w="1346" w:type="dxa"/>
          </w:tcPr>
          <w:p>
            <w:pPr>
              <w:pStyle w:val="TableParagraph"/>
              <w:spacing w:line="255" w:lineRule="exact"/>
              <w:ind w:left="284" w:right="268"/>
              <w:jc w:val="center"/>
              <w:rPr>
                <w:sz w:val="24"/>
              </w:rPr>
            </w:pPr>
            <w:r>
              <w:rPr>
                <w:sz w:val="24"/>
              </w:rPr>
              <w:t>$25.00</w:t>
            </w:r>
          </w:p>
        </w:tc>
      </w:tr>
      <w:tr>
        <w:trPr>
          <w:trHeight w:val="654" w:hRule="atLeast"/>
        </w:trPr>
        <w:tc>
          <w:tcPr>
            <w:tcW w:w="4703" w:type="dxa"/>
            <w:vMerge w:val="restart"/>
            <w:tcBorders>
              <w:top w:val="single" w:sz="8" w:space="0" w:color="000000"/>
              <w:left w:val="single" w:sz="8" w:space="0" w:color="000000"/>
              <w:bottom w:val="single" w:sz="8" w:space="0" w:color="000000"/>
            </w:tcBorders>
          </w:tcPr>
          <w:p>
            <w:pPr>
              <w:pStyle w:val="TableParagraph"/>
              <w:spacing w:before="2"/>
              <w:rPr>
                <w:sz w:val="34"/>
              </w:rPr>
            </w:pPr>
          </w:p>
          <w:p>
            <w:pPr>
              <w:pStyle w:val="TableParagraph"/>
              <w:ind w:left="1532" w:right="1515"/>
              <w:jc w:val="center"/>
              <w:rPr>
                <w:sz w:val="24"/>
              </w:rPr>
            </w:pPr>
            <w:r>
              <w:rPr>
                <w:sz w:val="24"/>
              </w:rPr>
              <w:t>CUOTA FIJA 1</w:t>
            </w:r>
          </w:p>
          <w:p>
            <w:pPr>
              <w:pStyle w:val="TableParagraph"/>
              <w:ind w:left="1531" w:right="1515"/>
              <w:jc w:val="center"/>
              <w:rPr>
                <w:sz w:val="24"/>
              </w:rPr>
            </w:pPr>
            <w:r>
              <w:rPr>
                <w:sz w:val="24"/>
              </w:rPr>
              <w:t>1  A</w:t>
            </w:r>
            <w:r>
              <w:rPr>
                <w:spacing w:val="65"/>
                <w:sz w:val="24"/>
              </w:rPr>
              <w:t> </w:t>
            </w:r>
            <w:r>
              <w:rPr>
                <w:sz w:val="24"/>
              </w:rPr>
              <w:t>10m³</w:t>
            </w:r>
          </w:p>
        </w:tc>
        <w:tc>
          <w:tcPr>
            <w:tcW w:w="1133" w:type="dxa"/>
          </w:tcPr>
          <w:p>
            <w:pPr>
              <w:pStyle w:val="TableParagraph"/>
              <w:spacing w:before="192"/>
              <w:ind w:right="185"/>
              <w:jc w:val="right"/>
              <w:rPr>
                <w:sz w:val="24"/>
              </w:rPr>
            </w:pPr>
            <w:r>
              <w:rPr>
                <w:sz w:val="24"/>
              </w:rPr>
              <w:t>$25.00</w:t>
            </w:r>
          </w:p>
        </w:tc>
        <w:tc>
          <w:tcPr>
            <w:tcW w:w="1702" w:type="dxa"/>
          </w:tcPr>
          <w:p>
            <w:pPr>
              <w:pStyle w:val="TableParagraph"/>
              <w:spacing w:before="192"/>
              <w:ind w:left="105" w:right="89"/>
              <w:jc w:val="center"/>
              <w:rPr>
                <w:sz w:val="24"/>
              </w:rPr>
            </w:pPr>
            <w:r>
              <w:rPr>
                <w:sz w:val="24"/>
              </w:rPr>
              <w:t>$8.00</w:t>
            </w:r>
          </w:p>
        </w:tc>
        <w:tc>
          <w:tcPr>
            <w:tcW w:w="1346" w:type="dxa"/>
          </w:tcPr>
          <w:p>
            <w:pPr>
              <w:pStyle w:val="TableParagraph"/>
              <w:spacing w:before="192"/>
              <w:ind w:left="284" w:right="267"/>
              <w:jc w:val="center"/>
              <w:rPr>
                <w:sz w:val="24"/>
              </w:rPr>
            </w:pPr>
            <w:r>
              <w:rPr>
                <w:sz w:val="24"/>
              </w:rPr>
              <w:t>$8.00</w:t>
            </w:r>
          </w:p>
        </w:tc>
      </w:tr>
      <w:tr>
        <w:trPr>
          <w:trHeight w:val="664" w:hRule="atLeast"/>
        </w:trPr>
        <w:tc>
          <w:tcPr>
            <w:tcW w:w="4703" w:type="dxa"/>
            <w:vMerge/>
            <w:tcBorders>
              <w:top w:val="nil"/>
              <w:left w:val="single" w:sz="8" w:space="0" w:color="000000"/>
              <w:bottom w:val="single" w:sz="8" w:space="0" w:color="000000"/>
            </w:tcBorders>
          </w:tcPr>
          <w:p>
            <w:pPr>
              <w:rPr>
                <w:sz w:val="2"/>
                <w:szCs w:val="2"/>
              </w:rPr>
            </w:pPr>
          </w:p>
        </w:tc>
        <w:tc>
          <w:tcPr>
            <w:tcW w:w="4181" w:type="dxa"/>
            <w:gridSpan w:val="3"/>
          </w:tcPr>
          <w:p>
            <w:pPr>
              <w:pStyle w:val="TableParagraph"/>
              <w:spacing w:before="192"/>
              <w:ind w:left="1452" w:right="1441"/>
              <w:jc w:val="center"/>
              <w:rPr>
                <w:sz w:val="24"/>
              </w:rPr>
            </w:pPr>
            <w:r>
              <w:rPr>
                <w:sz w:val="24"/>
              </w:rPr>
              <w:t>MAS BASE</w:t>
            </w:r>
          </w:p>
        </w:tc>
      </w:tr>
      <w:tr>
        <w:trPr>
          <w:trHeight w:val="654" w:hRule="atLeast"/>
        </w:trPr>
        <w:tc>
          <w:tcPr>
            <w:tcW w:w="4703" w:type="dxa"/>
            <w:vMerge w:val="restart"/>
            <w:tcBorders>
              <w:top w:val="single" w:sz="8" w:space="0" w:color="000000"/>
              <w:left w:val="single" w:sz="8" w:space="0" w:color="000000"/>
              <w:bottom w:val="single" w:sz="8" w:space="0" w:color="000000"/>
            </w:tcBorders>
          </w:tcPr>
          <w:p>
            <w:pPr>
              <w:pStyle w:val="TableParagraph"/>
              <w:spacing w:before="3"/>
              <w:rPr>
                <w:sz w:val="34"/>
              </w:rPr>
            </w:pPr>
          </w:p>
          <w:p>
            <w:pPr>
              <w:pStyle w:val="TableParagraph"/>
              <w:ind w:left="1532" w:right="1515"/>
              <w:jc w:val="center"/>
              <w:rPr>
                <w:sz w:val="24"/>
              </w:rPr>
            </w:pPr>
            <w:r>
              <w:rPr>
                <w:sz w:val="24"/>
              </w:rPr>
              <w:t>CUOTA FIJA 2</w:t>
            </w:r>
          </w:p>
          <w:p>
            <w:pPr>
              <w:pStyle w:val="TableParagraph"/>
              <w:ind w:left="1532" w:right="1511"/>
              <w:jc w:val="center"/>
              <w:rPr>
                <w:sz w:val="24"/>
              </w:rPr>
            </w:pPr>
            <w:r>
              <w:rPr>
                <w:sz w:val="24"/>
              </w:rPr>
              <w:t>11  A  20m³</w:t>
            </w:r>
          </w:p>
        </w:tc>
        <w:tc>
          <w:tcPr>
            <w:tcW w:w="1133" w:type="dxa"/>
          </w:tcPr>
          <w:p>
            <w:pPr>
              <w:pStyle w:val="TableParagraph"/>
              <w:spacing w:before="192"/>
              <w:ind w:right="185"/>
              <w:jc w:val="right"/>
              <w:rPr>
                <w:sz w:val="24"/>
              </w:rPr>
            </w:pPr>
            <w:r>
              <w:rPr>
                <w:sz w:val="24"/>
              </w:rPr>
              <w:t>$25.00</w:t>
            </w:r>
          </w:p>
        </w:tc>
        <w:tc>
          <w:tcPr>
            <w:tcW w:w="1702" w:type="dxa"/>
          </w:tcPr>
          <w:p>
            <w:pPr>
              <w:pStyle w:val="TableParagraph"/>
              <w:spacing w:before="192"/>
              <w:ind w:left="105" w:right="89"/>
              <w:jc w:val="center"/>
              <w:rPr>
                <w:sz w:val="24"/>
              </w:rPr>
            </w:pPr>
            <w:r>
              <w:rPr>
                <w:sz w:val="24"/>
              </w:rPr>
              <w:t>$8.00</w:t>
            </w:r>
          </w:p>
        </w:tc>
        <w:tc>
          <w:tcPr>
            <w:tcW w:w="1346" w:type="dxa"/>
          </w:tcPr>
          <w:p>
            <w:pPr>
              <w:pStyle w:val="TableParagraph"/>
              <w:spacing w:before="192"/>
              <w:ind w:left="284" w:right="267"/>
              <w:jc w:val="center"/>
              <w:rPr>
                <w:sz w:val="24"/>
              </w:rPr>
            </w:pPr>
            <w:r>
              <w:rPr>
                <w:sz w:val="24"/>
              </w:rPr>
              <w:t>$8.00</w:t>
            </w:r>
          </w:p>
        </w:tc>
      </w:tr>
      <w:tr>
        <w:trPr>
          <w:trHeight w:val="663" w:hRule="atLeast"/>
        </w:trPr>
        <w:tc>
          <w:tcPr>
            <w:tcW w:w="4703" w:type="dxa"/>
            <w:vMerge/>
            <w:tcBorders>
              <w:top w:val="nil"/>
              <w:left w:val="single" w:sz="8" w:space="0" w:color="000000"/>
              <w:bottom w:val="single" w:sz="8" w:space="0" w:color="000000"/>
            </w:tcBorders>
          </w:tcPr>
          <w:p>
            <w:pPr>
              <w:rPr>
                <w:sz w:val="2"/>
                <w:szCs w:val="2"/>
              </w:rPr>
            </w:pPr>
          </w:p>
        </w:tc>
        <w:tc>
          <w:tcPr>
            <w:tcW w:w="4181" w:type="dxa"/>
            <w:gridSpan w:val="3"/>
          </w:tcPr>
          <w:p>
            <w:pPr>
              <w:pStyle w:val="TableParagraph"/>
              <w:spacing w:before="192"/>
              <w:ind w:left="541"/>
              <w:rPr>
                <w:sz w:val="24"/>
              </w:rPr>
            </w:pPr>
            <w:r>
              <w:rPr>
                <w:sz w:val="24"/>
              </w:rPr>
              <w:t>MAS BASE + CUOTA FIJA 1</w:t>
            </w:r>
          </w:p>
        </w:tc>
      </w:tr>
      <w:tr>
        <w:trPr>
          <w:trHeight w:val="654" w:hRule="atLeast"/>
        </w:trPr>
        <w:tc>
          <w:tcPr>
            <w:tcW w:w="4703" w:type="dxa"/>
            <w:vMerge w:val="restart"/>
            <w:tcBorders>
              <w:top w:val="single" w:sz="8" w:space="0" w:color="000000"/>
              <w:left w:val="single" w:sz="8" w:space="0" w:color="000000"/>
              <w:bottom w:val="single" w:sz="8" w:space="0" w:color="000000"/>
            </w:tcBorders>
          </w:tcPr>
          <w:p>
            <w:pPr>
              <w:pStyle w:val="TableParagraph"/>
              <w:rPr>
                <w:sz w:val="26"/>
              </w:rPr>
            </w:pPr>
          </w:p>
          <w:p>
            <w:pPr>
              <w:pStyle w:val="TableParagraph"/>
              <w:spacing w:before="231"/>
              <w:ind w:left="1532" w:right="1513"/>
              <w:jc w:val="center"/>
              <w:rPr>
                <w:sz w:val="24"/>
              </w:rPr>
            </w:pPr>
            <w:r>
              <w:rPr>
                <w:sz w:val="24"/>
              </w:rPr>
              <w:t>21 A 40 m³</w:t>
            </w:r>
          </w:p>
        </w:tc>
        <w:tc>
          <w:tcPr>
            <w:tcW w:w="1133" w:type="dxa"/>
          </w:tcPr>
          <w:p>
            <w:pPr>
              <w:pStyle w:val="TableParagraph"/>
              <w:spacing w:before="192"/>
              <w:ind w:right="251"/>
              <w:jc w:val="right"/>
              <w:rPr>
                <w:sz w:val="24"/>
              </w:rPr>
            </w:pPr>
            <w:r>
              <w:rPr>
                <w:sz w:val="24"/>
              </w:rPr>
              <w:t>$5.00</w:t>
            </w:r>
          </w:p>
        </w:tc>
        <w:tc>
          <w:tcPr>
            <w:tcW w:w="1702" w:type="dxa"/>
          </w:tcPr>
          <w:p>
            <w:pPr>
              <w:pStyle w:val="TableParagraph"/>
              <w:spacing w:before="192"/>
              <w:ind w:left="105" w:right="89"/>
              <w:jc w:val="center"/>
              <w:rPr>
                <w:sz w:val="24"/>
              </w:rPr>
            </w:pPr>
            <w:r>
              <w:rPr>
                <w:sz w:val="24"/>
              </w:rPr>
              <w:t>$2.00</w:t>
            </w:r>
          </w:p>
        </w:tc>
        <w:tc>
          <w:tcPr>
            <w:tcW w:w="1346" w:type="dxa"/>
          </w:tcPr>
          <w:p>
            <w:pPr>
              <w:pStyle w:val="TableParagraph"/>
              <w:spacing w:before="192"/>
              <w:ind w:left="284" w:right="267"/>
              <w:jc w:val="center"/>
              <w:rPr>
                <w:sz w:val="24"/>
              </w:rPr>
            </w:pPr>
            <w:r>
              <w:rPr>
                <w:sz w:val="24"/>
              </w:rPr>
              <w:t>$2.00</w:t>
            </w:r>
          </w:p>
        </w:tc>
      </w:tr>
      <w:tr>
        <w:trPr>
          <w:trHeight w:val="663" w:hRule="atLeast"/>
        </w:trPr>
        <w:tc>
          <w:tcPr>
            <w:tcW w:w="4703" w:type="dxa"/>
            <w:vMerge/>
            <w:tcBorders>
              <w:top w:val="nil"/>
              <w:left w:val="single" w:sz="8" w:space="0" w:color="000000"/>
              <w:bottom w:val="single" w:sz="8" w:space="0" w:color="000000"/>
            </w:tcBorders>
          </w:tcPr>
          <w:p>
            <w:pPr>
              <w:rPr>
                <w:sz w:val="2"/>
                <w:szCs w:val="2"/>
              </w:rPr>
            </w:pPr>
          </w:p>
        </w:tc>
        <w:tc>
          <w:tcPr>
            <w:tcW w:w="4181" w:type="dxa"/>
            <w:gridSpan w:val="3"/>
          </w:tcPr>
          <w:p>
            <w:pPr>
              <w:pStyle w:val="TableParagraph"/>
              <w:spacing w:before="53"/>
              <w:ind w:left="1290" w:right="103" w:hanging="1157"/>
              <w:rPr>
                <w:sz w:val="24"/>
              </w:rPr>
            </w:pPr>
            <w:r>
              <w:rPr>
                <w:sz w:val="24"/>
              </w:rPr>
              <w:t>Cada m³ + BASE + CUOTA FIJA 1 + CUOTA FIJA 2</w:t>
            </w:r>
          </w:p>
        </w:tc>
      </w:tr>
      <w:tr>
        <w:trPr>
          <w:trHeight w:val="656" w:hRule="atLeast"/>
        </w:trPr>
        <w:tc>
          <w:tcPr>
            <w:tcW w:w="4703" w:type="dxa"/>
            <w:vMerge w:val="restart"/>
            <w:tcBorders>
              <w:top w:val="single" w:sz="8" w:space="0" w:color="000000"/>
              <w:left w:val="single" w:sz="8" w:space="0" w:color="000000"/>
              <w:bottom w:val="single" w:sz="6" w:space="0" w:color="000000"/>
            </w:tcBorders>
          </w:tcPr>
          <w:p>
            <w:pPr>
              <w:pStyle w:val="TableParagraph"/>
              <w:rPr>
                <w:sz w:val="26"/>
              </w:rPr>
            </w:pPr>
          </w:p>
          <w:p>
            <w:pPr>
              <w:pStyle w:val="TableParagraph"/>
              <w:spacing w:before="231"/>
              <w:ind w:left="1350"/>
              <w:rPr>
                <w:sz w:val="24"/>
              </w:rPr>
            </w:pPr>
            <w:r>
              <w:rPr>
                <w:sz w:val="24"/>
              </w:rPr>
              <w:t>41 m³ en adelante</w:t>
            </w:r>
          </w:p>
        </w:tc>
        <w:tc>
          <w:tcPr>
            <w:tcW w:w="1133" w:type="dxa"/>
          </w:tcPr>
          <w:p>
            <w:pPr>
              <w:pStyle w:val="TableParagraph"/>
              <w:spacing w:before="192"/>
              <w:ind w:right="185"/>
              <w:jc w:val="right"/>
              <w:rPr>
                <w:sz w:val="24"/>
              </w:rPr>
            </w:pPr>
            <w:r>
              <w:rPr>
                <w:sz w:val="24"/>
              </w:rPr>
              <w:t>$10.00</w:t>
            </w:r>
          </w:p>
        </w:tc>
        <w:tc>
          <w:tcPr>
            <w:tcW w:w="1702" w:type="dxa"/>
          </w:tcPr>
          <w:p>
            <w:pPr>
              <w:pStyle w:val="TableParagraph"/>
              <w:spacing w:before="192"/>
              <w:ind w:left="105" w:right="89"/>
              <w:jc w:val="center"/>
              <w:rPr>
                <w:sz w:val="24"/>
              </w:rPr>
            </w:pPr>
            <w:r>
              <w:rPr>
                <w:sz w:val="24"/>
              </w:rPr>
              <w:t>$3.00</w:t>
            </w:r>
          </w:p>
        </w:tc>
        <w:tc>
          <w:tcPr>
            <w:tcW w:w="1346" w:type="dxa"/>
          </w:tcPr>
          <w:p>
            <w:pPr>
              <w:pStyle w:val="TableParagraph"/>
              <w:spacing w:before="192"/>
              <w:ind w:left="284" w:right="267"/>
              <w:jc w:val="center"/>
              <w:rPr>
                <w:sz w:val="24"/>
              </w:rPr>
            </w:pPr>
            <w:r>
              <w:rPr>
                <w:sz w:val="24"/>
              </w:rPr>
              <w:t>$3.00</w:t>
            </w:r>
          </w:p>
        </w:tc>
      </w:tr>
      <w:tr>
        <w:trPr>
          <w:trHeight w:val="667" w:hRule="atLeast"/>
        </w:trPr>
        <w:tc>
          <w:tcPr>
            <w:tcW w:w="4703" w:type="dxa"/>
            <w:vMerge/>
            <w:tcBorders>
              <w:top w:val="nil"/>
              <w:left w:val="single" w:sz="8" w:space="0" w:color="000000"/>
              <w:bottom w:val="single" w:sz="6" w:space="0" w:color="000000"/>
            </w:tcBorders>
          </w:tcPr>
          <w:p>
            <w:pPr>
              <w:rPr>
                <w:sz w:val="2"/>
                <w:szCs w:val="2"/>
              </w:rPr>
            </w:pPr>
          </w:p>
        </w:tc>
        <w:tc>
          <w:tcPr>
            <w:tcW w:w="4181" w:type="dxa"/>
            <w:gridSpan w:val="3"/>
          </w:tcPr>
          <w:p>
            <w:pPr>
              <w:pStyle w:val="TableParagraph"/>
              <w:spacing w:before="60"/>
              <w:ind w:left="1290" w:right="103" w:hanging="1157"/>
              <w:rPr>
                <w:sz w:val="24"/>
              </w:rPr>
            </w:pPr>
            <w:r>
              <w:rPr>
                <w:sz w:val="24"/>
              </w:rPr>
              <w:t>Cada m³ + BASE + CUOTA FIJA 1 + CUOTA FIJA 2</w:t>
            </w:r>
          </w:p>
        </w:tc>
      </w:tr>
    </w:tbl>
    <w:p>
      <w:pPr>
        <w:pStyle w:val="BodyText"/>
      </w:pPr>
    </w:p>
    <w:tbl>
      <w:tblPr>
        <w:tblW w:w="0" w:type="auto"/>
        <w:jc w:val="left"/>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1"/>
        <w:gridCol w:w="2410"/>
        <w:gridCol w:w="2410"/>
      </w:tblGrid>
      <w:tr>
        <w:trPr>
          <w:trHeight w:val="572" w:hRule="atLeast"/>
        </w:trPr>
        <w:tc>
          <w:tcPr>
            <w:tcW w:w="8841" w:type="dxa"/>
            <w:gridSpan w:val="3"/>
            <w:tcBorders>
              <w:bottom w:val="single" w:sz="8" w:space="0" w:color="000000"/>
            </w:tcBorders>
          </w:tcPr>
          <w:p>
            <w:pPr>
              <w:pStyle w:val="TableParagraph"/>
              <w:spacing w:before="149"/>
              <w:ind w:left="2568" w:right="2554"/>
              <w:jc w:val="center"/>
              <w:rPr>
                <w:b/>
                <w:sz w:val="24"/>
              </w:rPr>
            </w:pPr>
            <w:r>
              <w:rPr>
                <w:b/>
                <w:sz w:val="24"/>
              </w:rPr>
              <w:t>Servicio para Escuelas Públicas</w:t>
            </w:r>
          </w:p>
        </w:tc>
      </w:tr>
      <w:tr>
        <w:trPr>
          <w:trHeight w:val="570" w:hRule="atLeast"/>
        </w:trPr>
        <w:tc>
          <w:tcPr>
            <w:tcW w:w="4021" w:type="dxa"/>
          </w:tcPr>
          <w:p>
            <w:pPr>
              <w:pStyle w:val="TableParagraph"/>
              <w:spacing w:before="151"/>
              <w:ind w:left="1264"/>
              <w:rPr>
                <w:b/>
                <w:sz w:val="24"/>
              </w:rPr>
            </w:pPr>
            <w:r>
              <w:rPr>
                <w:b/>
                <w:sz w:val="24"/>
              </w:rPr>
              <w:t>Metro cúbico</w:t>
            </w:r>
          </w:p>
        </w:tc>
        <w:tc>
          <w:tcPr>
            <w:tcW w:w="4820" w:type="dxa"/>
            <w:gridSpan w:val="2"/>
            <w:tcBorders>
              <w:top w:val="single" w:sz="8" w:space="0" w:color="000000"/>
              <w:bottom w:val="single" w:sz="8" w:space="0" w:color="000000"/>
              <w:right w:val="single" w:sz="8" w:space="0" w:color="000000"/>
            </w:tcBorders>
          </w:tcPr>
          <w:p>
            <w:pPr>
              <w:pStyle w:val="TableParagraph"/>
              <w:spacing w:before="151"/>
              <w:ind w:left="990"/>
              <w:rPr>
                <w:b/>
                <w:sz w:val="24"/>
              </w:rPr>
            </w:pPr>
            <w:r>
              <w:rPr>
                <w:b/>
                <w:sz w:val="24"/>
              </w:rPr>
              <w:t>Servicio Comercial + IVA</w:t>
            </w:r>
          </w:p>
        </w:tc>
      </w:tr>
      <w:tr>
        <w:trPr>
          <w:trHeight w:val="279" w:hRule="atLeast"/>
        </w:trPr>
        <w:tc>
          <w:tcPr>
            <w:tcW w:w="4021" w:type="dxa"/>
            <w:vMerge w:val="restart"/>
            <w:tcBorders>
              <w:left w:val="single" w:sz="8" w:space="0" w:color="000000"/>
              <w:bottom w:val="single" w:sz="8" w:space="0" w:color="000000"/>
              <w:right w:val="single" w:sz="8" w:space="0" w:color="000000"/>
            </w:tcBorders>
          </w:tcPr>
          <w:p>
            <w:pPr>
              <w:pStyle w:val="TableParagraph"/>
              <w:spacing w:before="1"/>
              <w:rPr>
                <w:sz w:val="26"/>
              </w:rPr>
            </w:pPr>
          </w:p>
          <w:p>
            <w:pPr>
              <w:pStyle w:val="TableParagraph"/>
              <w:ind w:left="9"/>
              <w:rPr>
                <w:sz w:val="24"/>
              </w:rPr>
            </w:pPr>
            <w:r>
              <w:rPr>
                <w:sz w:val="24"/>
              </w:rPr>
              <w:t>BASE 0 A 50m³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5"/>
              <w:ind w:left="8"/>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5"/>
              <w:ind w:left="837"/>
              <w:rPr>
                <w:sz w:val="24"/>
              </w:rPr>
            </w:pPr>
            <w:r>
              <w:rPr>
                <w:sz w:val="24"/>
              </w:rPr>
              <w:t>$37.00</w:t>
            </w:r>
          </w:p>
        </w:tc>
      </w:tr>
      <w:tr>
        <w:trPr>
          <w:trHeight w:val="275" w:hRule="atLeast"/>
        </w:trPr>
        <w:tc>
          <w:tcPr>
            <w:tcW w:w="4021"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34"/>
              <w:rPr>
                <w:sz w:val="24"/>
              </w:rPr>
            </w:pPr>
            <w:r>
              <w:rPr>
                <w:sz w:val="24"/>
              </w:rPr>
              <w:t>$12.00</w:t>
            </w:r>
          </w:p>
        </w:tc>
      </w:tr>
      <w:tr>
        <w:trPr>
          <w:trHeight w:val="277" w:hRule="atLeast"/>
        </w:trPr>
        <w:tc>
          <w:tcPr>
            <w:tcW w:w="4021"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34"/>
              <w:rPr>
                <w:sz w:val="24"/>
              </w:rPr>
            </w:pPr>
            <w:r>
              <w:rPr>
                <w:sz w:val="24"/>
              </w:rPr>
              <w:t>$12.00</w:t>
            </w:r>
          </w:p>
        </w:tc>
      </w:tr>
      <w:tr>
        <w:trPr>
          <w:trHeight w:val="275" w:hRule="atLeast"/>
        </w:trPr>
        <w:tc>
          <w:tcPr>
            <w:tcW w:w="4021"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51 m³ en Adelante</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37"/>
              <w:rPr>
                <w:sz w:val="24"/>
              </w:rPr>
            </w:pPr>
            <w:r>
              <w:rPr>
                <w:sz w:val="24"/>
              </w:rPr>
              <w:t>$12.00</w:t>
            </w:r>
          </w:p>
        </w:tc>
      </w:tr>
      <w:tr>
        <w:trPr>
          <w:trHeight w:val="275" w:hRule="atLeast"/>
        </w:trPr>
        <w:tc>
          <w:tcPr>
            <w:tcW w:w="4021"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0"/>
              <w:rPr>
                <w:sz w:val="24"/>
              </w:rPr>
            </w:pPr>
            <w:r>
              <w:rPr>
                <w:sz w:val="24"/>
              </w:rPr>
              <w:t>$ 2.00</w:t>
            </w:r>
          </w:p>
        </w:tc>
      </w:tr>
      <w:tr>
        <w:trPr>
          <w:trHeight w:val="277" w:hRule="atLeast"/>
        </w:trPr>
        <w:tc>
          <w:tcPr>
            <w:tcW w:w="4021"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70"/>
              <w:rPr>
                <w:sz w:val="24"/>
              </w:rPr>
            </w:pPr>
            <w:r>
              <w:rPr>
                <w:sz w:val="24"/>
              </w:rPr>
              <w:t>$ 2.00</w:t>
            </w:r>
          </w:p>
        </w:tc>
      </w:tr>
      <w:tr>
        <w:trPr>
          <w:trHeight w:val="275" w:hRule="atLeast"/>
        </w:trPr>
        <w:tc>
          <w:tcPr>
            <w:tcW w:w="4021"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89"/>
              <w:rPr>
                <w:sz w:val="24"/>
              </w:rPr>
            </w:pPr>
            <w:r>
              <w:rPr>
                <w:sz w:val="24"/>
              </w:rPr>
              <w:t>Cada m³ + BASE</w:t>
            </w:r>
          </w:p>
        </w:tc>
      </w:tr>
    </w:tbl>
    <w:p>
      <w:pPr>
        <w:spacing w:after="0" w:line="255" w:lineRule="exact"/>
        <w:rPr>
          <w:sz w:val="24"/>
        </w:rPr>
        <w:sectPr>
          <w:pgSz w:w="12250" w:h="15850"/>
          <w:pgMar w:header="730" w:footer="0" w:top="1000" w:bottom="280" w:left="860" w:right="820"/>
        </w:sectPr>
      </w:pPr>
    </w:p>
    <w:p>
      <w:pPr>
        <w:pStyle w:val="BodyText"/>
        <w:spacing w:before="1"/>
        <w:rPr>
          <w:sz w:val="17"/>
        </w:rPr>
      </w:pPr>
      <w:r>
        <w:rPr/>
        <w:drawing>
          <wp:anchor distT="0" distB="0" distL="0" distR="0" allowOverlap="1" layoutInCell="1" locked="0" behindDoc="1" simplePos="0" relativeHeight="227527680">
            <wp:simplePos x="0" y="0"/>
            <wp:positionH relativeFrom="page">
              <wp:posOffset>1252555</wp:posOffset>
            </wp:positionH>
            <wp:positionV relativeFrom="page">
              <wp:posOffset>2058161</wp:posOffset>
            </wp:positionV>
            <wp:extent cx="5021401" cy="5143500"/>
            <wp:effectExtent l="0" t="0" r="0" b="0"/>
            <wp:wrapNone/>
            <wp:docPr id="117" name="image54.png"/>
            <wp:cNvGraphicFramePr>
              <a:graphicFrameLocks noChangeAspect="1"/>
            </wp:cNvGraphicFramePr>
            <a:graphic>
              <a:graphicData uri="http://schemas.openxmlformats.org/drawingml/2006/picture">
                <pic:pic>
                  <pic:nvPicPr>
                    <pic:cNvPr id="118" name="image54.png"/>
                    <pic:cNvPicPr/>
                  </pic:nvPicPr>
                  <pic:blipFill>
                    <a:blip r:embed="rId64" cstate="print"/>
                    <a:stretch>
                      <a:fillRect/>
                    </a:stretch>
                  </pic:blipFill>
                  <pic:spPr>
                    <a:xfrm>
                      <a:off x="0" y="0"/>
                      <a:ext cx="5021401" cy="5143500"/>
                    </a:xfrm>
                    <a:prstGeom prst="rect">
                      <a:avLst/>
                    </a:prstGeom>
                  </pic:spPr>
                </pic:pic>
              </a:graphicData>
            </a:graphic>
          </wp:anchor>
        </w:drawing>
      </w:r>
    </w:p>
    <w:tbl>
      <w:tblPr>
        <w:tblW w:w="0" w:type="auto"/>
        <w:jc w:val="left"/>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3"/>
        <w:gridCol w:w="2410"/>
        <w:gridCol w:w="2410"/>
      </w:tblGrid>
      <w:tr>
        <w:trPr>
          <w:trHeight w:val="568" w:hRule="atLeast"/>
        </w:trPr>
        <w:tc>
          <w:tcPr>
            <w:tcW w:w="4083" w:type="dxa"/>
          </w:tcPr>
          <w:p>
            <w:pPr>
              <w:pStyle w:val="TableParagraph"/>
              <w:spacing w:before="149"/>
              <w:ind w:left="1295"/>
              <w:rPr>
                <w:b/>
                <w:sz w:val="24"/>
              </w:rPr>
            </w:pPr>
            <w:r>
              <w:rPr>
                <w:b/>
                <w:sz w:val="24"/>
              </w:rPr>
              <w:t>Metro cúbico</w:t>
            </w:r>
          </w:p>
        </w:tc>
        <w:tc>
          <w:tcPr>
            <w:tcW w:w="4820" w:type="dxa"/>
            <w:gridSpan w:val="2"/>
            <w:tcBorders>
              <w:top w:val="single" w:sz="8" w:space="0" w:color="000000"/>
              <w:bottom w:val="single" w:sz="8" w:space="0" w:color="000000"/>
              <w:right w:val="single" w:sz="8" w:space="0" w:color="000000"/>
            </w:tcBorders>
          </w:tcPr>
          <w:p>
            <w:pPr>
              <w:pStyle w:val="TableParagraph"/>
              <w:spacing w:before="149"/>
              <w:ind w:left="993"/>
              <w:rPr>
                <w:b/>
                <w:sz w:val="24"/>
              </w:rPr>
            </w:pPr>
            <w:r>
              <w:rPr>
                <w:b/>
                <w:sz w:val="24"/>
              </w:rPr>
              <w:t>Servicio Comercial + IVA</w:t>
            </w:r>
          </w:p>
        </w:tc>
      </w:tr>
      <w:tr>
        <w:trPr>
          <w:trHeight w:val="282" w:hRule="atLeast"/>
        </w:trPr>
        <w:tc>
          <w:tcPr>
            <w:tcW w:w="4083" w:type="dxa"/>
            <w:vMerge w:val="restart"/>
            <w:tcBorders>
              <w:left w:val="single" w:sz="8" w:space="0" w:color="000000"/>
              <w:bottom w:val="single" w:sz="8" w:space="0" w:color="000000"/>
              <w:right w:val="single" w:sz="8" w:space="0" w:color="000000"/>
            </w:tcBorders>
          </w:tcPr>
          <w:p>
            <w:pPr>
              <w:pStyle w:val="TableParagraph"/>
              <w:spacing w:before="3"/>
              <w:rPr>
                <w:sz w:val="26"/>
              </w:rPr>
            </w:pPr>
          </w:p>
          <w:p>
            <w:pPr>
              <w:pStyle w:val="TableParagraph"/>
              <w:ind w:left="9"/>
              <w:rPr>
                <w:sz w:val="24"/>
              </w:rPr>
            </w:pPr>
            <w:r>
              <w:rPr>
                <w:sz w:val="24"/>
              </w:rPr>
              <w:t>BASE 0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7"/>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7"/>
              <w:ind w:left="837"/>
              <w:rPr>
                <w:sz w:val="24"/>
              </w:rPr>
            </w:pPr>
            <w:r>
              <w:rPr>
                <w:sz w:val="24"/>
              </w:rPr>
              <w:t>$36.00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35"/>
              <w:rPr>
                <w:sz w:val="24"/>
              </w:rPr>
            </w:pPr>
            <w:r>
              <w:rPr>
                <w:sz w:val="24"/>
              </w:rPr>
              <w:t>$12.00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35"/>
              <w:rPr>
                <w:sz w:val="24"/>
              </w:rPr>
            </w:pPr>
            <w:r>
              <w:rPr>
                <w:sz w:val="24"/>
              </w:rPr>
              <w:t>$12.00</w:t>
            </w:r>
          </w:p>
        </w:tc>
      </w:tr>
      <w:tr>
        <w:trPr>
          <w:trHeight w:val="277" w:hRule="atLeast"/>
        </w:trPr>
        <w:tc>
          <w:tcPr>
            <w:tcW w:w="40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sz w:val="38"/>
              </w:rPr>
            </w:pPr>
          </w:p>
          <w:p>
            <w:pPr>
              <w:pStyle w:val="TableParagraph"/>
              <w:ind w:left="9"/>
              <w:rPr>
                <w:sz w:val="24"/>
              </w:rPr>
            </w:pPr>
            <w:r>
              <w:rPr>
                <w:sz w:val="24"/>
              </w:rPr>
              <w:t>01 - 05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71"/>
              <w:rPr>
                <w:sz w:val="24"/>
              </w:rPr>
            </w:pPr>
            <w:r>
              <w:rPr>
                <w:sz w:val="24"/>
              </w:rPr>
              <w:t>$ 7.00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$ 2.00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$ 2.00</w:t>
            </w:r>
          </w:p>
        </w:tc>
      </w:tr>
      <w:tr>
        <w:trPr>
          <w:trHeight w:val="277"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1490"/>
              <w:rPr>
                <w:sz w:val="24"/>
              </w:rPr>
            </w:pPr>
            <w:r>
              <w:rPr>
                <w:sz w:val="24"/>
              </w:rPr>
              <w:t>Cada m³ + BASE</w:t>
            </w:r>
          </w:p>
        </w:tc>
      </w:tr>
      <w:tr>
        <w:trPr>
          <w:trHeight w:val="275" w:hRule="atLeast"/>
        </w:trPr>
        <w:tc>
          <w:tcPr>
            <w:tcW w:w="4083" w:type="dxa"/>
            <w:vMerge w:val="restart"/>
            <w:tcBorders>
              <w:top w:val="single" w:sz="8" w:space="0" w:color="000000"/>
              <w:left w:val="single" w:sz="8" w:space="0" w:color="000000"/>
              <w:bottom w:val="single" w:sz="6" w:space="0" w:color="000000"/>
              <w:right w:val="single" w:sz="8" w:space="0" w:color="000000"/>
            </w:tcBorders>
          </w:tcPr>
          <w:p>
            <w:pPr>
              <w:pStyle w:val="TableParagraph"/>
              <w:spacing w:before="7"/>
              <w:rPr>
                <w:sz w:val="38"/>
              </w:rPr>
            </w:pPr>
          </w:p>
          <w:p>
            <w:pPr>
              <w:pStyle w:val="TableParagraph"/>
              <w:ind w:left="9"/>
              <w:rPr>
                <w:sz w:val="24"/>
              </w:rPr>
            </w:pPr>
            <w:r>
              <w:rPr>
                <w:sz w:val="24"/>
              </w:rPr>
              <w:t>06 - 10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$ 8.00</w:t>
            </w:r>
          </w:p>
        </w:tc>
      </w:tr>
      <w:tr>
        <w:trPr>
          <w:trHeight w:val="275" w:hRule="atLeast"/>
        </w:trPr>
        <w:tc>
          <w:tcPr>
            <w:tcW w:w="4083" w:type="dxa"/>
            <w:vMerge/>
            <w:tcBorders>
              <w:top w:val="nil"/>
              <w:left w:val="single" w:sz="8" w:space="0" w:color="000000"/>
              <w:bottom w:val="single" w:sz="6"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$ 3.00</w:t>
            </w:r>
          </w:p>
        </w:tc>
      </w:tr>
      <w:tr>
        <w:trPr>
          <w:trHeight w:val="277" w:hRule="atLeast"/>
        </w:trPr>
        <w:tc>
          <w:tcPr>
            <w:tcW w:w="4083" w:type="dxa"/>
            <w:vMerge/>
            <w:tcBorders>
              <w:top w:val="nil"/>
              <w:left w:val="single" w:sz="8" w:space="0" w:color="000000"/>
              <w:bottom w:val="single" w:sz="6"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71"/>
              <w:rPr>
                <w:sz w:val="24"/>
              </w:rPr>
            </w:pPr>
            <w:r>
              <w:rPr>
                <w:sz w:val="24"/>
              </w:rPr>
              <w:t>$ 3.00</w:t>
            </w:r>
          </w:p>
        </w:tc>
      </w:tr>
      <w:tr>
        <w:trPr>
          <w:trHeight w:val="273" w:hRule="atLeast"/>
        </w:trPr>
        <w:tc>
          <w:tcPr>
            <w:tcW w:w="4083" w:type="dxa"/>
            <w:vMerge/>
            <w:tcBorders>
              <w:top w:val="nil"/>
              <w:left w:val="single" w:sz="8" w:space="0" w:color="000000"/>
              <w:bottom w:val="single" w:sz="6"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3" w:lineRule="exact"/>
              <w:ind w:left="1490"/>
              <w:rPr>
                <w:sz w:val="24"/>
              </w:rPr>
            </w:pPr>
            <w:r>
              <w:rPr>
                <w:sz w:val="24"/>
              </w:rPr>
              <w:t>Cada m³ + BASE</w:t>
            </w:r>
          </w:p>
        </w:tc>
      </w:tr>
      <w:tr>
        <w:trPr>
          <w:trHeight w:val="277" w:hRule="atLeast"/>
        </w:trPr>
        <w:tc>
          <w:tcPr>
            <w:tcW w:w="4083" w:type="dxa"/>
            <w:vMerge w:val="restart"/>
            <w:tcBorders>
              <w:top w:val="single" w:sz="6" w:space="0" w:color="000000"/>
              <w:left w:val="single" w:sz="8" w:space="0" w:color="000000"/>
              <w:bottom w:val="single" w:sz="8" w:space="0" w:color="000000"/>
              <w:right w:val="single" w:sz="8" w:space="0" w:color="000000"/>
            </w:tcBorders>
          </w:tcPr>
          <w:p>
            <w:pPr>
              <w:pStyle w:val="TableParagraph"/>
              <w:spacing w:before="9"/>
              <w:rPr>
                <w:sz w:val="38"/>
              </w:rPr>
            </w:pPr>
          </w:p>
          <w:p>
            <w:pPr>
              <w:pStyle w:val="TableParagraph"/>
              <w:ind w:left="9"/>
              <w:rPr>
                <w:sz w:val="24"/>
              </w:rPr>
            </w:pPr>
            <w:r>
              <w:rPr>
                <w:sz w:val="24"/>
              </w:rPr>
              <w:t>11 - 15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37"/>
              <w:rPr>
                <w:sz w:val="24"/>
              </w:rPr>
            </w:pPr>
            <w:r>
              <w:rPr>
                <w:sz w:val="24"/>
              </w:rPr>
              <w:t>$10.00</w:t>
            </w:r>
          </w:p>
        </w:tc>
      </w:tr>
      <w:tr>
        <w:trPr>
          <w:trHeight w:val="277"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71"/>
              <w:rPr>
                <w:sz w:val="24"/>
              </w:rPr>
            </w:pPr>
            <w:r>
              <w:rPr>
                <w:sz w:val="24"/>
              </w:rPr>
              <w:t>$ 3.00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$ 3.00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r>
        <w:trPr>
          <w:trHeight w:val="277" w:hRule="atLeast"/>
        </w:trPr>
        <w:tc>
          <w:tcPr>
            <w:tcW w:w="40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16 - 20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37"/>
              <w:rPr>
                <w:sz w:val="24"/>
              </w:rPr>
            </w:pPr>
            <w:r>
              <w:rPr>
                <w:sz w:val="24"/>
              </w:rPr>
              <w:t>$12.00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$ 4.00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$ 4.00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r>
        <w:trPr>
          <w:trHeight w:val="277" w:hRule="atLeast"/>
        </w:trPr>
        <w:tc>
          <w:tcPr>
            <w:tcW w:w="4083"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rPr>
                <w:sz w:val="38"/>
              </w:rPr>
            </w:pPr>
          </w:p>
          <w:p>
            <w:pPr>
              <w:pStyle w:val="TableParagraph"/>
              <w:ind w:left="9"/>
              <w:rPr>
                <w:sz w:val="24"/>
              </w:rPr>
            </w:pPr>
            <w:r>
              <w:rPr>
                <w:sz w:val="24"/>
              </w:rPr>
              <w:t>21 m³ en Adelante</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37"/>
              <w:rPr>
                <w:sz w:val="24"/>
              </w:rPr>
            </w:pPr>
            <w:r>
              <w:rPr>
                <w:sz w:val="24"/>
              </w:rPr>
              <w:t>$15.00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$ 5.00</w:t>
            </w:r>
          </w:p>
        </w:tc>
      </w:tr>
      <w:tr>
        <w:trPr>
          <w:trHeight w:val="275"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871"/>
              <w:rPr>
                <w:sz w:val="24"/>
              </w:rPr>
            </w:pPr>
            <w:r>
              <w:rPr>
                <w:sz w:val="24"/>
              </w:rPr>
              <w:t>$ 5.00</w:t>
            </w:r>
          </w:p>
        </w:tc>
      </w:tr>
      <w:tr>
        <w:trPr>
          <w:trHeight w:val="277" w:hRule="atLeast"/>
        </w:trPr>
        <w:tc>
          <w:tcPr>
            <w:tcW w:w="4083"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1490"/>
              <w:rPr>
                <w:sz w:val="24"/>
              </w:rPr>
            </w:pPr>
            <w:r>
              <w:rPr>
                <w:sz w:val="24"/>
              </w:rPr>
              <w:t>Cada m³ + BASE</w:t>
            </w:r>
          </w:p>
        </w:tc>
      </w:tr>
    </w:tbl>
    <w:p>
      <w:pPr>
        <w:pStyle w:val="BodyText"/>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7"/>
        <w:gridCol w:w="2410"/>
        <w:gridCol w:w="2410"/>
      </w:tblGrid>
      <w:tr>
        <w:trPr>
          <w:trHeight w:val="570" w:hRule="atLeast"/>
        </w:trPr>
        <w:tc>
          <w:tcPr>
            <w:tcW w:w="4097" w:type="dxa"/>
          </w:tcPr>
          <w:p>
            <w:pPr>
              <w:pStyle w:val="TableParagraph"/>
              <w:spacing w:before="149"/>
              <w:ind w:left="1305"/>
              <w:rPr>
                <w:b/>
                <w:sz w:val="24"/>
              </w:rPr>
            </w:pPr>
            <w:r>
              <w:rPr>
                <w:b/>
                <w:sz w:val="24"/>
              </w:rPr>
              <w:t>Metro cúbico</w:t>
            </w:r>
          </w:p>
        </w:tc>
        <w:tc>
          <w:tcPr>
            <w:tcW w:w="4820" w:type="dxa"/>
            <w:gridSpan w:val="2"/>
            <w:tcBorders>
              <w:top w:val="single" w:sz="8" w:space="0" w:color="000000"/>
              <w:bottom w:val="single" w:sz="8" w:space="0" w:color="000000"/>
              <w:right w:val="single" w:sz="8" w:space="0" w:color="000000"/>
            </w:tcBorders>
          </w:tcPr>
          <w:p>
            <w:pPr>
              <w:pStyle w:val="TableParagraph"/>
              <w:spacing w:before="149"/>
              <w:ind w:left="1034"/>
              <w:rPr>
                <w:b/>
                <w:sz w:val="24"/>
              </w:rPr>
            </w:pPr>
            <w:r>
              <w:rPr>
                <w:b/>
                <w:sz w:val="24"/>
              </w:rPr>
              <w:t>Servicio Industrial + IVA</w:t>
            </w:r>
          </w:p>
        </w:tc>
      </w:tr>
      <w:tr>
        <w:trPr>
          <w:trHeight w:val="280" w:hRule="atLeast"/>
        </w:trPr>
        <w:tc>
          <w:tcPr>
            <w:tcW w:w="4097" w:type="dxa"/>
            <w:vMerge w:val="restart"/>
            <w:tcBorders>
              <w:left w:val="single" w:sz="8" w:space="0" w:color="000000"/>
              <w:bottom w:val="single" w:sz="8" w:space="0" w:color="000000"/>
              <w:right w:val="single" w:sz="8" w:space="0" w:color="000000"/>
            </w:tcBorders>
          </w:tcPr>
          <w:p>
            <w:pPr>
              <w:pStyle w:val="TableParagraph"/>
              <w:spacing w:before="1"/>
              <w:rPr>
                <w:sz w:val="26"/>
              </w:rPr>
            </w:pPr>
          </w:p>
          <w:p>
            <w:pPr>
              <w:pStyle w:val="TableParagraph"/>
              <w:ind w:left="9"/>
              <w:rPr>
                <w:sz w:val="24"/>
              </w:rPr>
            </w:pPr>
            <w:r>
              <w:rPr>
                <w:sz w:val="24"/>
              </w:rPr>
              <w:t>BASE 0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5"/>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5"/>
              <w:ind w:left="484" w:right="463"/>
              <w:jc w:val="center"/>
              <w:rPr>
                <w:sz w:val="24"/>
              </w:rPr>
            </w:pPr>
            <w:r>
              <w:rPr>
                <w:sz w:val="24"/>
              </w:rPr>
              <w:t>$51.00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6"/>
              <w:jc w:val="center"/>
              <w:rPr>
                <w:sz w:val="24"/>
              </w:rPr>
            </w:pPr>
            <w:r>
              <w:rPr>
                <w:sz w:val="24"/>
              </w:rPr>
              <w:t>$17.00</w:t>
            </w:r>
          </w:p>
        </w:tc>
      </w:tr>
      <w:tr>
        <w:trPr>
          <w:trHeight w:val="277"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484" w:right="466"/>
              <w:jc w:val="center"/>
              <w:rPr>
                <w:sz w:val="24"/>
              </w:rPr>
            </w:pPr>
            <w:r>
              <w:rPr>
                <w:sz w:val="24"/>
              </w:rPr>
              <w:t>$17.00</w:t>
            </w:r>
          </w:p>
        </w:tc>
      </w:tr>
      <w:tr>
        <w:trPr>
          <w:trHeight w:val="275" w:hRule="atLeast"/>
        </w:trPr>
        <w:tc>
          <w:tcPr>
            <w:tcW w:w="4097"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01 - 05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$ 9.00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$ 3.00</w:t>
            </w:r>
          </w:p>
        </w:tc>
      </w:tr>
      <w:tr>
        <w:trPr>
          <w:trHeight w:val="277"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484" w:right="463"/>
              <w:jc w:val="center"/>
              <w:rPr>
                <w:sz w:val="24"/>
              </w:rPr>
            </w:pPr>
            <w:r>
              <w:rPr>
                <w:sz w:val="24"/>
              </w:rPr>
              <w:t>$ 3.00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r>
        <w:trPr>
          <w:trHeight w:val="275" w:hRule="atLeast"/>
        </w:trPr>
        <w:tc>
          <w:tcPr>
            <w:tcW w:w="4097"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06 - 10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$13.00</w:t>
            </w:r>
          </w:p>
        </w:tc>
      </w:tr>
      <w:tr>
        <w:trPr>
          <w:trHeight w:val="277"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484" w:right="463"/>
              <w:jc w:val="center"/>
              <w:rPr>
                <w:sz w:val="24"/>
              </w:rPr>
            </w:pPr>
            <w:r>
              <w:rPr>
                <w:sz w:val="24"/>
              </w:rPr>
              <w:t>$ 4.00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$ 4.00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r>
        <w:trPr>
          <w:trHeight w:val="275" w:hRule="atLeast"/>
        </w:trPr>
        <w:tc>
          <w:tcPr>
            <w:tcW w:w="4097"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11 - 15 m³</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Consumo de Agua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$17.00</w:t>
            </w:r>
          </w:p>
        </w:tc>
      </w:tr>
      <w:tr>
        <w:trPr>
          <w:trHeight w:val="277"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484" w:right="463"/>
              <w:jc w:val="center"/>
              <w:rPr>
                <w:sz w:val="24"/>
              </w:rPr>
            </w:pPr>
            <w:r>
              <w:rPr>
                <w:sz w:val="24"/>
              </w:rPr>
              <w:t>$ 6.00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$ 6.00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r>
        <w:trPr>
          <w:trHeight w:val="277" w:hRule="atLeast"/>
        </w:trPr>
        <w:tc>
          <w:tcPr>
            <w:tcW w:w="4097" w:type="dxa"/>
            <w:vMerge w:val="restart"/>
            <w:tcBorders>
              <w:top w:val="single" w:sz="8" w:space="0" w:color="000000"/>
            </w:tcBorders>
          </w:tcPr>
          <w:p>
            <w:pPr>
              <w:pStyle w:val="TableParagraph"/>
              <w:spacing w:before="10"/>
              <w:rPr>
                <w:sz w:val="25"/>
              </w:rPr>
            </w:pPr>
          </w:p>
          <w:p>
            <w:pPr>
              <w:pStyle w:val="TableParagraph"/>
              <w:ind w:left="9"/>
              <w:rPr>
                <w:sz w:val="24"/>
              </w:rPr>
            </w:pPr>
            <w:r>
              <w:rPr>
                <w:sz w:val="24"/>
              </w:rPr>
              <w:t>16 - 20 m³</w:t>
            </w:r>
          </w:p>
        </w:tc>
        <w:tc>
          <w:tcPr>
            <w:tcW w:w="2410" w:type="dxa"/>
            <w:tcBorders>
              <w:top w:val="single" w:sz="8" w:space="0" w:color="000000"/>
            </w:tcBorders>
          </w:tcPr>
          <w:p>
            <w:pPr>
              <w:pStyle w:val="TableParagraph"/>
              <w:spacing w:line="255" w:lineRule="exact" w:before="2"/>
              <w:ind w:left="9"/>
              <w:rPr>
                <w:sz w:val="24"/>
              </w:rPr>
            </w:pPr>
            <w:r>
              <w:rPr>
                <w:sz w:val="24"/>
              </w:rPr>
              <w:t>Consumo de Agua</w:t>
            </w:r>
          </w:p>
        </w:tc>
        <w:tc>
          <w:tcPr>
            <w:tcW w:w="2410" w:type="dxa"/>
            <w:tcBorders>
              <w:top w:val="single" w:sz="8" w:space="0" w:color="000000"/>
              <w:bottom w:val="single" w:sz="8" w:space="0" w:color="000000"/>
              <w:right w:val="single" w:sz="8" w:space="0" w:color="000000"/>
            </w:tcBorders>
          </w:tcPr>
          <w:p>
            <w:pPr>
              <w:pStyle w:val="TableParagraph"/>
              <w:spacing w:line="255" w:lineRule="exact" w:before="2"/>
              <w:ind w:left="820" w:right="799"/>
              <w:jc w:val="center"/>
              <w:rPr>
                <w:sz w:val="24"/>
              </w:rPr>
            </w:pPr>
            <w:r>
              <w:rPr>
                <w:sz w:val="24"/>
              </w:rPr>
              <w:t>$21.00</w:t>
            </w:r>
          </w:p>
        </w:tc>
      </w:tr>
      <w:tr>
        <w:trPr>
          <w:trHeight w:val="275" w:hRule="atLeast"/>
        </w:trPr>
        <w:tc>
          <w:tcPr>
            <w:tcW w:w="4097" w:type="dxa"/>
            <w:vMerge/>
            <w:tcBorders>
              <w:top w:val="nil"/>
            </w:tcBorders>
          </w:tcPr>
          <w:p>
            <w:pPr>
              <w:rPr>
                <w:sz w:val="2"/>
                <w:szCs w:val="2"/>
              </w:rPr>
            </w:pPr>
          </w:p>
        </w:tc>
        <w:tc>
          <w:tcPr>
            <w:tcW w:w="2410" w:type="dxa"/>
          </w:tcPr>
          <w:p>
            <w:pPr>
              <w:pStyle w:val="TableParagraph"/>
              <w:spacing w:line="255" w:lineRule="exact"/>
              <w:ind w:left="9"/>
              <w:rPr>
                <w:sz w:val="24"/>
              </w:rPr>
            </w:pPr>
            <w:r>
              <w:rPr>
                <w:sz w:val="24"/>
              </w:rPr>
              <w:t>Alcantarillado</w:t>
            </w:r>
          </w:p>
        </w:tc>
        <w:tc>
          <w:tcPr>
            <w:tcW w:w="2410" w:type="dxa"/>
            <w:tcBorders>
              <w:top w:val="single" w:sz="8" w:space="0" w:color="000000"/>
              <w:bottom w:val="single" w:sz="8" w:space="0" w:color="000000"/>
              <w:right w:val="single" w:sz="8" w:space="0" w:color="000000"/>
            </w:tcBorders>
          </w:tcPr>
          <w:p>
            <w:pPr>
              <w:pStyle w:val="TableParagraph"/>
              <w:spacing w:line="255" w:lineRule="exact"/>
              <w:ind w:left="820" w:right="799"/>
              <w:jc w:val="center"/>
              <w:rPr>
                <w:sz w:val="24"/>
              </w:rPr>
            </w:pPr>
            <w:r>
              <w:rPr>
                <w:sz w:val="24"/>
              </w:rPr>
              <w:t>$ 7.00</w:t>
            </w:r>
          </w:p>
        </w:tc>
      </w:tr>
      <w:tr>
        <w:trPr>
          <w:trHeight w:val="273" w:hRule="atLeast"/>
        </w:trPr>
        <w:tc>
          <w:tcPr>
            <w:tcW w:w="4097" w:type="dxa"/>
            <w:vMerge/>
            <w:tcBorders>
              <w:top w:val="nil"/>
            </w:tcBorders>
          </w:tcPr>
          <w:p>
            <w:pPr>
              <w:rPr>
                <w:sz w:val="2"/>
                <w:szCs w:val="2"/>
              </w:rPr>
            </w:pPr>
          </w:p>
        </w:tc>
        <w:tc>
          <w:tcPr>
            <w:tcW w:w="2410" w:type="dxa"/>
          </w:tcPr>
          <w:p>
            <w:pPr>
              <w:pStyle w:val="TableParagraph"/>
              <w:spacing w:line="253" w:lineRule="exact"/>
              <w:ind w:left="9"/>
              <w:rPr>
                <w:sz w:val="24"/>
              </w:rPr>
            </w:pPr>
            <w:r>
              <w:rPr>
                <w:sz w:val="24"/>
              </w:rPr>
              <w:t>Planta de Tratamiento</w:t>
            </w:r>
          </w:p>
        </w:tc>
        <w:tc>
          <w:tcPr>
            <w:tcW w:w="2410" w:type="dxa"/>
            <w:tcBorders>
              <w:top w:val="single" w:sz="8" w:space="0" w:color="000000"/>
              <w:bottom w:val="single" w:sz="8" w:space="0" w:color="000000"/>
              <w:right w:val="single" w:sz="8" w:space="0" w:color="000000"/>
            </w:tcBorders>
          </w:tcPr>
          <w:p>
            <w:pPr>
              <w:pStyle w:val="TableParagraph"/>
              <w:spacing w:line="253" w:lineRule="exact"/>
              <w:ind w:left="820" w:right="799"/>
              <w:jc w:val="center"/>
              <w:rPr>
                <w:sz w:val="24"/>
              </w:rPr>
            </w:pPr>
            <w:r>
              <w:rPr>
                <w:sz w:val="24"/>
              </w:rPr>
              <w:t>$ 7.00</w:t>
            </w:r>
          </w:p>
        </w:tc>
      </w:tr>
    </w:tbl>
    <w:p>
      <w:pPr>
        <w:spacing w:after="0" w:line="253" w:lineRule="exact"/>
        <w:jc w:val="center"/>
        <w:rPr>
          <w:sz w:val="24"/>
        </w:rPr>
        <w:sectPr>
          <w:pgSz w:w="12250" w:h="15850"/>
          <w:pgMar w:header="730" w:footer="0" w:top="1000" w:bottom="280" w:left="860" w:right="820"/>
        </w:sectPr>
      </w:pPr>
    </w:p>
    <w:p>
      <w:pPr>
        <w:pStyle w:val="BodyText"/>
        <w:spacing w:before="10"/>
        <w:rPr>
          <w:sz w:val="15"/>
        </w:rPr>
      </w:pPr>
    </w:p>
    <w:tbl>
      <w:tblPr>
        <w:tblW w:w="0" w:type="auto"/>
        <w:jc w:val="left"/>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7"/>
        <w:gridCol w:w="2410"/>
        <w:gridCol w:w="2410"/>
      </w:tblGrid>
      <w:tr>
        <w:trPr>
          <w:trHeight w:val="575" w:hRule="atLeast"/>
        </w:trPr>
        <w:tc>
          <w:tcPr>
            <w:tcW w:w="4097" w:type="dxa"/>
          </w:tcPr>
          <w:p>
            <w:pPr>
              <w:pStyle w:val="TableParagraph"/>
              <w:spacing w:before="151"/>
              <w:ind w:left="1305"/>
              <w:rPr>
                <w:b/>
                <w:sz w:val="24"/>
              </w:rPr>
            </w:pPr>
            <w:r>
              <w:rPr>
                <w:b/>
                <w:sz w:val="24"/>
              </w:rPr>
              <w:t>Metro cúbico</w:t>
            </w:r>
          </w:p>
        </w:tc>
        <w:tc>
          <w:tcPr>
            <w:tcW w:w="4820" w:type="dxa"/>
            <w:gridSpan w:val="2"/>
            <w:tcBorders>
              <w:top w:val="single" w:sz="8" w:space="0" w:color="000000"/>
              <w:right w:val="single" w:sz="8" w:space="0" w:color="000000"/>
            </w:tcBorders>
          </w:tcPr>
          <w:p>
            <w:pPr>
              <w:pStyle w:val="TableParagraph"/>
              <w:spacing w:before="151"/>
              <w:ind w:left="1034"/>
              <w:rPr>
                <w:b/>
                <w:sz w:val="24"/>
              </w:rPr>
            </w:pPr>
            <w:r>
              <w:rPr>
                <w:b/>
                <w:sz w:val="24"/>
              </w:rPr>
              <w:t>Servicio Industrial + IVA</w:t>
            </w:r>
          </w:p>
        </w:tc>
      </w:tr>
      <w:tr>
        <w:trPr>
          <w:trHeight w:val="275" w:hRule="atLeast"/>
        </w:trPr>
        <w:tc>
          <w:tcPr>
            <w:tcW w:w="4097" w:type="dxa"/>
          </w:tcPr>
          <w:p>
            <w:pPr>
              <w:pStyle w:val="TableParagraph"/>
              <w:rPr>
                <w:rFonts w:ascii="Times New Roman"/>
                <w:sz w:val="20"/>
              </w:rPr>
            </w:pPr>
          </w:p>
        </w:tc>
        <w:tc>
          <w:tcPr>
            <w:tcW w:w="4820" w:type="dxa"/>
            <w:gridSpan w:val="2"/>
          </w:tcPr>
          <w:p>
            <w:pPr>
              <w:pStyle w:val="TableParagraph"/>
              <w:spacing w:line="255" w:lineRule="exact"/>
              <w:ind w:left="1495"/>
              <w:rPr>
                <w:sz w:val="24"/>
              </w:rPr>
            </w:pPr>
            <w:r>
              <w:rPr>
                <w:sz w:val="24"/>
              </w:rPr>
              <w:t>Cada m³ + BASE</w:t>
            </w:r>
          </w:p>
        </w:tc>
      </w:tr>
      <w:tr>
        <w:trPr>
          <w:trHeight w:val="275" w:hRule="atLeast"/>
        </w:trPr>
        <w:tc>
          <w:tcPr>
            <w:tcW w:w="4097" w:type="dxa"/>
            <w:vMerge w:val="restart"/>
            <w:tcBorders>
              <w:left w:val="single" w:sz="8" w:space="0" w:color="000000"/>
              <w:bottom w:val="single" w:sz="8" w:space="0" w:color="000000"/>
              <w:right w:val="single" w:sz="8" w:space="0" w:color="000000"/>
            </w:tcBorders>
          </w:tcPr>
          <w:p>
            <w:pPr>
              <w:pStyle w:val="TableParagraph"/>
              <w:spacing w:before="7"/>
              <w:rPr>
                <w:sz w:val="38"/>
              </w:rPr>
            </w:pPr>
          </w:p>
          <w:p>
            <w:pPr>
              <w:pStyle w:val="TableParagraph"/>
              <w:ind w:left="9"/>
              <w:rPr>
                <w:sz w:val="24"/>
              </w:rPr>
            </w:pPr>
            <w:r>
              <w:rPr>
                <w:sz w:val="24"/>
              </w:rPr>
              <w:t>21 m³ en Adelante</w:t>
            </w:r>
          </w:p>
        </w:tc>
        <w:tc>
          <w:tcPr>
            <w:tcW w:w="2410" w:type="dxa"/>
            <w:tcBorders>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Consumo de Agua</w:t>
            </w:r>
          </w:p>
        </w:tc>
        <w:tc>
          <w:tcPr>
            <w:tcW w:w="2410" w:type="dxa"/>
            <w:tcBorders>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$25.00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484" w:right="463"/>
              <w:jc w:val="center"/>
              <w:rPr>
                <w:sz w:val="24"/>
              </w:rPr>
            </w:pPr>
            <w:r>
              <w:rPr>
                <w:sz w:val="24"/>
              </w:rPr>
              <w:t>$ 8.00</w:t>
            </w:r>
          </w:p>
        </w:tc>
      </w:tr>
      <w:tr>
        <w:trPr>
          <w:trHeight w:val="277"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484" w:right="463"/>
              <w:jc w:val="center"/>
              <w:rPr>
                <w:sz w:val="24"/>
              </w:rPr>
            </w:pPr>
            <w:r>
              <w:rPr>
                <w:sz w:val="24"/>
              </w:rPr>
              <w:t>$ 8.00</w:t>
            </w:r>
          </w:p>
        </w:tc>
      </w:tr>
      <w:tr>
        <w:trPr>
          <w:trHeight w:val="275" w:hRule="atLeast"/>
        </w:trPr>
        <w:tc>
          <w:tcPr>
            <w:tcW w:w="4097" w:type="dxa"/>
            <w:vMerge/>
            <w:tcBorders>
              <w:top w:val="nil"/>
              <w:left w:val="single" w:sz="8" w:space="0" w:color="000000"/>
              <w:bottom w:val="single" w:sz="8" w:space="0" w:color="000000"/>
              <w:right w:val="single" w:sz="8" w:space="0" w:color="000000"/>
            </w:tcBorders>
          </w:tcPr>
          <w:p>
            <w:pPr>
              <w:rPr>
                <w:sz w:val="2"/>
                <w:szCs w:val="2"/>
              </w:rPr>
            </w:pPr>
          </w:p>
        </w:tc>
        <w:tc>
          <w:tcPr>
            <w:tcW w:w="4820" w:type="dxa"/>
            <w:gridSpan w:val="2"/>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490"/>
              <w:rPr>
                <w:sz w:val="24"/>
              </w:rPr>
            </w:pPr>
            <w:r>
              <w:rPr>
                <w:sz w:val="24"/>
              </w:rPr>
              <w:t>Cada m³ + BASE</w:t>
            </w:r>
          </w:p>
        </w:tc>
      </w:tr>
    </w:tbl>
    <w:p>
      <w:pPr>
        <w:pStyle w:val="BodyText"/>
        <w:rPr>
          <w:sz w:val="16"/>
        </w:rPr>
      </w:pPr>
    </w:p>
    <w:p>
      <w:pPr>
        <w:pStyle w:val="BodyText"/>
        <w:spacing w:before="92"/>
        <w:ind w:left="400" w:right="432"/>
        <w:jc w:val="both"/>
      </w:pPr>
      <w:r>
        <w:rPr/>
        <w:drawing>
          <wp:anchor distT="0" distB="0" distL="0" distR="0" allowOverlap="1" layoutInCell="1" locked="0" behindDoc="1" simplePos="0" relativeHeight="227528704">
            <wp:simplePos x="0" y="0"/>
            <wp:positionH relativeFrom="page">
              <wp:posOffset>1239220</wp:posOffset>
            </wp:positionH>
            <wp:positionV relativeFrom="paragraph">
              <wp:posOffset>-139498</wp:posOffset>
            </wp:positionV>
            <wp:extent cx="5022641" cy="5144769"/>
            <wp:effectExtent l="0" t="0" r="0" b="0"/>
            <wp:wrapNone/>
            <wp:docPr id="119" name="image55.png"/>
            <wp:cNvGraphicFramePr>
              <a:graphicFrameLocks noChangeAspect="1"/>
            </wp:cNvGraphicFramePr>
            <a:graphic>
              <a:graphicData uri="http://schemas.openxmlformats.org/drawingml/2006/picture">
                <pic:pic>
                  <pic:nvPicPr>
                    <pic:cNvPr id="120" name="image55.png"/>
                    <pic:cNvPicPr/>
                  </pic:nvPicPr>
                  <pic:blipFill>
                    <a:blip r:embed="rId65" cstate="print"/>
                    <a:stretch>
                      <a:fillRect/>
                    </a:stretch>
                  </pic:blipFill>
                  <pic:spPr>
                    <a:xfrm>
                      <a:off x="0" y="0"/>
                      <a:ext cx="5022641" cy="5144769"/>
                    </a:xfrm>
                    <a:prstGeom prst="rect">
                      <a:avLst/>
                    </a:prstGeom>
                  </pic:spPr>
                </pic:pic>
              </a:graphicData>
            </a:graphic>
          </wp:anchor>
        </w:drawing>
      </w:r>
      <w:r>
        <w:rPr/>
        <w:t>Se considera como consumo de tipo mixto, aquellos casos en donde en un </w:t>
      </w:r>
      <w:r>
        <w:rPr>
          <w:spacing w:val="2"/>
        </w:rPr>
        <w:t>mismo </w:t>
      </w:r>
      <w:r>
        <w:rPr/>
        <w:t>inmueble con una sola toma de agua con o sin servicio medido, se abastezcan o suministren a la misma vez departamentos, despachos, oficinas y locales comerciales indistintamente de su giro. </w:t>
      </w:r>
      <w:r>
        <w:rPr>
          <w:spacing w:val="3"/>
        </w:rPr>
        <w:t>En </w:t>
      </w:r>
      <w:r>
        <w:rPr/>
        <w:t>este caso, se aplicará </w:t>
      </w:r>
      <w:r>
        <w:rPr>
          <w:spacing w:val="3"/>
        </w:rPr>
        <w:t>la </w:t>
      </w:r>
      <w:r>
        <w:rPr/>
        <w:t>cuota para uso</w:t>
      </w:r>
      <w:r>
        <w:rPr>
          <w:spacing w:val="7"/>
        </w:rPr>
        <w:t> </w:t>
      </w:r>
      <w:r>
        <w:rPr>
          <w:spacing w:val="3"/>
        </w:rPr>
        <w:t>comercial.</w:t>
      </w:r>
    </w:p>
    <w:p>
      <w:pPr>
        <w:pStyle w:val="BodyText"/>
        <w:spacing w:before="1"/>
      </w:pPr>
    </w:p>
    <w:p>
      <w:pPr>
        <w:pStyle w:val="BodyText"/>
        <w:ind w:left="400"/>
        <w:jc w:val="both"/>
      </w:pPr>
      <w:r>
        <w:rPr/>
        <w:t>Los servicios de alcantarillado y saneamiento están exentos de la tasa cero.</w:t>
      </w:r>
    </w:p>
    <w:p>
      <w:pPr>
        <w:pStyle w:val="BodyText"/>
      </w:pPr>
    </w:p>
    <w:p>
      <w:pPr>
        <w:pStyle w:val="Heading1"/>
        <w:numPr>
          <w:ilvl w:val="0"/>
          <w:numId w:val="55"/>
        </w:numPr>
        <w:tabs>
          <w:tab w:pos="966" w:val="left" w:leader="none"/>
          <w:tab w:pos="967" w:val="left" w:leader="none"/>
        </w:tabs>
        <w:spacing w:line="240" w:lineRule="auto" w:before="0" w:after="0"/>
        <w:ind w:left="966" w:right="0" w:hanging="567"/>
        <w:jc w:val="left"/>
      </w:pPr>
      <w:r>
        <w:rPr>
          <w:spacing w:val="-3"/>
        </w:rPr>
        <w:t>FUENTE </w:t>
      </w:r>
      <w:r>
        <w:rPr/>
        <w:t>DE ABASTECIMIENTO Y SUMINISTRO, DISTINTA A LA DEL</w:t>
      </w:r>
      <w:r>
        <w:rPr>
          <w:spacing w:val="-9"/>
        </w:rPr>
        <w:t> </w:t>
      </w:r>
      <w:r>
        <w:rPr/>
        <w:t>SIAPA.</w:t>
      </w:r>
    </w:p>
    <w:p>
      <w:pPr>
        <w:pStyle w:val="BodyText"/>
        <w:rPr>
          <w:b/>
        </w:rPr>
      </w:pPr>
    </w:p>
    <w:p>
      <w:pPr>
        <w:pStyle w:val="BodyText"/>
        <w:ind w:left="400" w:right="430"/>
        <w:jc w:val="both"/>
      </w:pPr>
      <w:r>
        <w:rPr/>
        <w:t>Se presume salvo prueba en contrario que, las personas físicas y morales residentes en el Municipio de Tepic y área conurbada reciben los servicios de suministro de agua potable, drenaje y saneamiento, por lo cual todos aquellos residentes del municipio y área conurbada que cuenten con su propia fuente de abastecimiento de agua, </w:t>
      </w:r>
      <w:r>
        <w:rPr>
          <w:spacing w:val="-4"/>
        </w:rPr>
        <w:t>ya</w:t>
      </w:r>
      <w:r>
        <w:rPr>
          <w:spacing w:val="58"/>
        </w:rPr>
        <w:t> </w:t>
      </w:r>
      <w:r>
        <w:rPr/>
        <w:t>sea superficial o mediante pozos, estarán obligados a entregar trimestralmente al </w:t>
      </w:r>
      <w:r>
        <w:rPr>
          <w:spacing w:val="3"/>
        </w:rPr>
        <w:t>Sistema Operador </w:t>
      </w:r>
      <w:r>
        <w:rPr/>
        <w:t>copia simple de los reportes de lecturas y declaraciones de aguas nacionales a que aluden los artículos 222 y 223, Apartado A, 226 y 231 de la Ley Federal de Derechos aplicable en materia de aguas nacionales dentro de los 15 días posteriores a la  terminación del trimestre correspondiente, a efecto de que el Sistema </w:t>
      </w:r>
      <w:r>
        <w:rPr>
          <w:spacing w:val="4"/>
        </w:rPr>
        <w:t>Operador </w:t>
      </w:r>
      <w:r>
        <w:rPr/>
        <w:t>cuente con una base de datos e información que le permita determinar los volúmenes que reporta a la Comisión Nacional del Agua ( CONAGUA) y que son útiles para la determinación de los derechos por drenaje, alcantarillado, y saneamiento de las aguas residuales que se generan. La omisión a lo anterior, hará presumir al Sistema Operador que dicho Usuario  de aguas nacionales descarga a la red de drenaje al menos el 75% de la totalidad del volumen concesionado con base en la información que se obtenga del Registro Público de Derechos de Agua, con independencia de las sanciones en que se pudiera</w:t>
      </w:r>
      <w:r>
        <w:rPr>
          <w:spacing w:val="-6"/>
        </w:rPr>
        <w:t> </w:t>
      </w:r>
      <w:r>
        <w:rPr/>
        <w:t>incurrir.</w:t>
      </w:r>
    </w:p>
    <w:p>
      <w:pPr>
        <w:pStyle w:val="BodyText"/>
        <w:spacing w:before="1"/>
      </w:pPr>
    </w:p>
    <w:p>
      <w:pPr>
        <w:pStyle w:val="Heading1"/>
        <w:numPr>
          <w:ilvl w:val="0"/>
          <w:numId w:val="55"/>
        </w:numPr>
        <w:tabs>
          <w:tab w:pos="966" w:val="left" w:leader="none"/>
          <w:tab w:pos="967" w:val="left" w:leader="none"/>
        </w:tabs>
        <w:spacing w:line="240" w:lineRule="auto" w:before="0" w:after="0"/>
        <w:ind w:left="966" w:right="432" w:hanging="567"/>
        <w:jc w:val="left"/>
      </w:pPr>
      <w:r>
        <w:rPr>
          <w:spacing w:val="-3"/>
        </w:rPr>
        <w:t>TARIFAS </w:t>
      </w:r>
      <w:r>
        <w:rPr>
          <w:spacing w:val="4"/>
        </w:rPr>
        <w:t>PARAEL </w:t>
      </w:r>
      <w:r>
        <w:rPr/>
        <w:t>SERVICIO </w:t>
      </w:r>
      <w:r>
        <w:rPr>
          <w:spacing w:val="-3"/>
        </w:rPr>
        <w:t>DE </w:t>
      </w:r>
      <w:r>
        <w:rPr/>
        <w:t>ALCANTARILLADO, AGUAS RESIDUALES Y SANEAMIENTO.</w:t>
      </w:r>
    </w:p>
    <w:p>
      <w:pPr>
        <w:pStyle w:val="BodyText"/>
        <w:rPr>
          <w:b/>
        </w:rPr>
      </w:pPr>
    </w:p>
    <w:p>
      <w:pPr>
        <w:pStyle w:val="ListParagraph"/>
        <w:numPr>
          <w:ilvl w:val="1"/>
          <w:numId w:val="55"/>
        </w:numPr>
        <w:tabs>
          <w:tab w:pos="967" w:val="left" w:leader="none"/>
        </w:tabs>
        <w:spacing w:line="240" w:lineRule="auto" w:before="0" w:after="0"/>
        <w:ind w:left="966" w:right="0" w:hanging="567"/>
        <w:jc w:val="left"/>
        <w:rPr>
          <w:b/>
          <w:sz w:val="24"/>
        </w:rPr>
      </w:pPr>
      <w:r>
        <w:rPr>
          <w:b/>
          <w:sz w:val="24"/>
        </w:rPr>
        <w:t>Tarifas para el servicio de alcantarillado, aguas residuales y</w:t>
      </w:r>
      <w:r>
        <w:rPr>
          <w:b/>
          <w:spacing w:val="-18"/>
          <w:sz w:val="24"/>
        </w:rPr>
        <w:t> </w:t>
      </w:r>
      <w:r>
        <w:rPr>
          <w:b/>
          <w:spacing w:val="2"/>
          <w:sz w:val="24"/>
        </w:rPr>
        <w:t>saneamiento.</w:t>
      </w:r>
    </w:p>
    <w:p>
      <w:pPr>
        <w:pStyle w:val="BodyText"/>
        <w:rPr>
          <w:b/>
        </w:rPr>
      </w:pPr>
    </w:p>
    <w:p>
      <w:pPr>
        <w:pStyle w:val="BodyText"/>
        <w:spacing w:before="1"/>
        <w:ind w:left="400" w:right="433"/>
        <w:jc w:val="both"/>
      </w:pPr>
      <w:r>
        <w:rPr/>
        <w:t>Los Usuarios que </w:t>
      </w:r>
      <w:r>
        <w:rPr>
          <w:spacing w:val="-4"/>
        </w:rPr>
        <w:t>se </w:t>
      </w:r>
      <w:r>
        <w:rPr/>
        <w:t>abastezcan de agua potable de fuente propia o distinta de la red municipal del Sistema </w:t>
      </w:r>
      <w:r>
        <w:rPr>
          <w:spacing w:val="2"/>
        </w:rPr>
        <w:t>Operador </w:t>
      </w:r>
      <w:r>
        <w:rPr/>
        <w:t>y que se hayan conectado a la red de drenaje municipal del mismo Sistema Operador deberán pagar </w:t>
      </w:r>
      <w:r>
        <w:rPr>
          <w:spacing w:val="3"/>
        </w:rPr>
        <w:t>la </w:t>
      </w:r>
      <w:r>
        <w:rPr>
          <w:spacing w:val="2"/>
        </w:rPr>
        <w:t>cantidad </w:t>
      </w:r>
      <w:r>
        <w:rPr/>
        <w:t>correspondiente de drenaje y  será independiente del pago por el concepto de saneamiento de aguas</w:t>
      </w:r>
      <w:r>
        <w:rPr>
          <w:spacing w:val="9"/>
        </w:rPr>
        <w:t> </w:t>
      </w:r>
      <w:r>
        <w:rPr/>
        <w:t>residuales.</w:t>
      </w:r>
    </w:p>
    <w:p>
      <w:pPr>
        <w:pStyle w:val="BodyText"/>
        <w:spacing w:before="11"/>
        <w:rPr>
          <w:sz w:val="23"/>
        </w:rPr>
      </w:pPr>
    </w:p>
    <w:p>
      <w:pPr>
        <w:pStyle w:val="BodyText"/>
        <w:ind w:left="400" w:right="432"/>
        <w:jc w:val="both"/>
      </w:pPr>
      <w:r>
        <w:rPr/>
        <w:t>Las personas físicas o morales que se encuentren en los supuestos de este precepto pagarán al Sistema Operador las tarifas por los conceptos siguientes: servicio de alcantarillado y saneamiento; descarga de contaminantes; y por descargas de pipas.</w:t>
      </w:r>
    </w:p>
    <w:p>
      <w:pPr>
        <w:spacing w:after="0"/>
        <w:jc w:val="both"/>
        <w:sectPr>
          <w:pgSz w:w="12250" w:h="15850"/>
          <w:pgMar w:header="730" w:footer="0" w:top="1000" w:bottom="280" w:left="860" w:right="820"/>
        </w:sectPr>
      </w:pPr>
    </w:p>
    <w:p>
      <w:pPr>
        <w:pStyle w:val="BodyText"/>
        <w:spacing w:before="1"/>
        <w:rPr>
          <w:sz w:val="9"/>
        </w:rPr>
      </w:pPr>
    </w:p>
    <w:p>
      <w:pPr>
        <w:pStyle w:val="ListParagraph"/>
        <w:numPr>
          <w:ilvl w:val="0"/>
          <w:numId w:val="56"/>
        </w:numPr>
        <w:tabs>
          <w:tab w:pos="735" w:val="left" w:leader="none"/>
        </w:tabs>
        <w:spacing w:line="240" w:lineRule="auto" w:before="93" w:after="0"/>
        <w:ind w:left="400" w:right="431" w:firstLine="0"/>
        <w:jc w:val="both"/>
        <w:rPr>
          <w:sz w:val="24"/>
        </w:rPr>
      </w:pPr>
      <w:r>
        <w:rPr/>
        <w:drawing>
          <wp:anchor distT="0" distB="0" distL="0" distR="0" allowOverlap="1" layoutInCell="1" locked="0" behindDoc="1" simplePos="0" relativeHeight="227529728">
            <wp:simplePos x="0" y="0"/>
            <wp:positionH relativeFrom="page">
              <wp:posOffset>1252555</wp:posOffset>
            </wp:positionH>
            <wp:positionV relativeFrom="paragraph">
              <wp:posOffset>1344242</wp:posOffset>
            </wp:positionV>
            <wp:extent cx="5022641" cy="5144769"/>
            <wp:effectExtent l="0" t="0" r="0" b="0"/>
            <wp:wrapNone/>
            <wp:docPr id="121" name="image56.png"/>
            <wp:cNvGraphicFramePr>
              <a:graphicFrameLocks noChangeAspect="1"/>
            </wp:cNvGraphicFramePr>
            <a:graphic>
              <a:graphicData uri="http://schemas.openxmlformats.org/drawingml/2006/picture">
                <pic:pic>
                  <pic:nvPicPr>
                    <pic:cNvPr id="122" name="image56.png"/>
                    <pic:cNvPicPr/>
                  </pic:nvPicPr>
                  <pic:blipFill>
                    <a:blip r:embed="rId66" cstate="print"/>
                    <a:stretch>
                      <a:fillRect/>
                    </a:stretch>
                  </pic:blipFill>
                  <pic:spPr>
                    <a:xfrm>
                      <a:off x="0" y="0"/>
                      <a:ext cx="5022641" cy="5144769"/>
                    </a:xfrm>
                    <a:prstGeom prst="rect">
                      <a:avLst/>
                    </a:prstGeom>
                  </pic:spPr>
                </pic:pic>
              </a:graphicData>
            </a:graphic>
          </wp:anchor>
        </w:drawing>
      </w:r>
      <w:r>
        <w:rPr>
          <w:sz w:val="24"/>
        </w:rPr>
        <w:t>El concesionario de aguas nacionales, </w:t>
      </w:r>
      <w:r>
        <w:rPr>
          <w:spacing w:val="-5"/>
          <w:sz w:val="24"/>
        </w:rPr>
        <w:t>ya </w:t>
      </w:r>
      <w:r>
        <w:rPr>
          <w:sz w:val="24"/>
        </w:rPr>
        <w:t>sea del subsuelo o superficiales, ante la Comisión Nacional del Agua o suministrado por pipas o por cualquier otra fuente de abastecimiento, que cuente con aparato medidor </w:t>
      </w:r>
      <w:r>
        <w:rPr>
          <w:spacing w:val="2"/>
          <w:sz w:val="24"/>
        </w:rPr>
        <w:t>en </w:t>
      </w:r>
      <w:r>
        <w:rPr>
          <w:sz w:val="24"/>
        </w:rPr>
        <w:t>el lugar de descarga al alcantarillado  o drenaje del Sistema Operador o medidor en su fuente de abastecimiento, deberá presentar al personal autorizado de SIAPA sus declaraciones trimestrales realizadas ante la CONAGUA, por lo que pagará al </w:t>
      </w:r>
      <w:r>
        <w:rPr>
          <w:spacing w:val="-5"/>
          <w:sz w:val="24"/>
        </w:rPr>
        <w:t>Sistema </w:t>
      </w:r>
      <w:r>
        <w:rPr>
          <w:spacing w:val="-4"/>
          <w:sz w:val="24"/>
        </w:rPr>
        <w:t>Operador </w:t>
      </w:r>
      <w:r>
        <w:rPr>
          <w:sz w:val="24"/>
        </w:rPr>
        <w:t>la </w:t>
      </w:r>
      <w:r>
        <w:rPr>
          <w:spacing w:val="10"/>
          <w:sz w:val="24"/>
        </w:rPr>
        <w:t>cantidad </w:t>
      </w:r>
      <w:r>
        <w:rPr>
          <w:sz w:val="24"/>
        </w:rPr>
        <w:t>d e $ 6 . 0 0  más IVA por cada metro cúbico de aguas residuales</w:t>
      </w:r>
      <w:r>
        <w:rPr>
          <w:spacing w:val="-2"/>
          <w:sz w:val="24"/>
        </w:rPr>
        <w:t> </w:t>
      </w:r>
      <w:r>
        <w:rPr>
          <w:sz w:val="24"/>
        </w:rPr>
        <w:t>descargado.</w:t>
      </w:r>
    </w:p>
    <w:p>
      <w:pPr>
        <w:pStyle w:val="BodyText"/>
      </w:pPr>
    </w:p>
    <w:p>
      <w:pPr>
        <w:pStyle w:val="ListParagraph"/>
        <w:numPr>
          <w:ilvl w:val="0"/>
          <w:numId w:val="56"/>
        </w:numPr>
        <w:tabs>
          <w:tab w:pos="701" w:val="left" w:leader="none"/>
        </w:tabs>
        <w:spacing w:line="240" w:lineRule="auto" w:before="0" w:after="0"/>
        <w:ind w:left="400" w:right="430" w:firstLine="0"/>
        <w:jc w:val="both"/>
        <w:rPr>
          <w:sz w:val="24"/>
        </w:rPr>
      </w:pPr>
      <w:r>
        <w:rPr>
          <w:sz w:val="24"/>
        </w:rPr>
        <w:t>Cuando el Usuario de la red de drenaje no cuente con un aparato medidor en el lugar  de descarga al alcantarillado o drenaje del Sistema Operador o medidor en su fuente de abastecimiento, </w:t>
      </w:r>
      <w:r>
        <w:rPr>
          <w:spacing w:val="-5"/>
          <w:sz w:val="24"/>
        </w:rPr>
        <w:t>el </w:t>
      </w:r>
      <w:r>
        <w:rPr>
          <w:sz w:val="24"/>
        </w:rPr>
        <w:t>volumen de descarga se calculará tomando como base el 75% del volumen concesionado en el título de concesión expedido por la CONAGUA o  suministrado por pipas o cualquier otra fuente de abastecimiento, en virtud de </w:t>
      </w:r>
      <w:r>
        <w:rPr>
          <w:spacing w:val="3"/>
          <w:sz w:val="24"/>
        </w:rPr>
        <w:t>lo </w:t>
      </w:r>
      <w:r>
        <w:rPr>
          <w:sz w:val="24"/>
        </w:rPr>
        <w:t>cual pagará la cantidad de $6.00 </w:t>
      </w:r>
      <w:r>
        <w:rPr>
          <w:spacing w:val="6"/>
          <w:sz w:val="24"/>
        </w:rPr>
        <w:t>más </w:t>
      </w:r>
      <w:r>
        <w:rPr>
          <w:spacing w:val="4"/>
          <w:sz w:val="24"/>
        </w:rPr>
        <w:t>IVA </w:t>
      </w:r>
      <w:r>
        <w:rPr>
          <w:sz w:val="24"/>
        </w:rPr>
        <w:t>por cada metro cúbico descargado al alcantarillado o drenaje.</w:t>
      </w:r>
    </w:p>
    <w:p>
      <w:pPr>
        <w:pStyle w:val="BodyText"/>
        <w:spacing w:before="1"/>
      </w:pPr>
    </w:p>
    <w:p>
      <w:pPr>
        <w:pStyle w:val="ListParagraph"/>
        <w:numPr>
          <w:ilvl w:val="0"/>
          <w:numId w:val="56"/>
        </w:numPr>
        <w:tabs>
          <w:tab w:pos="698" w:val="left" w:leader="none"/>
        </w:tabs>
        <w:spacing w:line="240" w:lineRule="auto" w:before="0" w:after="0"/>
        <w:ind w:left="400" w:right="434" w:firstLine="0"/>
        <w:jc w:val="both"/>
        <w:rPr>
          <w:sz w:val="24"/>
        </w:rPr>
      </w:pPr>
      <w:r>
        <w:rPr>
          <w:sz w:val="24"/>
        </w:rPr>
        <w:t>Para aquellos que realicen su pago por conceptos de aguas residuales y soliciten un descuento por el concepto de riego de áreas verdes, se le considerarán 2 litros por día por metro cuadrado a partir de 50 metros cuadrados, solo en los periodos de “enero a mayo” y de “octubre a</w:t>
      </w:r>
      <w:r>
        <w:rPr>
          <w:spacing w:val="-3"/>
          <w:sz w:val="24"/>
        </w:rPr>
        <w:t> </w:t>
      </w:r>
      <w:r>
        <w:rPr>
          <w:sz w:val="24"/>
        </w:rPr>
        <w:t>diciembre”.</w:t>
      </w:r>
    </w:p>
    <w:p>
      <w:pPr>
        <w:pStyle w:val="BodyText"/>
      </w:pPr>
    </w:p>
    <w:p>
      <w:pPr>
        <w:pStyle w:val="ListParagraph"/>
        <w:numPr>
          <w:ilvl w:val="0"/>
          <w:numId w:val="56"/>
        </w:numPr>
        <w:tabs>
          <w:tab w:pos="747" w:val="left" w:leader="none"/>
        </w:tabs>
        <w:spacing w:line="240" w:lineRule="auto" w:before="0" w:after="0"/>
        <w:ind w:left="400" w:right="429" w:firstLine="0"/>
        <w:jc w:val="both"/>
        <w:rPr>
          <w:sz w:val="24"/>
        </w:rPr>
      </w:pPr>
      <w:r>
        <w:rPr>
          <w:sz w:val="24"/>
        </w:rPr>
        <w:t>Los predios que se encuentren bajo la administración de las juntas de colonos o cualquier otra forma de organización y que suministren agua potable </w:t>
      </w:r>
      <w:r>
        <w:rPr>
          <w:spacing w:val="4"/>
          <w:sz w:val="24"/>
        </w:rPr>
        <w:t>en </w:t>
      </w:r>
      <w:r>
        <w:rPr>
          <w:spacing w:val="2"/>
          <w:sz w:val="24"/>
        </w:rPr>
        <w:t>forma </w:t>
      </w:r>
      <w:r>
        <w:rPr>
          <w:sz w:val="24"/>
        </w:rPr>
        <w:t>independiente y descarguen sus aguas residuales a la red de alcantarillado o drenaje del Sistema Operador, y no cuenten con aparato de medición de las descargas, pagarán al Sistema Operador por este concepto las cuotas fijas mensuales</w:t>
      </w:r>
      <w:r>
        <w:rPr>
          <w:spacing w:val="-7"/>
          <w:sz w:val="24"/>
        </w:rPr>
        <w:t> </w:t>
      </w:r>
      <w:r>
        <w:rPr>
          <w:sz w:val="24"/>
        </w:rPr>
        <w:t>siguientes:</w:t>
      </w:r>
    </w:p>
    <w:p>
      <w:pPr>
        <w:pStyle w:val="BodyText"/>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2"/>
        <w:gridCol w:w="2410"/>
        <w:gridCol w:w="2410"/>
      </w:tblGrid>
      <w:tr>
        <w:trPr>
          <w:trHeight w:val="572" w:hRule="atLeast"/>
        </w:trPr>
        <w:tc>
          <w:tcPr>
            <w:tcW w:w="8802" w:type="dxa"/>
            <w:gridSpan w:val="3"/>
            <w:tcBorders>
              <w:bottom w:val="single" w:sz="8" w:space="0" w:color="000000"/>
            </w:tcBorders>
          </w:tcPr>
          <w:p>
            <w:pPr>
              <w:pStyle w:val="TableParagraph"/>
              <w:spacing w:before="79"/>
              <w:ind w:left="1862" w:right="1849"/>
              <w:jc w:val="center"/>
              <w:rPr>
                <w:b/>
                <w:sz w:val="24"/>
              </w:rPr>
            </w:pPr>
            <w:r>
              <w:rPr>
                <w:b/>
                <w:sz w:val="24"/>
              </w:rPr>
              <w:t>Servicio por predio por uso doméstico (IDR)</w:t>
            </w:r>
          </w:p>
        </w:tc>
      </w:tr>
      <w:tr>
        <w:trPr>
          <w:trHeight w:val="568" w:hRule="atLeast"/>
        </w:trPr>
        <w:tc>
          <w:tcPr>
            <w:tcW w:w="3982" w:type="dxa"/>
          </w:tcPr>
          <w:p>
            <w:pPr>
              <w:pStyle w:val="TableParagraph"/>
              <w:spacing w:before="81"/>
              <w:ind w:left="902"/>
              <w:rPr>
                <w:b/>
                <w:sz w:val="24"/>
              </w:rPr>
            </w:pPr>
            <w:r>
              <w:rPr>
                <w:b/>
                <w:sz w:val="24"/>
              </w:rPr>
              <w:t>Servicio domestico</w:t>
            </w:r>
          </w:p>
        </w:tc>
        <w:tc>
          <w:tcPr>
            <w:tcW w:w="4820" w:type="dxa"/>
            <w:gridSpan w:val="2"/>
            <w:tcBorders>
              <w:top w:val="single" w:sz="8" w:space="0" w:color="000000"/>
              <w:bottom w:val="single" w:sz="8" w:space="0" w:color="000000"/>
              <w:right w:val="single" w:sz="8" w:space="0" w:color="000000"/>
            </w:tcBorders>
          </w:tcPr>
          <w:p>
            <w:pPr>
              <w:pStyle w:val="TableParagraph"/>
              <w:spacing w:before="81"/>
              <w:ind w:left="2065" w:right="2045"/>
              <w:jc w:val="center"/>
              <w:rPr>
                <w:b/>
                <w:sz w:val="24"/>
              </w:rPr>
            </w:pPr>
            <w:r>
              <w:rPr>
                <w:b/>
                <w:sz w:val="24"/>
              </w:rPr>
              <w:t>Tarifa</w:t>
            </w:r>
          </w:p>
        </w:tc>
      </w:tr>
      <w:tr>
        <w:trPr>
          <w:trHeight w:val="419" w:hRule="atLeast"/>
        </w:trPr>
        <w:tc>
          <w:tcPr>
            <w:tcW w:w="3982" w:type="dxa"/>
            <w:vMerge w:val="restart"/>
            <w:tcBorders>
              <w:left w:val="single" w:sz="8" w:space="0" w:color="000000"/>
              <w:right w:val="single" w:sz="8" w:space="0" w:color="000000"/>
            </w:tcBorders>
          </w:tcPr>
          <w:p>
            <w:pPr>
              <w:pStyle w:val="TableParagraph"/>
              <w:spacing w:before="223"/>
              <w:ind w:left="9"/>
              <w:rPr>
                <w:sz w:val="24"/>
              </w:rPr>
            </w:pPr>
            <w:r>
              <w:rPr>
                <w:sz w:val="24"/>
              </w:rPr>
              <w:t>Baja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7"/>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7"/>
              <w:ind w:left="484" w:right="466"/>
              <w:jc w:val="center"/>
              <w:rPr>
                <w:sz w:val="24"/>
              </w:rPr>
            </w:pPr>
            <w:r>
              <w:rPr>
                <w:sz w:val="24"/>
              </w:rPr>
              <w:t>$27.00</w:t>
            </w:r>
          </w:p>
        </w:tc>
      </w:tr>
      <w:tr>
        <w:trPr>
          <w:trHeight w:val="409" w:hRule="atLeast"/>
        </w:trPr>
        <w:tc>
          <w:tcPr>
            <w:tcW w:w="3982" w:type="dxa"/>
            <w:vMerge/>
            <w:tcBorders>
              <w:top w:val="nil"/>
              <w:left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2"/>
              <w:ind w:left="484" w:right="466"/>
              <w:jc w:val="center"/>
              <w:rPr>
                <w:sz w:val="24"/>
              </w:rPr>
            </w:pPr>
            <w:r>
              <w:rPr>
                <w:sz w:val="24"/>
              </w:rPr>
              <w:t>$27.00</w:t>
            </w:r>
          </w:p>
        </w:tc>
      </w:tr>
      <w:tr>
        <w:trPr>
          <w:trHeight w:val="419" w:hRule="atLeast"/>
        </w:trPr>
        <w:tc>
          <w:tcPr>
            <w:tcW w:w="3982" w:type="dxa"/>
            <w:vMerge w:val="restart"/>
          </w:tcPr>
          <w:p>
            <w:pPr>
              <w:pStyle w:val="TableParagraph"/>
              <w:spacing w:before="223"/>
              <w:ind w:left="9"/>
              <w:rPr>
                <w:sz w:val="24"/>
              </w:rPr>
            </w:pPr>
            <w:r>
              <w:rPr>
                <w:sz w:val="24"/>
              </w:rPr>
              <w:t>Media</w:t>
            </w:r>
          </w:p>
        </w:tc>
        <w:tc>
          <w:tcPr>
            <w:tcW w:w="2410" w:type="dxa"/>
            <w:tcBorders>
              <w:top w:val="single" w:sz="8" w:space="0" w:color="000000"/>
              <w:bottom w:val="single" w:sz="8" w:space="0" w:color="000000"/>
              <w:right w:val="single" w:sz="8" w:space="0" w:color="000000"/>
            </w:tcBorders>
          </w:tcPr>
          <w:p>
            <w:pPr>
              <w:pStyle w:val="TableParagraph"/>
              <w:spacing w:before="5"/>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5"/>
              <w:ind w:left="484" w:right="464"/>
              <w:jc w:val="center"/>
              <w:rPr>
                <w:sz w:val="24"/>
              </w:rPr>
            </w:pPr>
            <w:r>
              <w:rPr>
                <w:sz w:val="24"/>
              </w:rPr>
              <w:t>$45.00</w:t>
            </w:r>
          </w:p>
        </w:tc>
      </w:tr>
      <w:tr>
        <w:trPr>
          <w:trHeight w:val="415" w:hRule="atLeast"/>
        </w:trPr>
        <w:tc>
          <w:tcPr>
            <w:tcW w:w="3982" w:type="dxa"/>
            <w:vMerge/>
            <w:tcBorders>
              <w:top w:val="nil"/>
            </w:tcBorders>
          </w:tcPr>
          <w:p>
            <w:pPr>
              <w:rPr>
                <w:sz w:val="2"/>
                <w:szCs w:val="2"/>
              </w:rPr>
            </w:pPr>
          </w:p>
        </w:tc>
        <w:tc>
          <w:tcPr>
            <w:tcW w:w="2410" w:type="dxa"/>
            <w:tcBorders>
              <w:top w:val="single" w:sz="8" w:space="0" w:color="000000"/>
              <w:bottom w:val="single" w:sz="8" w:space="0" w:color="000000"/>
              <w:right w:val="single" w:sz="8" w:space="0" w:color="000000"/>
            </w:tcBorders>
          </w:tcPr>
          <w:p>
            <w:pPr>
              <w:pStyle w:val="TableParagraph"/>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484" w:right="464"/>
              <w:jc w:val="center"/>
              <w:rPr>
                <w:sz w:val="24"/>
              </w:rPr>
            </w:pPr>
            <w:r>
              <w:rPr>
                <w:sz w:val="24"/>
              </w:rPr>
              <w:t>$45.00</w:t>
            </w:r>
          </w:p>
        </w:tc>
      </w:tr>
      <w:tr>
        <w:trPr>
          <w:trHeight w:val="411" w:hRule="atLeast"/>
        </w:trPr>
        <w:tc>
          <w:tcPr>
            <w:tcW w:w="3982" w:type="dxa"/>
            <w:vMerge w:val="restart"/>
          </w:tcPr>
          <w:p>
            <w:pPr>
              <w:pStyle w:val="TableParagraph"/>
              <w:spacing w:before="216"/>
              <w:ind w:left="9"/>
              <w:rPr>
                <w:sz w:val="24"/>
              </w:rPr>
            </w:pPr>
            <w:r>
              <w:rPr>
                <w:sz w:val="24"/>
              </w:rPr>
              <w:t>Alta</w:t>
            </w:r>
          </w:p>
        </w:tc>
        <w:tc>
          <w:tcPr>
            <w:tcW w:w="2410" w:type="dxa"/>
            <w:tcBorders>
              <w:top w:val="single" w:sz="8" w:space="0" w:color="000000"/>
              <w:bottom w:val="single" w:sz="8" w:space="0" w:color="000000"/>
              <w:right w:val="single" w:sz="8" w:space="0" w:color="000000"/>
            </w:tcBorders>
          </w:tcPr>
          <w:p>
            <w:pPr>
              <w:pStyle w:val="TableParagraph"/>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484" w:right="464"/>
              <w:jc w:val="center"/>
              <w:rPr>
                <w:sz w:val="24"/>
              </w:rPr>
            </w:pPr>
            <w:r>
              <w:rPr>
                <w:sz w:val="24"/>
              </w:rPr>
              <w:t>$54.00</w:t>
            </w:r>
          </w:p>
        </w:tc>
      </w:tr>
      <w:tr>
        <w:trPr>
          <w:trHeight w:val="414" w:hRule="atLeast"/>
        </w:trPr>
        <w:tc>
          <w:tcPr>
            <w:tcW w:w="3982" w:type="dxa"/>
            <w:vMerge/>
            <w:tcBorders>
              <w:top w:val="nil"/>
            </w:tcBorders>
          </w:tcPr>
          <w:p>
            <w:pPr>
              <w:rPr>
                <w:sz w:val="2"/>
                <w:szCs w:val="2"/>
              </w:rPr>
            </w:pPr>
          </w:p>
        </w:tc>
        <w:tc>
          <w:tcPr>
            <w:tcW w:w="2410" w:type="dxa"/>
            <w:tcBorders>
              <w:top w:val="single" w:sz="8" w:space="0" w:color="000000"/>
              <w:bottom w:val="single" w:sz="8" w:space="0" w:color="000000"/>
              <w:right w:val="single" w:sz="8" w:space="0" w:color="000000"/>
            </w:tcBorders>
          </w:tcPr>
          <w:p>
            <w:pPr>
              <w:pStyle w:val="TableParagraph"/>
              <w:spacing w:before="2"/>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2"/>
              <w:ind w:left="484" w:right="469"/>
              <w:jc w:val="center"/>
              <w:rPr>
                <w:sz w:val="24"/>
              </w:rPr>
            </w:pPr>
            <w:r>
              <w:rPr>
                <w:sz w:val="24"/>
              </w:rPr>
              <w:t>$54.00</w:t>
            </w:r>
          </w:p>
        </w:tc>
      </w:tr>
      <w:tr>
        <w:trPr>
          <w:trHeight w:val="414" w:hRule="atLeast"/>
        </w:trPr>
        <w:tc>
          <w:tcPr>
            <w:tcW w:w="3982" w:type="dxa"/>
          </w:tcPr>
          <w:p>
            <w:pPr>
              <w:pStyle w:val="TableParagraph"/>
              <w:rPr>
                <w:rFonts w:ascii="Times New Roman"/>
                <w:sz w:val="24"/>
              </w:rPr>
            </w:pPr>
          </w:p>
        </w:tc>
        <w:tc>
          <w:tcPr>
            <w:tcW w:w="2410" w:type="dxa"/>
            <w:tcBorders>
              <w:top w:val="single" w:sz="8" w:space="0" w:color="000000"/>
              <w:bottom w:val="single" w:sz="8" w:space="0" w:color="000000"/>
              <w:right w:val="single" w:sz="8" w:space="0" w:color="000000"/>
            </w:tcBorders>
          </w:tcPr>
          <w:p>
            <w:pPr>
              <w:pStyle w:val="TableParagraph"/>
              <w:rPr>
                <w:rFonts w:ascii="Times New Roman"/>
                <w:sz w:val="24"/>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4"/>
              </w:rPr>
            </w:pPr>
          </w:p>
        </w:tc>
      </w:tr>
    </w:tbl>
    <w:p>
      <w:pPr>
        <w:spacing w:after="0"/>
        <w:rPr>
          <w:rFonts w:ascii="Times New Roman"/>
          <w:sz w:val="24"/>
        </w:rPr>
        <w:sectPr>
          <w:pgSz w:w="12250" w:h="15850"/>
          <w:pgMar w:header="730" w:footer="0" w:top="1000" w:bottom="280" w:left="860" w:right="820"/>
        </w:sectPr>
      </w:pPr>
    </w:p>
    <w:p>
      <w:pPr>
        <w:pStyle w:val="BodyText"/>
        <w:spacing w:before="10"/>
        <w:rPr>
          <w:sz w:val="15"/>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2"/>
        <w:gridCol w:w="2410"/>
        <w:gridCol w:w="2410"/>
      </w:tblGrid>
      <w:tr>
        <w:trPr>
          <w:trHeight w:val="575" w:hRule="atLeast"/>
        </w:trPr>
        <w:tc>
          <w:tcPr>
            <w:tcW w:w="8802" w:type="dxa"/>
            <w:gridSpan w:val="3"/>
            <w:tcBorders>
              <w:bottom w:val="single" w:sz="8" w:space="0" w:color="000000"/>
            </w:tcBorders>
          </w:tcPr>
          <w:p>
            <w:pPr>
              <w:pStyle w:val="TableParagraph"/>
              <w:spacing w:before="82"/>
              <w:ind w:left="1862" w:right="1844"/>
              <w:jc w:val="center"/>
              <w:rPr>
                <w:b/>
                <w:sz w:val="24"/>
              </w:rPr>
            </w:pPr>
            <w:r>
              <w:rPr>
                <w:b/>
                <w:sz w:val="24"/>
              </w:rPr>
              <w:t>Servicio por otros usos (IDR)</w:t>
            </w:r>
          </w:p>
        </w:tc>
      </w:tr>
      <w:tr>
        <w:trPr>
          <w:trHeight w:val="567" w:hRule="atLeast"/>
        </w:trPr>
        <w:tc>
          <w:tcPr>
            <w:tcW w:w="3982" w:type="dxa"/>
          </w:tcPr>
          <w:p>
            <w:pPr>
              <w:pStyle w:val="TableParagraph"/>
              <w:spacing w:before="79"/>
              <w:ind w:left="942"/>
              <w:rPr>
                <w:b/>
                <w:sz w:val="24"/>
              </w:rPr>
            </w:pPr>
            <w:r>
              <w:rPr>
                <w:b/>
                <w:sz w:val="24"/>
              </w:rPr>
              <w:t>Servicio comercial</w:t>
            </w:r>
          </w:p>
        </w:tc>
        <w:tc>
          <w:tcPr>
            <w:tcW w:w="4820" w:type="dxa"/>
            <w:gridSpan w:val="2"/>
            <w:tcBorders>
              <w:top w:val="single" w:sz="8" w:space="0" w:color="000000"/>
              <w:bottom w:val="single" w:sz="8" w:space="0" w:color="000000"/>
              <w:right w:val="single" w:sz="8" w:space="0" w:color="000000"/>
            </w:tcBorders>
          </w:tcPr>
          <w:p>
            <w:pPr>
              <w:pStyle w:val="TableParagraph"/>
              <w:spacing w:before="79"/>
              <w:ind w:left="2065" w:right="2045"/>
              <w:jc w:val="center"/>
              <w:rPr>
                <w:b/>
                <w:sz w:val="24"/>
              </w:rPr>
            </w:pPr>
            <w:r>
              <w:rPr>
                <w:b/>
                <w:sz w:val="24"/>
              </w:rPr>
              <w:t>Tarifa</w:t>
            </w:r>
          </w:p>
        </w:tc>
      </w:tr>
      <w:tr>
        <w:trPr>
          <w:trHeight w:val="419" w:hRule="atLeast"/>
        </w:trPr>
        <w:tc>
          <w:tcPr>
            <w:tcW w:w="3982" w:type="dxa"/>
            <w:vMerge w:val="restart"/>
            <w:tcBorders>
              <w:left w:val="single" w:sz="8" w:space="0" w:color="000000"/>
              <w:right w:val="single" w:sz="8" w:space="0" w:color="000000"/>
            </w:tcBorders>
          </w:tcPr>
          <w:p>
            <w:pPr>
              <w:pStyle w:val="TableParagraph"/>
              <w:spacing w:before="223"/>
              <w:ind w:left="9"/>
              <w:rPr>
                <w:sz w:val="24"/>
              </w:rPr>
            </w:pPr>
            <w:r>
              <w:rPr>
                <w:sz w:val="24"/>
              </w:rPr>
              <w:t>Baja</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5"/>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5"/>
              <w:ind w:left="483" w:right="469"/>
              <w:jc w:val="center"/>
              <w:rPr>
                <w:sz w:val="24"/>
              </w:rPr>
            </w:pPr>
            <w:r>
              <w:rPr>
                <w:sz w:val="24"/>
              </w:rPr>
              <w:t>$33.00 + IVA</w:t>
            </w:r>
          </w:p>
        </w:tc>
      </w:tr>
      <w:tr>
        <w:trPr>
          <w:trHeight w:val="409" w:hRule="atLeast"/>
        </w:trPr>
        <w:tc>
          <w:tcPr>
            <w:tcW w:w="3982" w:type="dxa"/>
            <w:vMerge/>
            <w:tcBorders>
              <w:top w:val="nil"/>
              <w:left w:val="single" w:sz="8" w:space="0" w:color="000000"/>
              <w:right w:val="single" w:sz="8" w:space="0" w:color="000000"/>
            </w:tcBorders>
          </w:tcPr>
          <w:p>
            <w:pPr>
              <w:rPr>
                <w:sz w:val="2"/>
                <w:szCs w:val="2"/>
              </w:rPr>
            </w:pP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483" w:right="469"/>
              <w:jc w:val="center"/>
              <w:rPr>
                <w:sz w:val="24"/>
              </w:rPr>
            </w:pPr>
            <w:r>
              <w:rPr>
                <w:sz w:val="24"/>
              </w:rPr>
              <w:t>$33.00 + IVA</w:t>
            </w:r>
          </w:p>
        </w:tc>
      </w:tr>
      <w:tr>
        <w:trPr>
          <w:trHeight w:val="419" w:hRule="atLeast"/>
        </w:trPr>
        <w:tc>
          <w:tcPr>
            <w:tcW w:w="3982" w:type="dxa"/>
            <w:vMerge w:val="restart"/>
          </w:tcPr>
          <w:p>
            <w:pPr>
              <w:pStyle w:val="TableParagraph"/>
              <w:spacing w:before="221"/>
              <w:ind w:left="9"/>
              <w:rPr>
                <w:sz w:val="24"/>
              </w:rPr>
            </w:pPr>
            <w:r>
              <w:rPr>
                <w:sz w:val="24"/>
              </w:rPr>
              <w:t>Media</w:t>
            </w:r>
          </w:p>
        </w:tc>
        <w:tc>
          <w:tcPr>
            <w:tcW w:w="2410" w:type="dxa"/>
            <w:tcBorders>
              <w:top w:val="single" w:sz="8" w:space="0" w:color="000000"/>
              <w:bottom w:val="single" w:sz="8" w:space="0" w:color="000000"/>
              <w:right w:val="single" w:sz="8" w:space="0" w:color="000000"/>
            </w:tcBorders>
          </w:tcPr>
          <w:p>
            <w:pPr>
              <w:pStyle w:val="TableParagraph"/>
              <w:spacing w:before="5"/>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5"/>
              <w:ind w:left="484" w:right="468"/>
              <w:jc w:val="center"/>
              <w:rPr>
                <w:sz w:val="24"/>
              </w:rPr>
            </w:pPr>
            <w:r>
              <w:rPr>
                <w:sz w:val="24"/>
              </w:rPr>
              <w:t>$51.00 + IVA</w:t>
            </w:r>
          </w:p>
        </w:tc>
      </w:tr>
      <w:tr>
        <w:trPr>
          <w:trHeight w:val="412" w:hRule="atLeast"/>
        </w:trPr>
        <w:tc>
          <w:tcPr>
            <w:tcW w:w="3982" w:type="dxa"/>
            <w:vMerge/>
            <w:tcBorders>
              <w:top w:val="nil"/>
            </w:tcBorders>
          </w:tcPr>
          <w:p>
            <w:pPr>
              <w:rPr>
                <w:sz w:val="2"/>
                <w:szCs w:val="2"/>
              </w:rPr>
            </w:pPr>
          </w:p>
        </w:tc>
        <w:tc>
          <w:tcPr>
            <w:tcW w:w="2410" w:type="dxa"/>
            <w:tcBorders>
              <w:top w:val="single" w:sz="8" w:space="0" w:color="000000"/>
              <w:bottom w:val="single" w:sz="8" w:space="0" w:color="000000"/>
              <w:right w:val="single" w:sz="8" w:space="0" w:color="000000"/>
            </w:tcBorders>
          </w:tcPr>
          <w:p>
            <w:pPr>
              <w:pStyle w:val="TableParagraph"/>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484" w:right="468"/>
              <w:jc w:val="center"/>
              <w:rPr>
                <w:sz w:val="24"/>
              </w:rPr>
            </w:pPr>
            <w:r>
              <w:rPr>
                <w:sz w:val="24"/>
              </w:rPr>
              <w:t>$51.00 + IVA</w:t>
            </w:r>
          </w:p>
        </w:tc>
      </w:tr>
      <w:tr>
        <w:trPr>
          <w:trHeight w:val="414" w:hRule="atLeast"/>
        </w:trPr>
        <w:tc>
          <w:tcPr>
            <w:tcW w:w="3982" w:type="dxa"/>
            <w:vMerge w:val="restart"/>
          </w:tcPr>
          <w:p>
            <w:pPr>
              <w:pStyle w:val="TableParagraph"/>
              <w:spacing w:before="218"/>
              <w:ind w:left="9"/>
              <w:rPr>
                <w:sz w:val="24"/>
              </w:rPr>
            </w:pPr>
            <w:r>
              <w:rPr>
                <w:sz w:val="24"/>
              </w:rPr>
              <w:t>Alta</w:t>
            </w:r>
          </w:p>
        </w:tc>
        <w:tc>
          <w:tcPr>
            <w:tcW w:w="2410" w:type="dxa"/>
            <w:tcBorders>
              <w:top w:val="single" w:sz="8" w:space="0" w:color="000000"/>
              <w:bottom w:val="single" w:sz="8" w:space="0" w:color="000000"/>
              <w:right w:val="single" w:sz="8" w:space="0" w:color="000000"/>
            </w:tcBorders>
          </w:tcPr>
          <w:p>
            <w:pPr>
              <w:pStyle w:val="TableParagraph"/>
              <w:spacing w:before="2"/>
              <w:ind w:left="9"/>
              <w:rPr>
                <w:sz w:val="24"/>
              </w:rPr>
            </w:pPr>
            <w:r>
              <w:rPr>
                <w:sz w:val="24"/>
              </w:rPr>
              <w:t>Alcantarillado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spacing w:before="2"/>
              <w:ind w:left="484" w:right="468"/>
              <w:jc w:val="center"/>
              <w:rPr>
                <w:sz w:val="24"/>
              </w:rPr>
            </w:pPr>
            <w:r>
              <w:rPr>
                <w:sz w:val="24"/>
              </w:rPr>
              <w:t>$60.00 + IVA</w:t>
            </w:r>
          </w:p>
        </w:tc>
      </w:tr>
      <w:tr>
        <w:trPr>
          <w:trHeight w:val="414" w:hRule="atLeast"/>
        </w:trPr>
        <w:tc>
          <w:tcPr>
            <w:tcW w:w="3982" w:type="dxa"/>
            <w:vMerge/>
            <w:tcBorders>
              <w:top w:val="nil"/>
            </w:tcBorders>
          </w:tcPr>
          <w:p>
            <w:pPr>
              <w:rPr>
                <w:sz w:val="2"/>
                <w:szCs w:val="2"/>
              </w:rPr>
            </w:pPr>
          </w:p>
        </w:tc>
        <w:tc>
          <w:tcPr>
            <w:tcW w:w="2410" w:type="dxa"/>
            <w:tcBorders>
              <w:top w:val="single" w:sz="8" w:space="0" w:color="000000"/>
              <w:bottom w:val="single" w:sz="8" w:space="0" w:color="000000"/>
              <w:right w:val="single" w:sz="8" w:space="0" w:color="000000"/>
            </w:tcBorders>
          </w:tcPr>
          <w:p>
            <w:pPr>
              <w:pStyle w:val="TableParagraph"/>
              <w:ind w:left="9"/>
              <w:rPr>
                <w:sz w:val="24"/>
              </w:rPr>
            </w:pPr>
            <w:r>
              <w:rPr>
                <w:sz w:val="24"/>
              </w:rPr>
              <w:t>Planta de Tratamiento</w:t>
            </w:r>
          </w:p>
        </w:tc>
        <w:tc>
          <w:tcPr>
            <w:tcW w:w="2410" w:type="dxa"/>
            <w:tcBorders>
              <w:top w:val="single" w:sz="8" w:space="0" w:color="000000"/>
              <w:left w:val="single" w:sz="8" w:space="0" w:color="000000"/>
              <w:bottom w:val="single" w:sz="8" w:space="0" w:color="000000"/>
              <w:right w:val="single" w:sz="8" w:space="0" w:color="000000"/>
            </w:tcBorders>
          </w:tcPr>
          <w:p>
            <w:pPr>
              <w:pStyle w:val="TableParagraph"/>
              <w:ind w:left="484" w:right="468"/>
              <w:jc w:val="center"/>
              <w:rPr>
                <w:sz w:val="24"/>
              </w:rPr>
            </w:pPr>
            <w:r>
              <w:rPr>
                <w:sz w:val="24"/>
              </w:rPr>
              <w:t>$60.00 + IVA</w:t>
            </w:r>
          </w:p>
        </w:tc>
      </w:tr>
    </w:tbl>
    <w:p>
      <w:pPr>
        <w:pStyle w:val="BodyText"/>
        <w:rPr>
          <w:sz w:val="16"/>
        </w:rPr>
      </w:pPr>
    </w:p>
    <w:p>
      <w:pPr>
        <w:pStyle w:val="BodyText"/>
        <w:spacing w:before="92"/>
        <w:ind w:left="400" w:right="432"/>
        <w:jc w:val="both"/>
      </w:pPr>
      <w:r>
        <w:rPr/>
        <w:drawing>
          <wp:anchor distT="0" distB="0" distL="0" distR="0" allowOverlap="1" layoutInCell="1" locked="0" behindDoc="1" simplePos="0" relativeHeight="227530752">
            <wp:simplePos x="0" y="0"/>
            <wp:positionH relativeFrom="page">
              <wp:posOffset>1239220</wp:posOffset>
            </wp:positionH>
            <wp:positionV relativeFrom="paragraph">
              <wp:posOffset>-1237159</wp:posOffset>
            </wp:positionV>
            <wp:extent cx="5022641" cy="5144769"/>
            <wp:effectExtent l="0" t="0" r="0" b="0"/>
            <wp:wrapNone/>
            <wp:docPr id="123" name="image57.png"/>
            <wp:cNvGraphicFramePr>
              <a:graphicFrameLocks noChangeAspect="1"/>
            </wp:cNvGraphicFramePr>
            <a:graphic>
              <a:graphicData uri="http://schemas.openxmlformats.org/drawingml/2006/picture">
                <pic:pic>
                  <pic:nvPicPr>
                    <pic:cNvPr id="124" name="image57.png"/>
                    <pic:cNvPicPr/>
                  </pic:nvPicPr>
                  <pic:blipFill>
                    <a:blip r:embed="rId67" cstate="print"/>
                    <a:stretch>
                      <a:fillRect/>
                    </a:stretch>
                  </pic:blipFill>
                  <pic:spPr>
                    <a:xfrm>
                      <a:off x="0" y="0"/>
                      <a:ext cx="5022641" cy="5144769"/>
                    </a:xfrm>
                    <a:prstGeom prst="rect">
                      <a:avLst/>
                    </a:prstGeom>
                  </pic:spPr>
                </pic:pic>
              </a:graphicData>
            </a:graphic>
          </wp:anchor>
        </w:drawing>
      </w:r>
      <w:r>
        <w:rPr/>
        <w:t>Los Usuarios que se abastezcan de agua potable de la red municipal del Sistema Operador y que se hayan conectado a la red de </w:t>
      </w:r>
      <w:r>
        <w:rPr>
          <w:spacing w:val="3"/>
        </w:rPr>
        <w:t>drenaje </w:t>
      </w:r>
      <w:r>
        <w:rPr>
          <w:spacing w:val="5"/>
        </w:rPr>
        <w:t>municipal </w:t>
      </w:r>
      <w:r>
        <w:rPr/>
        <w:t>del </w:t>
      </w:r>
      <w:r>
        <w:rPr>
          <w:spacing w:val="3"/>
        </w:rPr>
        <w:t>Sistema </w:t>
      </w:r>
      <w:r>
        <w:rPr/>
        <w:t>Operador pagarán por concepto de drenaje a razón del 75% del volumen de agua potable suministrado por el propio Sistema Operador, salvo aquellos Usuarios que cuenten con medidor de sus descargas a la red de drenaje, en cuyo caso pagarán $5.00 más IVA por metro cubico de agua descargado. Esta cantidad es independiente del pago del concepto de saneamiento de aguas</w:t>
      </w:r>
      <w:r>
        <w:rPr>
          <w:spacing w:val="2"/>
        </w:rPr>
        <w:t> </w:t>
      </w:r>
      <w:r>
        <w:rPr/>
        <w:t>residuales.</w:t>
      </w:r>
    </w:p>
    <w:p>
      <w:pPr>
        <w:pStyle w:val="BodyText"/>
      </w:pPr>
    </w:p>
    <w:p>
      <w:pPr>
        <w:pStyle w:val="Heading1"/>
        <w:numPr>
          <w:ilvl w:val="1"/>
          <w:numId w:val="55"/>
        </w:numPr>
        <w:tabs>
          <w:tab w:pos="967" w:val="left" w:leader="none"/>
        </w:tabs>
        <w:spacing w:line="240" w:lineRule="auto" w:before="0" w:after="0"/>
        <w:ind w:left="966" w:right="0" w:hanging="567"/>
        <w:jc w:val="both"/>
      </w:pPr>
      <w:r>
        <w:rPr/>
        <w:t>Tarifa por descargas que exceden los límites máximos</w:t>
      </w:r>
      <w:r>
        <w:rPr>
          <w:spacing w:val="-6"/>
        </w:rPr>
        <w:t> </w:t>
      </w:r>
      <w:r>
        <w:rPr/>
        <w:t>permitidos.</w:t>
      </w:r>
    </w:p>
    <w:p>
      <w:pPr>
        <w:pStyle w:val="BodyText"/>
        <w:spacing w:before="1"/>
        <w:rPr>
          <w:b/>
        </w:rPr>
      </w:pPr>
    </w:p>
    <w:p>
      <w:pPr>
        <w:pStyle w:val="BodyText"/>
        <w:ind w:left="400" w:right="432"/>
        <w:jc w:val="both"/>
      </w:pPr>
      <w:r>
        <w:rPr/>
        <w:t>Los Usuarios comerciales, industriales y de servicios tienen la obligación de realizar los análisis trimestralmente de la calidad de agua residual que es descargada a los sistemas de alcantarillado municipal de acuerdo a los parámetros que contempla la </w:t>
      </w:r>
      <w:r>
        <w:rPr>
          <w:spacing w:val="2"/>
        </w:rPr>
        <w:t>NOM-002- </w:t>
      </w:r>
      <w:r>
        <w:rPr/>
        <w:t>SEMARNAT-1996, en cuyas descargas que por su naturaleza pudieran exceder  los  límites máximos permisibles establecidos en la Norma antes mencionada, con base a los resultados de </w:t>
      </w:r>
      <w:r>
        <w:rPr>
          <w:spacing w:val="4"/>
        </w:rPr>
        <w:t>un </w:t>
      </w:r>
      <w:r>
        <w:rPr/>
        <w:t>laboratorio validados por el </w:t>
      </w:r>
      <w:r>
        <w:rPr>
          <w:spacing w:val="4"/>
        </w:rPr>
        <w:t>Sistema Operador </w:t>
      </w:r>
      <w:r>
        <w:rPr/>
        <w:t>y por la Entidad Mexicana de acreditación EMA. El resultado de estos estudios deberá ser entregado a este Sistema Operador a más tardar a los 30 días naturales después de cada trimestre y el cálculo se realizará de la manera</w:t>
      </w:r>
      <w:r>
        <w:rPr>
          <w:spacing w:val="-3"/>
        </w:rPr>
        <w:t> </w:t>
      </w:r>
      <w:r>
        <w:rPr/>
        <w:t>siguiente:</w:t>
      </w:r>
    </w:p>
    <w:p>
      <w:pPr>
        <w:pStyle w:val="BodyText"/>
      </w:pPr>
    </w:p>
    <w:p>
      <w:pPr>
        <w:pStyle w:val="ListParagraph"/>
        <w:numPr>
          <w:ilvl w:val="0"/>
          <w:numId w:val="57"/>
        </w:numPr>
        <w:tabs>
          <w:tab w:pos="627" w:val="left" w:leader="none"/>
        </w:tabs>
        <w:spacing w:line="240" w:lineRule="auto" w:before="0" w:after="0"/>
        <w:ind w:left="400" w:right="434" w:firstLine="0"/>
        <w:jc w:val="both"/>
        <w:rPr>
          <w:sz w:val="24"/>
        </w:rPr>
      </w:pPr>
      <w:r>
        <w:rPr>
          <w:spacing w:val="-4"/>
          <w:sz w:val="24"/>
        </w:rPr>
        <w:t>La </w:t>
      </w:r>
      <w:r>
        <w:rPr>
          <w:sz w:val="24"/>
        </w:rPr>
        <w:t>concentración de contaminantes que rebase el límite máximo permisible expresado en miligramos por litro se multiplicará por el factor 0.001 kilogramo por litro entre metro cúbico por miligramo de aguas</w:t>
      </w:r>
      <w:r>
        <w:rPr>
          <w:spacing w:val="-1"/>
          <w:sz w:val="24"/>
        </w:rPr>
        <w:t> </w:t>
      </w:r>
      <w:r>
        <w:rPr>
          <w:sz w:val="24"/>
        </w:rPr>
        <w:t>residuales.</w:t>
      </w:r>
    </w:p>
    <w:p>
      <w:pPr>
        <w:pStyle w:val="BodyText"/>
        <w:spacing w:before="1"/>
      </w:pPr>
    </w:p>
    <w:p>
      <w:pPr>
        <w:pStyle w:val="ListParagraph"/>
        <w:numPr>
          <w:ilvl w:val="0"/>
          <w:numId w:val="57"/>
        </w:numPr>
        <w:tabs>
          <w:tab w:pos="675" w:val="left" w:leader="none"/>
        </w:tabs>
        <w:spacing w:line="240" w:lineRule="auto" w:before="0" w:after="0"/>
        <w:ind w:left="400" w:right="431" w:firstLine="0"/>
        <w:jc w:val="both"/>
        <w:rPr>
          <w:sz w:val="24"/>
        </w:rPr>
      </w:pPr>
      <w:r>
        <w:rPr>
          <w:sz w:val="24"/>
        </w:rPr>
        <w:t>El resultado obtenido se multiplicará por el volumen mensual o anual en metros cúbicos de las aguas residuales descargadas, obteniéndose así la carga de contaminantes expresada en kilogramos por trimestre o año descargada a la red de </w:t>
      </w:r>
      <w:r>
        <w:rPr>
          <w:spacing w:val="-5"/>
          <w:sz w:val="24"/>
        </w:rPr>
        <w:t>alcantarillado </w:t>
      </w:r>
      <w:r>
        <w:rPr>
          <w:spacing w:val="2"/>
          <w:sz w:val="24"/>
        </w:rPr>
        <w:t>municipal.</w:t>
      </w:r>
    </w:p>
    <w:p>
      <w:pPr>
        <w:pStyle w:val="BodyText"/>
      </w:pPr>
    </w:p>
    <w:p>
      <w:pPr>
        <w:pStyle w:val="ListParagraph"/>
        <w:numPr>
          <w:ilvl w:val="0"/>
          <w:numId w:val="57"/>
        </w:numPr>
        <w:tabs>
          <w:tab w:pos="759" w:val="left" w:leader="none"/>
        </w:tabs>
        <w:spacing w:line="240" w:lineRule="auto" w:before="0" w:after="0"/>
        <w:ind w:left="400" w:right="432" w:firstLine="0"/>
        <w:jc w:val="both"/>
        <w:rPr>
          <w:sz w:val="24"/>
        </w:rPr>
      </w:pPr>
      <w:r>
        <w:rPr>
          <w:sz w:val="24"/>
        </w:rPr>
        <w:t>Para obtener el monto correspondiente por cada contaminante que rebase los límites, conforme a la descarga de </w:t>
      </w:r>
      <w:r>
        <w:rPr>
          <w:spacing w:val="-5"/>
          <w:sz w:val="24"/>
        </w:rPr>
        <w:t>alcantarillado, </w:t>
      </w:r>
      <w:r>
        <w:rPr>
          <w:sz w:val="24"/>
        </w:rPr>
        <w:t>se multiplicarán </w:t>
      </w:r>
      <w:r>
        <w:rPr>
          <w:spacing w:val="2"/>
          <w:sz w:val="24"/>
        </w:rPr>
        <w:t>los </w:t>
      </w:r>
      <w:r>
        <w:rPr>
          <w:sz w:val="24"/>
        </w:rPr>
        <w:t>kilogramos de contaminante </w:t>
      </w:r>
      <w:r>
        <w:rPr>
          <w:spacing w:val="12"/>
          <w:sz w:val="24"/>
        </w:rPr>
        <w:t>por </w:t>
      </w:r>
      <w:r>
        <w:rPr>
          <w:spacing w:val="15"/>
          <w:sz w:val="24"/>
        </w:rPr>
        <w:t>trimestre </w:t>
      </w:r>
      <w:r>
        <w:rPr>
          <w:sz w:val="24"/>
        </w:rPr>
        <w:t>o </w:t>
      </w:r>
      <w:r>
        <w:rPr>
          <w:spacing w:val="12"/>
          <w:sz w:val="24"/>
        </w:rPr>
        <w:t>año, </w:t>
      </w:r>
      <w:r>
        <w:rPr>
          <w:spacing w:val="13"/>
          <w:sz w:val="24"/>
        </w:rPr>
        <w:t>según </w:t>
      </w:r>
      <w:r>
        <w:rPr>
          <w:spacing w:val="11"/>
          <w:sz w:val="24"/>
        </w:rPr>
        <w:t>sea </w:t>
      </w:r>
      <w:r>
        <w:rPr>
          <w:spacing w:val="9"/>
          <w:sz w:val="24"/>
        </w:rPr>
        <w:t>el </w:t>
      </w:r>
      <w:r>
        <w:rPr>
          <w:sz w:val="24"/>
        </w:rPr>
        <w:t>caso, por el costo en pesos por kilogramo que corresponda, de acuerdo con la tabla</w:t>
      </w:r>
      <w:r>
        <w:rPr>
          <w:spacing w:val="2"/>
          <w:sz w:val="24"/>
        </w:rPr>
        <w:t> </w:t>
      </w:r>
      <w:r>
        <w:rPr>
          <w:sz w:val="24"/>
        </w:rPr>
        <w:t>siguiente:</w:t>
      </w:r>
    </w:p>
    <w:p>
      <w:pPr>
        <w:spacing w:after="0" w:line="240" w:lineRule="auto"/>
        <w:jc w:val="both"/>
        <w:rPr>
          <w:sz w:val="24"/>
        </w:rPr>
        <w:sectPr>
          <w:pgSz w:w="12250" w:h="15850"/>
          <w:pgMar w:header="730" w:footer="0" w:top="1000" w:bottom="280" w:left="860" w:right="820"/>
        </w:sectPr>
      </w:pPr>
    </w:p>
    <w:p>
      <w:pPr>
        <w:pStyle w:val="BodyText"/>
        <w:spacing w:before="1"/>
        <w:rPr>
          <w:sz w:val="9"/>
        </w:rPr>
      </w:pPr>
    </w:p>
    <w:p>
      <w:pPr>
        <w:pStyle w:val="Heading1"/>
        <w:spacing w:before="93"/>
        <w:ind w:left="400"/>
      </w:pPr>
      <w:r>
        <w:rPr/>
        <w:t>Costo por kilogramo de contaminante.</w:t>
      </w:r>
    </w:p>
    <w:p>
      <w:pPr>
        <w:pStyle w:val="BodyText"/>
        <w:rPr>
          <w:b/>
        </w:rPr>
      </w:pPr>
    </w:p>
    <w:tbl>
      <w:tblPr>
        <w:tblW w:w="0" w:type="auto"/>
        <w:jc w:val="left"/>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10"/>
        <w:gridCol w:w="3402"/>
        <w:gridCol w:w="1722"/>
      </w:tblGrid>
      <w:tr>
        <w:trPr>
          <w:trHeight w:val="822" w:hRule="atLeast"/>
        </w:trPr>
        <w:tc>
          <w:tcPr>
            <w:tcW w:w="3810" w:type="dxa"/>
            <w:tcBorders>
              <w:left w:val="single" w:sz="8" w:space="0" w:color="000000"/>
              <w:right w:val="single" w:sz="8" w:space="0" w:color="000000"/>
            </w:tcBorders>
          </w:tcPr>
          <w:p>
            <w:pPr>
              <w:pStyle w:val="TableParagraph"/>
              <w:spacing w:line="275" w:lineRule="exact"/>
              <w:ind w:left="9"/>
              <w:rPr>
                <w:b/>
                <w:sz w:val="24"/>
              </w:rPr>
            </w:pPr>
            <w:r>
              <w:rPr>
                <w:b/>
                <w:sz w:val="24"/>
              </w:rPr>
              <w:t>Parámetro contaminante en $/kg.</w:t>
            </w:r>
          </w:p>
        </w:tc>
        <w:tc>
          <w:tcPr>
            <w:tcW w:w="3402" w:type="dxa"/>
            <w:tcBorders>
              <w:left w:val="single" w:sz="8" w:space="0" w:color="000000"/>
              <w:right w:val="single" w:sz="8" w:space="0" w:color="000000"/>
            </w:tcBorders>
          </w:tcPr>
          <w:p>
            <w:pPr>
              <w:pStyle w:val="TableParagraph"/>
              <w:ind w:left="6" w:right="115"/>
              <w:rPr>
                <w:b/>
                <w:sz w:val="24"/>
              </w:rPr>
            </w:pPr>
            <w:r>
              <w:rPr>
                <w:b/>
                <w:sz w:val="24"/>
              </w:rPr>
              <w:t>Límites máximos permitidos (mg./l)</w:t>
            </w:r>
          </w:p>
        </w:tc>
        <w:tc>
          <w:tcPr>
            <w:tcW w:w="1722" w:type="dxa"/>
            <w:tcBorders>
              <w:left w:val="single" w:sz="8" w:space="0" w:color="000000"/>
              <w:right w:val="single" w:sz="8" w:space="0" w:color="000000"/>
            </w:tcBorders>
          </w:tcPr>
          <w:p>
            <w:pPr>
              <w:pStyle w:val="TableParagraph"/>
              <w:spacing w:line="275" w:lineRule="exact"/>
              <w:ind w:left="8"/>
              <w:rPr>
                <w:b/>
                <w:sz w:val="24"/>
              </w:rPr>
            </w:pPr>
            <w:r>
              <w:rPr>
                <w:b/>
                <w:sz w:val="24"/>
              </w:rPr>
              <w:t>Costo en$/kg.</w:t>
            </w:r>
          </w:p>
        </w:tc>
      </w:tr>
      <w:tr>
        <w:trPr>
          <w:trHeight w:val="276" w:hRule="atLeast"/>
        </w:trPr>
        <w:tc>
          <w:tcPr>
            <w:tcW w:w="3810" w:type="dxa"/>
            <w:tcBorders>
              <w:left w:val="single" w:sz="8" w:space="0" w:color="000000"/>
              <w:bottom w:val="single" w:sz="8" w:space="0" w:color="000000"/>
              <w:right w:val="single" w:sz="8" w:space="0" w:color="000000"/>
            </w:tcBorders>
          </w:tcPr>
          <w:p>
            <w:pPr>
              <w:pStyle w:val="TableParagraph"/>
              <w:spacing w:line="256" w:lineRule="exact"/>
              <w:ind w:left="9"/>
              <w:rPr>
                <w:sz w:val="24"/>
              </w:rPr>
            </w:pPr>
            <w:r>
              <w:rPr>
                <w:sz w:val="24"/>
              </w:rPr>
              <w:t>Sólidos Suspendidos Totales</w:t>
            </w:r>
          </w:p>
        </w:tc>
        <w:tc>
          <w:tcPr>
            <w:tcW w:w="3402" w:type="dxa"/>
            <w:tcBorders>
              <w:left w:val="single" w:sz="8" w:space="0" w:color="000000"/>
              <w:bottom w:val="single" w:sz="8" w:space="0" w:color="000000"/>
              <w:right w:val="single" w:sz="8" w:space="0" w:color="000000"/>
            </w:tcBorders>
          </w:tcPr>
          <w:p>
            <w:pPr>
              <w:pStyle w:val="TableParagraph"/>
              <w:spacing w:line="256" w:lineRule="exact"/>
              <w:ind w:left="1543" w:right="1532"/>
              <w:jc w:val="center"/>
              <w:rPr>
                <w:sz w:val="24"/>
              </w:rPr>
            </w:pPr>
            <w:r>
              <w:rPr>
                <w:sz w:val="24"/>
              </w:rPr>
              <w:t>75</w:t>
            </w:r>
          </w:p>
        </w:tc>
        <w:tc>
          <w:tcPr>
            <w:tcW w:w="1722" w:type="dxa"/>
            <w:tcBorders>
              <w:left w:val="single" w:sz="8" w:space="0" w:color="000000"/>
              <w:bottom w:val="single" w:sz="8" w:space="0" w:color="000000"/>
              <w:right w:val="single" w:sz="8" w:space="0" w:color="000000"/>
            </w:tcBorders>
          </w:tcPr>
          <w:p>
            <w:pPr>
              <w:pStyle w:val="TableParagraph"/>
              <w:spacing w:line="256" w:lineRule="exact"/>
              <w:ind w:left="556"/>
              <w:rPr>
                <w:sz w:val="24"/>
              </w:rPr>
            </w:pPr>
            <w:r>
              <w:rPr>
                <w:sz w:val="24"/>
              </w:rPr>
              <w:t>1.555</w:t>
            </w:r>
          </w:p>
        </w:tc>
      </w:tr>
      <w:tr>
        <w:trPr>
          <w:trHeight w:val="277" w:hRule="atLeast"/>
        </w:trPr>
        <w:tc>
          <w:tcPr>
            <w:tcW w:w="3810"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Grasas y Aceites</w:t>
            </w:r>
          </w:p>
        </w:tc>
        <w:tc>
          <w:tcPr>
            <w:tcW w:w="3402"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1543" w:right="1532"/>
              <w:jc w:val="center"/>
              <w:rPr>
                <w:sz w:val="24"/>
              </w:rPr>
            </w:pPr>
            <w:r>
              <w:rPr>
                <w:sz w:val="24"/>
              </w:rPr>
              <w:t>50</w:t>
            </w:r>
          </w:p>
        </w:tc>
        <w:tc>
          <w:tcPr>
            <w:tcW w:w="1722"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488"/>
              <w:rPr>
                <w:sz w:val="24"/>
              </w:rPr>
            </w:pPr>
            <w:r>
              <w:rPr>
                <w:sz w:val="24"/>
              </w:rPr>
              <w:t>0.5985</w:t>
            </w:r>
          </w:p>
        </w:tc>
      </w:tr>
    </w:tbl>
    <w:p>
      <w:pPr>
        <w:pStyle w:val="BodyText"/>
        <w:rPr>
          <w:b/>
        </w:rPr>
      </w:pPr>
    </w:p>
    <w:p>
      <w:pPr>
        <w:spacing w:before="0"/>
        <w:ind w:left="400" w:right="0" w:firstLine="0"/>
        <w:jc w:val="left"/>
        <w:rPr>
          <w:b/>
          <w:sz w:val="24"/>
        </w:rPr>
      </w:pPr>
      <w:r>
        <w:rPr/>
        <w:drawing>
          <wp:anchor distT="0" distB="0" distL="0" distR="0" allowOverlap="1" layoutInCell="1" locked="0" behindDoc="1" simplePos="0" relativeHeight="227531776">
            <wp:simplePos x="0" y="0"/>
            <wp:positionH relativeFrom="page">
              <wp:posOffset>1252555</wp:posOffset>
            </wp:positionH>
            <wp:positionV relativeFrom="paragraph">
              <wp:posOffset>-158294</wp:posOffset>
            </wp:positionV>
            <wp:extent cx="5022641" cy="5144769"/>
            <wp:effectExtent l="0" t="0" r="0" b="0"/>
            <wp:wrapNone/>
            <wp:docPr id="125" name="image58.png"/>
            <wp:cNvGraphicFramePr>
              <a:graphicFrameLocks noChangeAspect="1"/>
            </wp:cNvGraphicFramePr>
            <a:graphic>
              <a:graphicData uri="http://schemas.openxmlformats.org/drawingml/2006/picture">
                <pic:pic>
                  <pic:nvPicPr>
                    <pic:cNvPr id="126" name="image58.png"/>
                    <pic:cNvPicPr/>
                  </pic:nvPicPr>
                  <pic:blipFill>
                    <a:blip r:embed="rId68" cstate="print"/>
                    <a:stretch>
                      <a:fillRect/>
                    </a:stretch>
                  </pic:blipFill>
                  <pic:spPr>
                    <a:xfrm>
                      <a:off x="0" y="0"/>
                      <a:ext cx="5022641" cy="5144769"/>
                    </a:xfrm>
                    <a:prstGeom prst="rect">
                      <a:avLst/>
                    </a:prstGeom>
                  </pic:spPr>
                </pic:pic>
              </a:graphicData>
            </a:graphic>
          </wp:anchor>
        </w:drawing>
      </w:r>
      <w:r>
        <w:rPr>
          <w:b/>
          <w:sz w:val="24"/>
        </w:rPr>
        <w:t>Costo por kilogramo de contaminante (DQO).</w:t>
      </w:r>
    </w:p>
    <w:p>
      <w:pPr>
        <w:pStyle w:val="BodyText"/>
        <w:rPr>
          <w:b/>
        </w:rPr>
      </w:pPr>
    </w:p>
    <w:tbl>
      <w:tblPr>
        <w:tblW w:w="0" w:type="auto"/>
        <w:jc w:val="left"/>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70"/>
        <w:gridCol w:w="3382"/>
        <w:gridCol w:w="1580"/>
      </w:tblGrid>
      <w:tr>
        <w:trPr>
          <w:trHeight w:val="768" w:hRule="atLeast"/>
        </w:trPr>
        <w:tc>
          <w:tcPr>
            <w:tcW w:w="3970" w:type="dxa"/>
            <w:tcBorders>
              <w:left w:val="single" w:sz="8" w:space="0" w:color="000000"/>
              <w:bottom w:val="single" w:sz="8" w:space="0" w:color="000000"/>
              <w:right w:val="single" w:sz="8" w:space="0" w:color="000000"/>
            </w:tcBorders>
          </w:tcPr>
          <w:p>
            <w:pPr>
              <w:pStyle w:val="TableParagraph"/>
              <w:spacing w:line="275" w:lineRule="exact"/>
              <w:ind w:left="9"/>
              <w:rPr>
                <w:b/>
                <w:sz w:val="24"/>
              </w:rPr>
            </w:pPr>
            <w:r>
              <w:rPr>
                <w:b/>
                <w:sz w:val="24"/>
              </w:rPr>
              <w:t>Parámetro contaminante en $/kg</w:t>
            </w:r>
          </w:p>
        </w:tc>
        <w:tc>
          <w:tcPr>
            <w:tcW w:w="3382" w:type="dxa"/>
            <w:tcBorders>
              <w:left w:val="single" w:sz="8" w:space="0" w:color="000000"/>
              <w:bottom w:val="single" w:sz="8" w:space="0" w:color="000000"/>
              <w:right w:val="single" w:sz="8" w:space="0" w:color="000000"/>
            </w:tcBorders>
          </w:tcPr>
          <w:p>
            <w:pPr>
              <w:pStyle w:val="TableParagraph"/>
              <w:ind w:left="7"/>
              <w:rPr>
                <w:b/>
                <w:sz w:val="24"/>
              </w:rPr>
            </w:pPr>
            <w:r>
              <w:rPr>
                <w:b/>
                <w:sz w:val="24"/>
              </w:rPr>
              <w:t>Límites máximos permitidos (mg/l)</w:t>
            </w:r>
          </w:p>
        </w:tc>
        <w:tc>
          <w:tcPr>
            <w:tcW w:w="1580" w:type="dxa"/>
            <w:tcBorders>
              <w:left w:val="single" w:sz="8" w:space="0" w:color="000000"/>
              <w:bottom w:val="single" w:sz="8" w:space="0" w:color="000000"/>
              <w:right w:val="single" w:sz="8" w:space="0" w:color="000000"/>
            </w:tcBorders>
          </w:tcPr>
          <w:p>
            <w:pPr>
              <w:pStyle w:val="TableParagraph"/>
              <w:spacing w:line="275" w:lineRule="exact"/>
              <w:ind w:left="9"/>
              <w:rPr>
                <w:b/>
                <w:sz w:val="24"/>
              </w:rPr>
            </w:pPr>
            <w:r>
              <w:rPr>
                <w:b/>
                <w:sz w:val="24"/>
              </w:rPr>
              <w:t>Costo $/kg.</w:t>
            </w:r>
          </w:p>
        </w:tc>
      </w:tr>
      <w:tr>
        <w:trPr>
          <w:trHeight w:val="319" w:hRule="atLeast"/>
        </w:trPr>
        <w:tc>
          <w:tcPr>
            <w:tcW w:w="3970" w:type="dxa"/>
            <w:tcBorders>
              <w:top w:val="single" w:sz="8" w:space="0" w:color="000000"/>
              <w:left w:val="single" w:sz="8" w:space="0" w:color="000000"/>
              <w:bottom w:val="single" w:sz="8" w:space="0" w:color="000000"/>
              <w:right w:val="single" w:sz="8" w:space="0" w:color="000000"/>
            </w:tcBorders>
          </w:tcPr>
          <w:p>
            <w:pPr>
              <w:pStyle w:val="TableParagraph"/>
              <w:ind w:left="9"/>
              <w:rPr>
                <w:sz w:val="24"/>
              </w:rPr>
            </w:pPr>
            <w:r>
              <w:rPr>
                <w:sz w:val="24"/>
              </w:rPr>
              <w:t>Demanda Química de Oxígeno</w:t>
            </w:r>
          </w:p>
        </w:tc>
        <w:tc>
          <w:tcPr>
            <w:tcW w:w="3382" w:type="dxa"/>
            <w:tcBorders>
              <w:top w:val="single" w:sz="8" w:space="0" w:color="000000"/>
              <w:left w:val="single" w:sz="8" w:space="0" w:color="000000"/>
              <w:bottom w:val="single" w:sz="8" w:space="0" w:color="000000"/>
              <w:right w:val="single" w:sz="8" w:space="0" w:color="000000"/>
            </w:tcBorders>
          </w:tcPr>
          <w:p>
            <w:pPr>
              <w:pStyle w:val="TableParagraph"/>
              <w:ind w:left="1467" w:right="1454"/>
              <w:jc w:val="center"/>
              <w:rPr>
                <w:sz w:val="24"/>
              </w:rPr>
            </w:pPr>
            <w:r>
              <w:rPr>
                <w:sz w:val="24"/>
              </w:rPr>
              <w:t>200</w:t>
            </w:r>
          </w:p>
        </w:tc>
        <w:tc>
          <w:tcPr>
            <w:tcW w:w="1580" w:type="dxa"/>
            <w:tcBorders>
              <w:top w:val="single" w:sz="8" w:space="0" w:color="000000"/>
              <w:left w:val="single" w:sz="8" w:space="0" w:color="000000"/>
              <w:bottom w:val="single" w:sz="8" w:space="0" w:color="000000"/>
              <w:right w:val="single" w:sz="8" w:space="0" w:color="000000"/>
            </w:tcBorders>
          </w:tcPr>
          <w:p>
            <w:pPr>
              <w:pStyle w:val="TableParagraph"/>
              <w:ind w:left="420"/>
              <w:rPr>
                <w:sz w:val="24"/>
              </w:rPr>
            </w:pPr>
            <w:r>
              <w:rPr>
                <w:sz w:val="24"/>
              </w:rPr>
              <w:t>0.7814</w:t>
            </w:r>
          </w:p>
        </w:tc>
      </w:tr>
    </w:tbl>
    <w:p>
      <w:pPr>
        <w:pStyle w:val="BodyText"/>
        <w:rPr>
          <w:b/>
        </w:rPr>
      </w:pPr>
    </w:p>
    <w:p>
      <w:pPr>
        <w:spacing w:before="0"/>
        <w:ind w:left="400" w:right="0" w:firstLine="0"/>
        <w:jc w:val="left"/>
        <w:rPr>
          <w:b/>
          <w:sz w:val="24"/>
        </w:rPr>
      </w:pPr>
      <w:r>
        <w:rPr>
          <w:b/>
          <w:sz w:val="24"/>
        </w:rPr>
        <w:t>Demanda Química de Oxígeno.</w:t>
      </w:r>
    </w:p>
    <w:p>
      <w:pPr>
        <w:pStyle w:val="BodyText"/>
        <w:rPr>
          <w:b/>
        </w:rPr>
      </w:pPr>
    </w:p>
    <w:p>
      <w:pPr>
        <w:pStyle w:val="BodyText"/>
        <w:ind w:left="400" w:right="432"/>
        <w:jc w:val="both"/>
      </w:pPr>
      <w:r>
        <w:rPr/>
        <w:t>El límite máximo permisible de este parámetro se apegará a las disposiciones de la Ley Federal de Derechos 2019, debido a que la NOM-002-SEMARNAT no lo establece, y el cálculo para obtener el monto a pagar por este concepto será el mismo del procedimiento anterior.</w:t>
      </w:r>
    </w:p>
    <w:p>
      <w:pPr>
        <w:pStyle w:val="BodyText"/>
      </w:pPr>
    </w:p>
    <w:p>
      <w:pPr>
        <w:pStyle w:val="BodyText"/>
        <w:ind w:left="400" w:right="432"/>
        <w:jc w:val="both"/>
      </w:pPr>
      <w:r>
        <w:rPr/>
        <w:t>Para el </w:t>
      </w:r>
      <w:r>
        <w:rPr>
          <w:b/>
        </w:rPr>
        <w:t>Potencial de Hidrogeno (PH), </w:t>
      </w:r>
      <w:r>
        <w:rPr/>
        <w:t>el importe del cobro se determinará de acuerdo con las cuotas indicadas en la tabla siguiente; para ello, si la descarga se encuentra fuera de los límites máximos permisibles, superior a 8 o inferior a 6 unidades, el volumen descargado en el trimestre se multiplicará por la cuota que corresponde.</w:t>
      </w:r>
    </w:p>
    <w:p>
      <w:pPr>
        <w:pStyle w:val="BodyText"/>
      </w:pP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6"/>
        <w:gridCol w:w="3263"/>
      </w:tblGrid>
      <w:tr>
        <w:trPr>
          <w:trHeight w:val="345" w:hRule="atLeast"/>
        </w:trPr>
        <w:tc>
          <w:tcPr>
            <w:tcW w:w="8809" w:type="dxa"/>
            <w:gridSpan w:val="2"/>
          </w:tcPr>
          <w:p>
            <w:pPr>
              <w:pStyle w:val="TableParagraph"/>
              <w:spacing w:before="29"/>
              <w:ind w:left="108"/>
              <w:rPr>
                <w:b/>
                <w:sz w:val="24"/>
              </w:rPr>
            </w:pPr>
            <w:r>
              <w:rPr>
                <w:b/>
                <w:sz w:val="24"/>
              </w:rPr>
              <w:t>Costo en pesos por metro cubico para potencial de hidrogeno (p H)</w:t>
            </w:r>
          </w:p>
        </w:tc>
      </w:tr>
      <w:tr>
        <w:trPr>
          <w:trHeight w:val="470" w:hRule="atLeast"/>
        </w:trPr>
        <w:tc>
          <w:tcPr>
            <w:tcW w:w="5546" w:type="dxa"/>
            <w:tcBorders>
              <w:right w:val="single" w:sz="12" w:space="0" w:color="000000"/>
            </w:tcBorders>
          </w:tcPr>
          <w:p>
            <w:pPr>
              <w:pStyle w:val="TableParagraph"/>
              <w:spacing w:before="31"/>
              <w:ind w:left="108"/>
              <w:rPr>
                <w:sz w:val="24"/>
              </w:rPr>
            </w:pPr>
            <w:r>
              <w:rPr>
                <w:sz w:val="24"/>
              </w:rPr>
              <w:t>Rango en unidad de pH</w:t>
            </w:r>
          </w:p>
        </w:tc>
        <w:tc>
          <w:tcPr>
            <w:tcW w:w="3263" w:type="dxa"/>
            <w:tcBorders>
              <w:left w:val="single" w:sz="12" w:space="0" w:color="000000"/>
            </w:tcBorders>
          </w:tcPr>
          <w:p>
            <w:pPr>
              <w:pStyle w:val="TableParagraph"/>
              <w:spacing w:before="31"/>
              <w:ind w:right="1984"/>
              <w:jc w:val="right"/>
              <w:rPr>
                <w:sz w:val="24"/>
              </w:rPr>
            </w:pPr>
            <w:r>
              <w:rPr>
                <w:sz w:val="24"/>
              </w:rPr>
              <w:t>costo $</w:t>
            </w:r>
          </w:p>
        </w:tc>
      </w:tr>
      <w:tr>
        <w:trPr>
          <w:trHeight w:val="474" w:hRule="atLeast"/>
        </w:trPr>
        <w:tc>
          <w:tcPr>
            <w:tcW w:w="5546" w:type="dxa"/>
            <w:tcBorders>
              <w:right w:val="single" w:sz="12" w:space="0" w:color="000000"/>
            </w:tcBorders>
          </w:tcPr>
          <w:p>
            <w:pPr>
              <w:pStyle w:val="TableParagraph"/>
              <w:spacing w:before="29"/>
              <w:ind w:left="108"/>
              <w:rPr>
                <w:sz w:val="24"/>
              </w:rPr>
            </w:pPr>
            <w:r>
              <w:rPr>
                <w:sz w:val="24"/>
              </w:rPr>
              <w:t>Menor a 6 hasta 8 unidades</w:t>
            </w:r>
          </w:p>
        </w:tc>
        <w:tc>
          <w:tcPr>
            <w:tcW w:w="3263" w:type="dxa"/>
            <w:tcBorders>
              <w:left w:val="single" w:sz="12" w:space="0" w:color="000000"/>
            </w:tcBorders>
          </w:tcPr>
          <w:p>
            <w:pPr>
              <w:pStyle w:val="TableParagraph"/>
              <w:spacing w:before="29"/>
              <w:ind w:right="1981"/>
              <w:jc w:val="right"/>
              <w:rPr>
                <w:sz w:val="24"/>
              </w:rPr>
            </w:pPr>
            <w:r>
              <w:rPr>
                <w:sz w:val="24"/>
              </w:rPr>
              <w:t>$0.31</w:t>
            </w:r>
          </w:p>
        </w:tc>
      </w:tr>
    </w:tbl>
    <w:p>
      <w:pPr>
        <w:pStyle w:val="BodyText"/>
      </w:pPr>
    </w:p>
    <w:p>
      <w:pPr>
        <w:pStyle w:val="BodyText"/>
        <w:ind w:left="400" w:right="434"/>
        <w:jc w:val="both"/>
      </w:pPr>
      <w:r>
        <w:rPr/>
        <w:t>El pago por los conceptos anteriores </w:t>
      </w:r>
      <w:r>
        <w:rPr>
          <w:b/>
        </w:rPr>
        <w:t>no </w:t>
      </w:r>
      <w:r>
        <w:rPr/>
        <w:t>exime de la responsabilidad ambiental en que pudiera incurrir el Usuario que no cumpla con lo establecido en la NOM- 002SEMARNAT1996, que establece los límites máximos permisibles de contaminantes de las descargas de aguas residuales a los sistemas de alcantarillado urbano o</w:t>
      </w:r>
      <w:r>
        <w:rPr>
          <w:spacing w:val="-8"/>
        </w:rPr>
        <w:t> </w:t>
      </w:r>
      <w:r>
        <w:rPr/>
        <w:t>municipal.</w:t>
      </w:r>
    </w:p>
    <w:p>
      <w:pPr>
        <w:pStyle w:val="BodyText"/>
        <w:spacing w:before="1"/>
      </w:pPr>
    </w:p>
    <w:p>
      <w:pPr>
        <w:pStyle w:val="BodyText"/>
        <w:ind w:left="400" w:right="438"/>
        <w:jc w:val="both"/>
      </w:pPr>
      <w:r>
        <w:rPr/>
        <w:t>La autoridad competente (Sistema Operador) podrá fijar condiciones particulares de descarga a los responsables de la descarga </w:t>
      </w:r>
      <w:r>
        <w:rPr>
          <w:spacing w:val="3"/>
        </w:rPr>
        <w:t>de </w:t>
      </w:r>
      <w:r>
        <w:rPr/>
        <w:t>aguas residuales a los sistemas de alcantarillado municipal, de manera individual o colectiva, que establezcan lo</w:t>
      </w:r>
      <w:r>
        <w:rPr>
          <w:spacing w:val="-23"/>
        </w:rPr>
        <w:t> </w:t>
      </w:r>
      <w:r>
        <w:rPr/>
        <w:t>siguiente:</w:t>
      </w:r>
    </w:p>
    <w:p>
      <w:pPr>
        <w:pStyle w:val="BodyText"/>
      </w:pPr>
    </w:p>
    <w:p>
      <w:pPr>
        <w:pStyle w:val="ListParagraph"/>
        <w:numPr>
          <w:ilvl w:val="1"/>
          <w:numId w:val="57"/>
        </w:numPr>
        <w:tabs>
          <w:tab w:pos="1121" w:val="left" w:leader="none"/>
        </w:tabs>
        <w:spacing w:line="240" w:lineRule="auto" w:before="0" w:after="0"/>
        <w:ind w:left="1120" w:right="0" w:hanging="361"/>
        <w:jc w:val="left"/>
        <w:rPr>
          <w:sz w:val="24"/>
        </w:rPr>
      </w:pPr>
      <w:r>
        <w:rPr>
          <w:sz w:val="24"/>
        </w:rPr>
        <w:t>Nuevos límites máximos permisibles de descarga de</w:t>
      </w:r>
      <w:r>
        <w:rPr>
          <w:spacing w:val="-5"/>
          <w:sz w:val="24"/>
        </w:rPr>
        <w:t> </w:t>
      </w:r>
      <w:r>
        <w:rPr>
          <w:sz w:val="24"/>
        </w:rPr>
        <w:t>contaminantes.</w:t>
      </w:r>
    </w:p>
    <w:p>
      <w:pPr>
        <w:pStyle w:val="BodyText"/>
      </w:pPr>
    </w:p>
    <w:p>
      <w:pPr>
        <w:pStyle w:val="ListParagraph"/>
        <w:numPr>
          <w:ilvl w:val="1"/>
          <w:numId w:val="57"/>
        </w:numPr>
        <w:tabs>
          <w:tab w:pos="1121" w:val="left" w:leader="none"/>
        </w:tabs>
        <w:spacing w:line="240" w:lineRule="auto" w:before="0" w:after="0"/>
        <w:ind w:left="1120" w:right="434" w:hanging="360"/>
        <w:jc w:val="left"/>
        <w:rPr>
          <w:sz w:val="24"/>
        </w:rPr>
      </w:pPr>
      <w:r>
        <w:rPr>
          <w:sz w:val="24"/>
        </w:rPr>
        <w:t>Límites máximos permisibles para parámetros adicionales no contemplados en esta norma.</w:t>
      </w:r>
    </w:p>
    <w:p>
      <w:pPr>
        <w:pStyle w:val="BodyText"/>
      </w:pPr>
    </w:p>
    <w:p>
      <w:pPr>
        <w:pStyle w:val="BodyText"/>
        <w:ind w:left="400" w:right="444"/>
        <w:jc w:val="both"/>
      </w:pPr>
      <w:r>
        <w:rPr/>
        <w:t>Asimismo, podrá quedar exento de realizar dichos análisis el Usuario que cumpla con los parámetros solicitados por el Sistema Operador en dos trimestres consecutivos o si su</w:t>
      </w:r>
    </w:p>
    <w:p>
      <w:pPr>
        <w:spacing w:after="0"/>
        <w:jc w:val="both"/>
        <w:sectPr>
          <w:pgSz w:w="12250" w:h="15850"/>
          <w:pgMar w:header="730" w:footer="0" w:top="1000" w:bottom="280" w:left="860" w:right="820"/>
        </w:sectPr>
      </w:pPr>
    </w:p>
    <w:p>
      <w:pPr>
        <w:pStyle w:val="BodyText"/>
        <w:spacing w:before="183"/>
        <w:ind w:left="400" w:right="437"/>
        <w:jc w:val="both"/>
      </w:pPr>
      <w:r>
        <w:rPr/>
        <w:t>pago en estos dos trimestres fuera menor a 100 pesos se le exentará el trimestre inmediato</w:t>
      </w:r>
      <w:r>
        <w:rPr>
          <w:spacing w:val="-3"/>
        </w:rPr>
        <w:t> </w:t>
      </w:r>
      <w:r>
        <w:rPr/>
        <w:t>posterior.</w:t>
      </w:r>
    </w:p>
    <w:p>
      <w:pPr>
        <w:pStyle w:val="BodyText"/>
      </w:pPr>
    </w:p>
    <w:p>
      <w:pPr>
        <w:pStyle w:val="BodyText"/>
        <w:ind w:left="400" w:right="440"/>
        <w:jc w:val="both"/>
      </w:pPr>
      <w:r>
        <w:rPr/>
        <w:t>El Sistema Operador queda facultado para realizar los análisis químicos aleatoriamente sin dar conocimiento previo a los Usuarios comerciales e industriales.</w:t>
      </w:r>
    </w:p>
    <w:p>
      <w:pPr>
        <w:pStyle w:val="BodyText"/>
        <w:rPr>
          <w:sz w:val="28"/>
        </w:rPr>
      </w:pPr>
    </w:p>
    <w:p>
      <w:pPr>
        <w:pStyle w:val="Heading1"/>
        <w:numPr>
          <w:ilvl w:val="1"/>
          <w:numId w:val="55"/>
        </w:numPr>
        <w:tabs>
          <w:tab w:pos="934" w:val="left" w:leader="none"/>
        </w:tabs>
        <w:spacing w:line="240" w:lineRule="auto" w:before="0" w:after="0"/>
        <w:ind w:left="966" w:right="434" w:hanging="567"/>
        <w:jc w:val="both"/>
      </w:pPr>
      <w:r>
        <w:rPr/>
        <w:drawing>
          <wp:anchor distT="0" distB="0" distL="0" distR="0" allowOverlap="1" layoutInCell="1" locked="0" behindDoc="1" simplePos="0" relativeHeight="227532800">
            <wp:simplePos x="0" y="0"/>
            <wp:positionH relativeFrom="page">
              <wp:posOffset>1239220</wp:posOffset>
            </wp:positionH>
            <wp:positionV relativeFrom="paragraph">
              <wp:posOffset>213561</wp:posOffset>
            </wp:positionV>
            <wp:extent cx="5022641" cy="5144769"/>
            <wp:effectExtent l="0" t="0" r="0" b="0"/>
            <wp:wrapNone/>
            <wp:docPr id="127" name="image59.png"/>
            <wp:cNvGraphicFramePr>
              <a:graphicFrameLocks noChangeAspect="1"/>
            </wp:cNvGraphicFramePr>
            <a:graphic>
              <a:graphicData uri="http://schemas.openxmlformats.org/drawingml/2006/picture">
                <pic:pic>
                  <pic:nvPicPr>
                    <pic:cNvPr id="128" name="image59.png"/>
                    <pic:cNvPicPr/>
                  </pic:nvPicPr>
                  <pic:blipFill>
                    <a:blip r:embed="rId69" cstate="print"/>
                    <a:stretch>
                      <a:fillRect/>
                    </a:stretch>
                  </pic:blipFill>
                  <pic:spPr>
                    <a:xfrm>
                      <a:off x="0" y="0"/>
                      <a:ext cx="5022641" cy="5144769"/>
                    </a:xfrm>
                    <a:prstGeom prst="rect">
                      <a:avLst/>
                    </a:prstGeom>
                  </pic:spPr>
                </pic:pic>
              </a:graphicData>
            </a:graphic>
          </wp:anchor>
        </w:drawing>
      </w:r>
      <w:r>
        <w:rPr/>
        <w:t>Costos por saneamiento de aguas residuales descargadas a las plantas </w:t>
      </w:r>
      <w:r>
        <w:rPr>
          <w:spacing w:val="-3"/>
        </w:rPr>
        <w:t>de </w:t>
      </w:r>
      <w:r>
        <w:rPr/>
        <w:t>tratamiento, de Usuarios domésticos y no</w:t>
      </w:r>
      <w:r>
        <w:rPr>
          <w:spacing w:val="-4"/>
        </w:rPr>
        <w:t> </w:t>
      </w:r>
      <w:r>
        <w:rPr/>
        <w:t>domésticos.</w:t>
      </w:r>
    </w:p>
    <w:p>
      <w:pPr>
        <w:pStyle w:val="BodyText"/>
        <w:rPr>
          <w:b/>
        </w:rPr>
      </w:pPr>
    </w:p>
    <w:p>
      <w:pPr>
        <w:pStyle w:val="BodyText"/>
        <w:ind w:left="400" w:right="432"/>
        <w:jc w:val="both"/>
      </w:pPr>
      <w:r>
        <w:rPr/>
        <w:t>Los Usuarios dedicados a la prestación de los servicios de recolección de desechos orgánicos NOTÓXICOS de fosas sépticas y lodos que requieran del servicio de descargas residuales a las plantas de tratamiento del Sistema Operador deberán gestionar el contrato correspondiente, cuya vigencia no excederá de 6 meses y pagará una cantidad por incorporación de $2,642.00 más IVA.</w:t>
      </w:r>
    </w:p>
    <w:p>
      <w:pPr>
        <w:pStyle w:val="BodyText"/>
        <w:spacing w:before="1"/>
      </w:pPr>
    </w:p>
    <w:p>
      <w:pPr>
        <w:pStyle w:val="ListParagraph"/>
        <w:numPr>
          <w:ilvl w:val="0"/>
          <w:numId w:val="58"/>
        </w:numPr>
        <w:tabs>
          <w:tab w:pos="967" w:val="left" w:leader="none"/>
        </w:tabs>
        <w:spacing w:line="240" w:lineRule="auto" w:before="0" w:after="0"/>
        <w:ind w:left="966" w:right="429" w:hanging="567"/>
        <w:jc w:val="both"/>
        <w:rPr>
          <w:sz w:val="24"/>
        </w:rPr>
      </w:pPr>
      <w:r>
        <w:rPr>
          <w:sz w:val="24"/>
        </w:rPr>
        <w:t>Los Usuarios que descarguen aguas residuales pagarán la cantidad de $52.00 más IVA por metro cúbico, previo análisis físico/químico trimestral realizado en un laboratorio privado legalmente establecido que cuente con la acreditación o certificación correspondiente (cuando se trate de residuos sépticos producto de servicios sanitarios y/o fosas</w:t>
      </w:r>
      <w:r>
        <w:rPr>
          <w:spacing w:val="-1"/>
          <w:sz w:val="24"/>
        </w:rPr>
        <w:t> </w:t>
      </w:r>
      <w:r>
        <w:rPr>
          <w:sz w:val="24"/>
        </w:rPr>
        <w:t>sépticas).</w:t>
      </w:r>
    </w:p>
    <w:p>
      <w:pPr>
        <w:pStyle w:val="BodyText"/>
      </w:pPr>
    </w:p>
    <w:p>
      <w:pPr>
        <w:pStyle w:val="ListParagraph"/>
        <w:numPr>
          <w:ilvl w:val="0"/>
          <w:numId w:val="58"/>
        </w:numPr>
        <w:tabs>
          <w:tab w:pos="967" w:val="left" w:leader="none"/>
        </w:tabs>
        <w:spacing w:line="240" w:lineRule="auto" w:before="0" w:after="0"/>
        <w:ind w:left="966" w:right="433" w:hanging="567"/>
        <w:jc w:val="both"/>
        <w:rPr>
          <w:sz w:val="24"/>
        </w:rPr>
      </w:pPr>
      <w:r>
        <w:rPr>
          <w:sz w:val="24"/>
        </w:rPr>
        <w:t>Cuando el residuo presente las características de lodos biológicos el Sistema Operador cobrará </w:t>
      </w:r>
      <w:r>
        <w:rPr>
          <w:spacing w:val="6"/>
          <w:sz w:val="24"/>
        </w:rPr>
        <w:t>por </w:t>
      </w:r>
      <w:r>
        <w:rPr>
          <w:spacing w:val="7"/>
          <w:sz w:val="24"/>
        </w:rPr>
        <w:t>metro </w:t>
      </w:r>
      <w:r>
        <w:rPr>
          <w:spacing w:val="6"/>
          <w:sz w:val="24"/>
        </w:rPr>
        <w:t>cúbico </w:t>
      </w:r>
      <w:r>
        <w:rPr>
          <w:sz w:val="24"/>
        </w:rPr>
        <w:t>la cantidad de $90.00 más</w:t>
      </w:r>
      <w:r>
        <w:rPr>
          <w:spacing w:val="-19"/>
          <w:sz w:val="24"/>
        </w:rPr>
        <w:t> </w:t>
      </w:r>
      <w:r>
        <w:rPr>
          <w:sz w:val="24"/>
        </w:rPr>
        <w:t>IVA.</w:t>
      </w:r>
    </w:p>
    <w:p>
      <w:pPr>
        <w:pStyle w:val="BodyText"/>
      </w:pPr>
    </w:p>
    <w:p>
      <w:pPr>
        <w:pStyle w:val="ListParagraph"/>
        <w:numPr>
          <w:ilvl w:val="0"/>
          <w:numId w:val="58"/>
        </w:numPr>
        <w:tabs>
          <w:tab w:pos="967" w:val="left" w:leader="none"/>
        </w:tabs>
        <w:spacing w:line="240" w:lineRule="auto" w:before="0" w:after="0"/>
        <w:ind w:left="966" w:right="432" w:hanging="567"/>
        <w:jc w:val="both"/>
        <w:rPr>
          <w:sz w:val="24"/>
        </w:rPr>
      </w:pPr>
      <w:r>
        <w:rPr>
          <w:sz w:val="24"/>
        </w:rPr>
        <w:t>Para los casos donde las descargas excedan los límites máximos permisibles establecidos en la Norma Oficial 002 </w:t>
      </w:r>
      <w:r>
        <w:rPr>
          <w:spacing w:val="2"/>
          <w:sz w:val="24"/>
        </w:rPr>
        <w:t>de </w:t>
      </w:r>
      <w:r>
        <w:rPr>
          <w:sz w:val="24"/>
        </w:rPr>
        <w:t>SEMARNATde1996, se aplicará el cobro con base en los resultados de un laboratorio validado por el Sistema Operador o entidad mexicana de acreditación EMA.</w:t>
      </w:r>
    </w:p>
    <w:p>
      <w:pPr>
        <w:pStyle w:val="BodyText"/>
        <w:rPr>
          <w:sz w:val="28"/>
        </w:rPr>
      </w:pPr>
    </w:p>
    <w:p>
      <w:pPr>
        <w:pStyle w:val="BodyText"/>
        <w:ind w:left="400" w:right="432"/>
        <w:jc w:val="both"/>
      </w:pPr>
      <w:r>
        <w:rPr/>
        <w:t>No estarán obligados al pago por carga de contaminantes los Usuarios que cumplan con los parámetros establecidos en la Norma Oficial Mexicana NOM-002-SEMARNAT-1996 y/o por las condiciones particulares de descarga fijadas por el Sistema Operador.</w:t>
      </w:r>
    </w:p>
    <w:p>
      <w:pPr>
        <w:pStyle w:val="BodyText"/>
      </w:pPr>
    </w:p>
    <w:p>
      <w:pPr>
        <w:pStyle w:val="BodyText"/>
        <w:ind w:left="400" w:right="432"/>
        <w:jc w:val="both"/>
      </w:pPr>
      <w:r>
        <w:rPr/>
        <w:t>Asimismo, no pagarán por la descarga de contaminantes los Usuarios que tengan en proceso de realización el programa constructivo o la ejecución de las obras de control de calidad de sus descargas para cumplir con lo dispuesto por la Ley Estatal de Equilibrio Ecológico y Protección al Ambiente del Estado de Nayarit, hasta la conclusión de la obra, misma que no podrá exceder de un año a partir de la fecha en que el Sistema Operador registre el mencionado programa constructivo.</w:t>
      </w:r>
    </w:p>
    <w:p>
      <w:pPr>
        <w:pStyle w:val="BodyText"/>
        <w:spacing w:before="1"/>
      </w:pPr>
    </w:p>
    <w:p>
      <w:pPr>
        <w:pStyle w:val="BodyText"/>
        <w:ind w:left="400" w:right="433"/>
        <w:jc w:val="both"/>
      </w:pPr>
      <w:r>
        <w:rPr/>
        <w:t>Los contribuyentes </w:t>
      </w:r>
      <w:r>
        <w:rPr>
          <w:spacing w:val="-4"/>
        </w:rPr>
        <w:t>de</w:t>
      </w:r>
      <w:r>
        <w:rPr>
          <w:spacing w:val="58"/>
        </w:rPr>
        <w:t> </w:t>
      </w:r>
      <w:r>
        <w:rPr/>
        <w:t>los derechos de descarga a la red de drenaje tienen las obligaciones</w:t>
      </w:r>
      <w:r>
        <w:rPr>
          <w:spacing w:val="-1"/>
        </w:rPr>
        <w:t> </w:t>
      </w:r>
      <w:r>
        <w:rPr/>
        <w:t>siguientes:</w:t>
      </w:r>
    </w:p>
    <w:p>
      <w:pPr>
        <w:pStyle w:val="BodyText"/>
      </w:pPr>
    </w:p>
    <w:p>
      <w:pPr>
        <w:pStyle w:val="ListParagraph"/>
        <w:numPr>
          <w:ilvl w:val="0"/>
          <w:numId w:val="59"/>
        </w:numPr>
        <w:tabs>
          <w:tab w:pos="1252" w:val="left" w:leader="none"/>
          <w:tab w:pos="1253" w:val="left" w:leader="none"/>
        </w:tabs>
        <w:spacing w:line="240" w:lineRule="auto" w:before="0" w:after="0"/>
        <w:ind w:left="1252" w:right="432" w:hanging="852"/>
        <w:jc w:val="left"/>
        <w:rPr>
          <w:sz w:val="24"/>
        </w:rPr>
      </w:pPr>
      <w:r>
        <w:rPr>
          <w:sz w:val="24"/>
        </w:rPr>
        <w:t>Solicitar al Sistema de Aguas el registro al padrón de los derechos de descarga a la red de drenaje;</w:t>
      </w:r>
    </w:p>
    <w:p>
      <w:pPr>
        <w:pStyle w:val="ListParagraph"/>
        <w:numPr>
          <w:ilvl w:val="0"/>
          <w:numId w:val="59"/>
        </w:numPr>
        <w:tabs>
          <w:tab w:pos="1252" w:val="left" w:leader="none"/>
          <w:tab w:pos="1253" w:val="left" w:leader="none"/>
        </w:tabs>
        <w:spacing w:line="240" w:lineRule="auto" w:before="120" w:after="0"/>
        <w:ind w:left="1252" w:right="431" w:hanging="852"/>
        <w:jc w:val="left"/>
        <w:rPr>
          <w:sz w:val="24"/>
        </w:rPr>
      </w:pPr>
      <w:r>
        <w:rPr>
          <w:sz w:val="24"/>
        </w:rPr>
        <w:t>Conservar los dispositivos permanentes de medición continua en condiciones adecuadas de</w:t>
      </w:r>
      <w:r>
        <w:rPr>
          <w:spacing w:val="-4"/>
          <w:sz w:val="24"/>
        </w:rPr>
        <w:t> </w:t>
      </w:r>
      <w:r>
        <w:rPr>
          <w:sz w:val="24"/>
        </w:rPr>
        <w:t>operación;</w:t>
      </w:r>
    </w:p>
    <w:p>
      <w:pPr>
        <w:spacing w:after="0" w:line="240" w:lineRule="auto"/>
        <w:jc w:val="left"/>
        <w:rPr>
          <w:sz w:val="24"/>
        </w:rPr>
        <w:sectPr>
          <w:pgSz w:w="12250" w:h="15850"/>
          <w:pgMar w:header="730" w:footer="0" w:top="1000" w:bottom="280" w:left="860" w:right="820"/>
        </w:sectPr>
      </w:pPr>
    </w:p>
    <w:p>
      <w:pPr>
        <w:pStyle w:val="BodyText"/>
        <w:spacing w:before="1"/>
        <w:rPr>
          <w:sz w:val="9"/>
        </w:rPr>
      </w:pPr>
    </w:p>
    <w:p>
      <w:pPr>
        <w:pStyle w:val="ListParagraph"/>
        <w:numPr>
          <w:ilvl w:val="0"/>
          <w:numId w:val="59"/>
        </w:numPr>
        <w:tabs>
          <w:tab w:pos="1253" w:val="left" w:leader="none"/>
        </w:tabs>
        <w:spacing w:line="240" w:lineRule="auto" w:before="93" w:after="0"/>
        <w:ind w:left="1252" w:right="432" w:hanging="852"/>
        <w:jc w:val="both"/>
        <w:rPr>
          <w:sz w:val="24"/>
        </w:rPr>
      </w:pPr>
      <w:r>
        <w:rPr>
          <w:sz w:val="24"/>
        </w:rPr>
        <w:t>Permitir el acceso a las personas autorizadas para efectuar y verificar la lectura a los dispositivos de medición instalados;</w:t>
      </w:r>
    </w:p>
    <w:p>
      <w:pPr>
        <w:pStyle w:val="ListParagraph"/>
        <w:numPr>
          <w:ilvl w:val="0"/>
          <w:numId w:val="59"/>
        </w:numPr>
        <w:tabs>
          <w:tab w:pos="1253" w:val="left" w:leader="none"/>
        </w:tabs>
        <w:spacing w:line="240" w:lineRule="auto" w:before="120" w:after="0"/>
        <w:ind w:left="1252" w:right="433" w:hanging="852"/>
        <w:jc w:val="both"/>
        <w:rPr>
          <w:sz w:val="24"/>
        </w:rPr>
      </w:pPr>
      <w:r>
        <w:rPr>
          <w:sz w:val="24"/>
        </w:rPr>
        <w:t>Formular declaraciones, en los casos que proceda, hasta en tanto no presenten el aviso de baja al padrón;</w:t>
      </w:r>
    </w:p>
    <w:p>
      <w:pPr>
        <w:pStyle w:val="ListParagraph"/>
        <w:numPr>
          <w:ilvl w:val="0"/>
          <w:numId w:val="59"/>
        </w:numPr>
        <w:tabs>
          <w:tab w:pos="1253" w:val="left" w:leader="none"/>
        </w:tabs>
        <w:spacing w:line="240" w:lineRule="auto" w:before="120" w:after="0"/>
        <w:ind w:left="1252" w:right="430" w:hanging="852"/>
        <w:jc w:val="both"/>
        <w:rPr>
          <w:sz w:val="24"/>
        </w:rPr>
      </w:pPr>
      <w:r>
        <w:rPr/>
        <w:drawing>
          <wp:anchor distT="0" distB="0" distL="0" distR="0" allowOverlap="1" layoutInCell="1" locked="0" behindDoc="1" simplePos="0" relativeHeight="227533824">
            <wp:simplePos x="0" y="0"/>
            <wp:positionH relativeFrom="page">
              <wp:posOffset>1252555</wp:posOffset>
            </wp:positionH>
            <wp:positionV relativeFrom="paragraph">
              <wp:posOffset>507693</wp:posOffset>
            </wp:positionV>
            <wp:extent cx="5022641" cy="5144769"/>
            <wp:effectExtent l="0" t="0" r="0" b="0"/>
            <wp:wrapNone/>
            <wp:docPr id="129" name="image60.png"/>
            <wp:cNvGraphicFramePr>
              <a:graphicFrameLocks noChangeAspect="1"/>
            </wp:cNvGraphicFramePr>
            <a:graphic>
              <a:graphicData uri="http://schemas.openxmlformats.org/drawingml/2006/picture">
                <pic:pic>
                  <pic:nvPicPr>
                    <pic:cNvPr id="130" name="image60.png"/>
                    <pic:cNvPicPr/>
                  </pic:nvPicPr>
                  <pic:blipFill>
                    <a:blip r:embed="rId70" cstate="print"/>
                    <a:stretch>
                      <a:fillRect/>
                    </a:stretch>
                  </pic:blipFill>
                  <pic:spPr>
                    <a:xfrm>
                      <a:off x="0" y="0"/>
                      <a:ext cx="5022641" cy="5144769"/>
                    </a:xfrm>
                    <a:prstGeom prst="rect">
                      <a:avLst/>
                    </a:prstGeom>
                  </pic:spPr>
                </pic:pic>
              </a:graphicData>
            </a:graphic>
          </wp:anchor>
        </w:drawing>
      </w:r>
      <w:r>
        <w:rPr>
          <w:sz w:val="24"/>
        </w:rPr>
        <w:t>Enviar mensualmente la información almacenada en el equipo accesorio en el formato que </w:t>
      </w:r>
      <w:r>
        <w:rPr>
          <w:spacing w:val="4"/>
          <w:sz w:val="24"/>
        </w:rPr>
        <w:t>el </w:t>
      </w:r>
      <w:r>
        <w:rPr>
          <w:sz w:val="24"/>
        </w:rPr>
        <w:t>Sistema de Aguas designe para el manejo de los datos y su posterior</w:t>
      </w:r>
      <w:r>
        <w:rPr>
          <w:spacing w:val="-3"/>
          <w:sz w:val="24"/>
        </w:rPr>
        <w:t> </w:t>
      </w:r>
      <w:r>
        <w:rPr>
          <w:sz w:val="24"/>
        </w:rPr>
        <w:t>análisis;</w:t>
      </w:r>
    </w:p>
    <w:p>
      <w:pPr>
        <w:pStyle w:val="ListParagraph"/>
        <w:numPr>
          <w:ilvl w:val="0"/>
          <w:numId w:val="59"/>
        </w:numPr>
        <w:tabs>
          <w:tab w:pos="1253" w:val="left" w:leader="none"/>
        </w:tabs>
        <w:spacing w:line="240" w:lineRule="auto" w:before="120" w:after="0"/>
        <w:ind w:left="1252" w:right="429" w:hanging="852"/>
        <w:jc w:val="both"/>
        <w:rPr>
          <w:sz w:val="24"/>
        </w:rPr>
      </w:pPr>
      <w:r>
        <w:rPr>
          <w:sz w:val="24"/>
        </w:rPr>
        <w:t>Realizar la correcta calibración de sus equipos de medición una vez al año, empleando para ello un laboratorio o institución de prestigio en el</w:t>
      </w:r>
      <w:r>
        <w:rPr>
          <w:spacing w:val="-5"/>
          <w:sz w:val="24"/>
        </w:rPr>
        <w:t> </w:t>
      </w:r>
      <w:r>
        <w:rPr>
          <w:sz w:val="24"/>
        </w:rPr>
        <w:t>ramo;</w:t>
      </w:r>
    </w:p>
    <w:p>
      <w:pPr>
        <w:pStyle w:val="ListParagraph"/>
        <w:numPr>
          <w:ilvl w:val="0"/>
          <w:numId w:val="59"/>
        </w:numPr>
        <w:tabs>
          <w:tab w:pos="1253" w:val="left" w:leader="none"/>
        </w:tabs>
        <w:spacing w:line="240" w:lineRule="auto" w:before="120" w:after="0"/>
        <w:ind w:left="1252" w:right="430" w:hanging="852"/>
        <w:jc w:val="both"/>
        <w:rPr>
          <w:sz w:val="24"/>
        </w:rPr>
      </w:pPr>
      <w:r>
        <w:rPr>
          <w:sz w:val="24"/>
        </w:rPr>
        <w:t>Enviar al </w:t>
      </w:r>
      <w:r>
        <w:rPr>
          <w:spacing w:val="4"/>
          <w:sz w:val="24"/>
        </w:rPr>
        <w:t>Sistema </w:t>
      </w:r>
      <w:r>
        <w:rPr>
          <w:spacing w:val="2"/>
          <w:sz w:val="24"/>
        </w:rPr>
        <w:t>Operador </w:t>
      </w:r>
      <w:r>
        <w:rPr>
          <w:sz w:val="24"/>
        </w:rPr>
        <w:t>el comprobante correspondiente de la calibración efectuada al equipo de medición </w:t>
      </w:r>
      <w:r>
        <w:rPr>
          <w:spacing w:val="-4"/>
          <w:sz w:val="24"/>
        </w:rPr>
        <w:t>(incluyendo </w:t>
      </w:r>
      <w:r>
        <w:rPr>
          <w:sz w:val="24"/>
        </w:rPr>
        <w:t>la </w:t>
      </w:r>
      <w:r>
        <w:rPr>
          <w:spacing w:val="-4"/>
          <w:sz w:val="24"/>
        </w:rPr>
        <w:t>curva </w:t>
      </w:r>
      <w:r>
        <w:rPr>
          <w:sz w:val="24"/>
        </w:rPr>
        <w:t>de </w:t>
      </w:r>
      <w:r>
        <w:rPr>
          <w:spacing w:val="-3"/>
          <w:sz w:val="24"/>
        </w:rPr>
        <w:t>calibración) </w:t>
      </w:r>
      <w:r>
        <w:rPr>
          <w:sz w:val="24"/>
        </w:rPr>
        <w:t>en el primer mes del año siguiente para poder validar su dispositivo de medición en la descarga;</w:t>
      </w:r>
    </w:p>
    <w:p>
      <w:pPr>
        <w:pStyle w:val="ListParagraph"/>
        <w:numPr>
          <w:ilvl w:val="0"/>
          <w:numId w:val="59"/>
        </w:numPr>
        <w:tabs>
          <w:tab w:pos="1253" w:val="left" w:leader="none"/>
        </w:tabs>
        <w:spacing w:line="240" w:lineRule="auto" w:before="121" w:after="0"/>
        <w:ind w:left="1252" w:right="431" w:hanging="852"/>
        <w:jc w:val="both"/>
        <w:rPr>
          <w:sz w:val="24"/>
        </w:rPr>
      </w:pPr>
      <w:r>
        <w:rPr>
          <w:sz w:val="24"/>
        </w:rPr>
        <w:t>Avisar por escrito al Sistema Operador del mantenimiento que se tenga que dar al equipo de medición, </w:t>
      </w:r>
      <w:r>
        <w:rPr>
          <w:spacing w:val="-4"/>
          <w:sz w:val="24"/>
        </w:rPr>
        <w:t>ya </w:t>
      </w:r>
      <w:r>
        <w:rPr>
          <w:sz w:val="24"/>
        </w:rPr>
        <w:t>sea por su uso normal o por cualquier falla, una semana antes, cuando se trate de mantenimiento programado, y 3 días hábiles </w:t>
      </w:r>
      <w:r>
        <w:rPr>
          <w:spacing w:val="5"/>
          <w:sz w:val="24"/>
        </w:rPr>
        <w:t>posteriores, </w:t>
      </w:r>
      <w:r>
        <w:rPr>
          <w:sz w:val="24"/>
        </w:rPr>
        <w:t>cuando sea un evento extraordinario que se origine y no permita tomar la lectura correspondiente. En este último caso, el Usuario pagará los derechos con el promedio de los últimos tres meses anteriores a aquél en que se presentó la falla del medidor de descarga;</w:t>
      </w:r>
      <w:r>
        <w:rPr>
          <w:spacing w:val="-6"/>
          <w:sz w:val="24"/>
        </w:rPr>
        <w:t> </w:t>
      </w:r>
      <w:r>
        <w:rPr>
          <w:sz w:val="24"/>
        </w:rPr>
        <w:t>y</w:t>
      </w:r>
    </w:p>
    <w:p>
      <w:pPr>
        <w:pStyle w:val="ListParagraph"/>
        <w:numPr>
          <w:ilvl w:val="0"/>
          <w:numId w:val="59"/>
        </w:numPr>
        <w:tabs>
          <w:tab w:pos="1253" w:val="left" w:leader="none"/>
        </w:tabs>
        <w:spacing w:line="240" w:lineRule="auto" w:before="120" w:after="0"/>
        <w:ind w:left="1252" w:right="429" w:hanging="852"/>
        <w:jc w:val="both"/>
        <w:rPr>
          <w:sz w:val="24"/>
        </w:rPr>
      </w:pPr>
      <w:r>
        <w:rPr>
          <w:sz w:val="24"/>
        </w:rPr>
        <w:t>Solicitar por escrito la baja en el Padrón de Derechos de Descarga una vez que el pozo o los pozos hayan sido cegados de acuerdo con la normatividad vigente en la materia, acompañada por el acta de cancelación del aprovechamiento subterráneo expedida por la CONAGUA, así como la constancia de adeudos por concepto de los Derechos de</w:t>
      </w:r>
      <w:r>
        <w:rPr>
          <w:spacing w:val="2"/>
          <w:sz w:val="24"/>
        </w:rPr>
        <w:t> </w:t>
      </w:r>
      <w:r>
        <w:rPr>
          <w:sz w:val="24"/>
        </w:rPr>
        <w:t>Descarga.</w:t>
      </w:r>
    </w:p>
    <w:p>
      <w:pPr>
        <w:pStyle w:val="BodyText"/>
        <w:spacing w:before="6"/>
        <w:rPr>
          <w:sz w:val="34"/>
        </w:rPr>
      </w:pPr>
    </w:p>
    <w:p>
      <w:pPr>
        <w:pStyle w:val="BodyText"/>
        <w:ind w:left="400"/>
      </w:pPr>
      <w:r>
        <w:rPr/>
        <w:t>Para efectos del presente documento se entiende por:</w:t>
      </w:r>
    </w:p>
    <w:p>
      <w:pPr>
        <w:pStyle w:val="BodyText"/>
        <w:spacing w:before="5"/>
        <w:rPr>
          <w:sz w:val="34"/>
        </w:rPr>
      </w:pPr>
    </w:p>
    <w:p>
      <w:pPr>
        <w:pStyle w:val="ListParagraph"/>
        <w:numPr>
          <w:ilvl w:val="0"/>
          <w:numId w:val="60"/>
        </w:numPr>
        <w:tabs>
          <w:tab w:pos="967" w:val="left" w:leader="none"/>
        </w:tabs>
        <w:spacing w:line="240" w:lineRule="auto" w:before="0" w:after="0"/>
        <w:ind w:left="966" w:right="0" w:hanging="567"/>
        <w:jc w:val="both"/>
        <w:rPr>
          <w:sz w:val="24"/>
        </w:rPr>
      </w:pPr>
      <w:r>
        <w:rPr>
          <w:sz w:val="24"/>
        </w:rPr>
        <w:t>Descarga: la acción de verter aguas residuales al sistema de alcantarillado o</w:t>
      </w:r>
      <w:r>
        <w:rPr>
          <w:spacing w:val="-23"/>
          <w:sz w:val="24"/>
        </w:rPr>
        <w:t> </w:t>
      </w:r>
      <w:r>
        <w:rPr>
          <w:sz w:val="24"/>
        </w:rPr>
        <w:t>drenaje.</w:t>
      </w:r>
    </w:p>
    <w:p>
      <w:pPr>
        <w:pStyle w:val="ListParagraph"/>
        <w:numPr>
          <w:ilvl w:val="0"/>
          <w:numId w:val="60"/>
        </w:numPr>
        <w:tabs>
          <w:tab w:pos="967" w:val="left" w:leader="none"/>
        </w:tabs>
        <w:spacing w:line="240" w:lineRule="auto" w:before="120" w:after="0"/>
        <w:ind w:left="966" w:right="431" w:hanging="567"/>
        <w:jc w:val="both"/>
        <w:rPr>
          <w:sz w:val="24"/>
        </w:rPr>
      </w:pPr>
      <w:r>
        <w:rPr>
          <w:sz w:val="24"/>
        </w:rPr>
        <w:t>Aguas residuales: los líquidos de composición variada provenientes de las descargas de los usos industriales, comerciales, </w:t>
      </w:r>
      <w:r>
        <w:rPr>
          <w:spacing w:val="2"/>
          <w:sz w:val="24"/>
        </w:rPr>
        <w:t>de </w:t>
      </w:r>
      <w:r>
        <w:rPr>
          <w:sz w:val="24"/>
        </w:rPr>
        <w:t>servicios, agrícolas, pecuarios, domésticos, de tratamiento de aguas incluyendo fraccionamientos, y en general </w:t>
      </w:r>
      <w:r>
        <w:rPr>
          <w:spacing w:val="4"/>
          <w:sz w:val="24"/>
        </w:rPr>
        <w:t>de </w:t>
      </w:r>
      <w:r>
        <w:rPr>
          <w:sz w:val="24"/>
        </w:rPr>
        <w:t>cualquier uso, así como la mezcla de</w:t>
      </w:r>
      <w:r>
        <w:rPr>
          <w:spacing w:val="-3"/>
          <w:sz w:val="24"/>
        </w:rPr>
        <w:t> </w:t>
      </w:r>
      <w:r>
        <w:rPr>
          <w:sz w:val="24"/>
        </w:rPr>
        <w:t>ellas.</w:t>
      </w:r>
    </w:p>
    <w:p>
      <w:pPr>
        <w:pStyle w:val="BodyText"/>
        <w:spacing w:before="118"/>
        <w:ind w:left="966" w:right="432"/>
        <w:jc w:val="both"/>
      </w:pPr>
      <w:r>
        <w:rPr/>
        <w:t>Cuando el Usuario no separe el agua pluvial de las residuales (sanitaria), la totalidad de la descarga se considerará para los efectos de esta Ley como aguas residuales.</w:t>
      </w:r>
    </w:p>
    <w:p>
      <w:pPr>
        <w:pStyle w:val="ListParagraph"/>
        <w:numPr>
          <w:ilvl w:val="0"/>
          <w:numId w:val="60"/>
        </w:numPr>
        <w:tabs>
          <w:tab w:pos="967" w:val="left" w:leader="none"/>
        </w:tabs>
        <w:spacing w:line="240" w:lineRule="auto" w:before="120" w:after="0"/>
        <w:ind w:left="966" w:right="431" w:hanging="567"/>
        <w:jc w:val="both"/>
        <w:rPr>
          <w:sz w:val="24"/>
        </w:rPr>
      </w:pPr>
      <w:r>
        <w:rPr>
          <w:sz w:val="24"/>
        </w:rPr>
        <w:t>Condiciones particulares de descarga: el conjunto de parámetros físicos, químicos y biológicos y de sus niveles máximos permitidos en las descargas de agua residual, fijados por el Sistema </w:t>
      </w:r>
      <w:r>
        <w:rPr>
          <w:spacing w:val="2"/>
          <w:sz w:val="24"/>
        </w:rPr>
        <w:t>Operador </w:t>
      </w:r>
      <w:r>
        <w:rPr>
          <w:sz w:val="24"/>
        </w:rPr>
        <w:t>para un Usuario o grupo de Usuarios, para un determinado uso, con el fin de preservar y controlar la calidad de las aguas conforme a las normas oficiales</w:t>
      </w:r>
      <w:r>
        <w:rPr>
          <w:spacing w:val="-8"/>
          <w:sz w:val="24"/>
        </w:rPr>
        <w:t> </w:t>
      </w:r>
      <w:r>
        <w:rPr>
          <w:sz w:val="24"/>
        </w:rPr>
        <w:t>mexicanas.</w:t>
      </w:r>
    </w:p>
    <w:p>
      <w:pPr>
        <w:pStyle w:val="ListParagraph"/>
        <w:numPr>
          <w:ilvl w:val="0"/>
          <w:numId w:val="60"/>
        </w:numPr>
        <w:tabs>
          <w:tab w:pos="967" w:val="left" w:leader="none"/>
        </w:tabs>
        <w:spacing w:line="240" w:lineRule="auto" w:before="120" w:after="0"/>
        <w:ind w:left="966" w:right="431" w:hanging="567"/>
        <w:jc w:val="both"/>
        <w:rPr>
          <w:sz w:val="24"/>
        </w:rPr>
      </w:pPr>
      <w:r>
        <w:rPr>
          <w:sz w:val="24"/>
        </w:rPr>
        <w:t>Contaminantes básicos: son aquellos compuestos que se presentan en las descargas de aguas residuales y pueden ser removidos o estabilizados mediante tratamientos convencionales. Se consideran las grasas y aceites y los sólidos suspendidos</w:t>
      </w:r>
      <w:r>
        <w:rPr>
          <w:spacing w:val="-13"/>
          <w:sz w:val="24"/>
        </w:rPr>
        <w:t> </w:t>
      </w:r>
      <w:r>
        <w:rPr>
          <w:sz w:val="24"/>
        </w:rPr>
        <w:t>totales,</w:t>
      </w:r>
    </w:p>
    <w:p>
      <w:pPr>
        <w:spacing w:after="0" w:line="240" w:lineRule="auto"/>
        <w:jc w:val="both"/>
        <w:rPr>
          <w:sz w:val="24"/>
        </w:rPr>
        <w:sectPr>
          <w:pgSz w:w="12250" w:h="15850"/>
          <w:pgMar w:header="730" w:footer="0" w:top="1000" w:bottom="280" w:left="860" w:right="820"/>
        </w:sectPr>
      </w:pPr>
    </w:p>
    <w:p>
      <w:pPr>
        <w:pStyle w:val="BodyText"/>
        <w:spacing w:before="183"/>
        <w:ind w:left="966" w:right="431"/>
        <w:jc w:val="both"/>
      </w:pPr>
      <w:r>
        <w:rPr/>
        <w:t>la demanda bioquímica de oxigeno total, los sólidos sedimentables el nitrógeno total y el fósforo total.</w:t>
      </w:r>
    </w:p>
    <w:p>
      <w:pPr>
        <w:pStyle w:val="ListParagraph"/>
        <w:numPr>
          <w:ilvl w:val="0"/>
          <w:numId w:val="60"/>
        </w:numPr>
        <w:tabs>
          <w:tab w:pos="967" w:val="left" w:leader="none"/>
        </w:tabs>
        <w:spacing w:line="240" w:lineRule="auto" w:before="120" w:after="0"/>
        <w:ind w:left="966" w:right="431" w:hanging="567"/>
        <w:jc w:val="both"/>
        <w:rPr>
          <w:sz w:val="24"/>
        </w:rPr>
      </w:pPr>
      <w:r>
        <w:rPr>
          <w:sz w:val="24"/>
        </w:rPr>
        <w:t>Metales pesados y cianuros: son aquellos elementos o compuestos que en concentraciones por encima de determinados límites pueden producir efectos negativos para la salud humana, la flora o la fauna. </w:t>
      </w:r>
      <w:r>
        <w:rPr>
          <w:spacing w:val="-3"/>
          <w:sz w:val="24"/>
        </w:rPr>
        <w:t>Se </w:t>
      </w:r>
      <w:r>
        <w:rPr>
          <w:sz w:val="24"/>
        </w:rPr>
        <w:t>consideran el arsénico, cadmio, cobre y cromo, mercurio, níquel, plomo, zinc y los</w:t>
      </w:r>
      <w:r>
        <w:rPr>
          <w:spacing w:val="-7"/>
          <w:sz w:val="24"/>
        </w:rPr>
        <w:t> </w:t>
      </w:r>
      <w:r>
        <w:rPr>
          <w:sz w:val="24"/>
        </w:rPr>
        <w:t>cianuros.</w:t>
      </w:r>
    </w:p>
    <w:p>
      <w:pPr>
        <w:pStyle w:val="ListParagraph"/>
        <w:numPr>
          <w:ilvl w:val="0"/>
          <w:numId w:val="60"/>
        </w:numPr>
        <w:tabs>
          <w:tab w:pos="967" w:val="left" w:leader="none"/>
        </w:tabs>
        <w:spacing w:line="240" w:lineRule="auto" w:before="120" w:after="0"/>
        <w:ind w:left="966" w:right="432" w:hanging="567"/>
        <w:jc w:val="both"/>
        <w:rPr>
          <w:sz w:val="24"/>
        </w:rPr>
      </w:pPr>
      <w:r>
        <w:rPr/>
        <w:drawing>
          <wp:anchor distT="0" distB="0" distL="0" distR="0" allowOverlap="1" layoutInCell="1" locked="0" behindDoc="1" simplePos="0" relativeHeight="227534848">
            <wp:simplePos x="0" y="0"/>
            <wp:positionH relativeFrom="page">
              <wp:posOffset>1239220</wp:posOffset>
            </wp:positionH>
            <wp:positionV relativeFrom="paragraph">
              <wp:posOffset>166317</wp:posOffset>
            </wp:positionV>
            <wp:extent cx="5022641" cy="5144769"/>
            <wp:effectExtent l="0" t="0" r="0" b="0"/>
            <wp:wrapNone/>
            <wp:docPr id="131" name="image61.png"/>
            <wp:cNvGraphicFramePr>
              <a:graphicFrameLocks noChangeAspect="1"/>
            </wp:cNvGraphicFramePr>
            <a:graphic>
              <a:graphicData uri="http://schemas.openxmlformats.org/drawingml/2006/picture">
                <pic:pic>
                  <pic:nvPicPr>
                    <pic:cNvPr id="132" name="image61.png"/>
                    <pic:cNvPicPr/>
                  </pic:nvPicPr>
                  <pic:blipFill>
                    <a:blip r:embed="rId71" cstate="print"/>
                    <a:stretch>
                      <a:fillRect/>
                    </a:stretch>
                  </pic:blipFill>
                  <pic:spPr>
                    <a:xfrm>
                      <a:off x="0" y="0"/>
                      <a:ext cx="5022641" cy="5144769"/>
                    </a:xfrm>
                    <a:prstGeom prst="rect">
                      <a:avLst/>
                    </a:prstGeom>
                  </pic:spPr>
                </pic:pic>
              </a:graphicData>
            </a:graphic>
          </wp:anchor>
        </w:drawing>
      </w:r>
      <w:r>
        <w:rPr>
          <w:sz w:val="24"/>
        </w:rPr>
        <w:t>Carga de Contaminantes: Cantidad de un contaminante expresado en unidades de masa por unidad de tiempo, aportada en una descarga de aguas</w:t>
      </w:r>
      <w:r>
        <w:rPr>
          <w:spacing w:val="-7"/>
          <w:sz w:val="24"/>
        </w:rPr>
        <w:t> </w:t>
      </w:r>
      <w:r>
        <w:rPr>
          <w:sz w:val="24"/>
        </w:rPr>
        <w:t>residuales.</w:t>
      </w:r>
    </w:p>
    <w:p>
      <w:pPr>
        <w:pStyle w:val="ListParagraph"/>
        <w:numPr>
          <w:ilvl w:val="0"/>
          <w:numId w:val="60"/>
        </w:numPr>
        <w:tabs>
          <w:tab w:pos="967" w:val="left" w:leader="none"/>
        </w:tabs>
        <w:spacing w:line="240" w:lineRule="auto" w:before="120" w:after="0"/>
        <w:ind w:left="966" w:right="430" w:hanging="567"/>
        <w:jc w:val="both"/>
        <w:rPr>
          <w:sz w:val="24"/>
        </w:rPr>
      </w:pPr>
      <w:r>
        <w:rPr>
          <w:sz w:val="24"/>
        </w:rPr>
        <w:t>Índice de incumplimiento: Cantidad de veces que la concentración de cada contaminante en las descargas de agua residuales vertidas rebasa los límites máximos permisibles establecidos en la ley </w:t>
      </w:r>
      <w:r>
        <w:rPr>
          <w:spacing w:val="-7"/>
          <w:sz w:val="24"/>
        </w:rPr>
        <w:t>correspondiente, </w:t>
      </w:r>
      <w:r>
        <w:rPr>
          <w:sz w:val="24"/>
        </w:rPr>
        <w:t>lo cual se obtiene de la diferencia entre la concentración de contaminantes de las descargas de agua residuales y la concentración establecida como límite máximo permisible, dividida por esta</w:t>
      </w:r>
      <w:r>
        <w:rPr>
          <w:spacing w:val="-1"/>
          <w:sz w:val="24"/>
        </w:rPr>
        <w:t> </w:t>
      </w:r>
      <w:r>
        <w:rPr>
          <w:sz w:val="24"/>
        </w:rPr>
        <w:t>última.</w:t>
      </w:r>
    </w:p>
    <w:p>
      <w:pPr>
        <w:pStyle w:val="BodyText"/>
        <w:spacing w:before="1"/>
      </w:pPr>
    </w:p>
    <w:p>
      <w:pPr>
        <w:pStyle w:val="Heading1"/>
        <w:numPr>
          <w:ilvl w:val="1"/>
          <w:numId w:val="55"/>
        </w:numPr>
        <w:tabs>
          <w:tab w:pos="967" w:val="left" w:leader="none"/>
        </w:tabs>
        <w:spacing w:line="240" w:lineRule="auto" w:before="0" w:after="0"/>
        <w:ind w:left="966" w:right="0" w:hanging="567"/>
        <w:jc w:val="left"/>
      </w:pPr>
      <w:r>
        <w:rPr/>
        <w:t>Costo de agua residual</w:t>
      </w:r>
      <w:r>
        <w:rPr>
          <w:spacing w:val="-1"/>
        </w:rPr>
        <w:t> </w:t>
      </w:r>
      <w:r>
        <w:rPr/>
        <w:t>tratada.</w:t>
      </w:r>
    </w:p>
    <w:p>
      <w:pPr>
        <w:pStyle w:val="BodyText"/>
        <w:rPr>
          <w:b/>
        </w:rPr>
      </w:pPr>
    </w:p>
    <w:p>
      <w:pPr>
        <w:pStyle w:val="BodyText"/>
        <w:ind w:left="400" w:right="431"/>
        <w:jc w:val="both"/>
      </w:pPr>
      <w:r>
        <w:rPr/>
        <w:t>Para la venta del agua tratada el Usuario deberá presentar un manifiesto en las oficinas  del Sistema </w:t>
      </w:r>
      <w:r>
        <w:rPr>
          <w:spacing w:val="-3"/>
        </w:rPr>
        <w:t>Operador </w:t>
      </w:r>
      <w:r>
        <w:rPr/>
        <w:t>sobre el uso o destino del líquido, y el costo por metro cubico de agua tratada será de $10.00, más el</w:t>
      </w:r>
      <w:r>
        <w:rPr>
          <w:spacing w:val="-4"/>
        </w:rPr>
        <w:t> </w:t>
      </w:r>
      <w:r>
        <w:rPr/>
        <w:t>IVA.</w:t>
      </w:r>
    </w:p>
    <w:p>
      <w:pPr>
        <w:pStyle w:val="BodyText"/>
      </w:pPr>
    </w:p>
    <w:p>
      <w:pPr>
        <w:pStyle w:val="Heading1"/>
        <w:numPr>
          <w:ilvl w:val="0"/>
          <w:numId w:val="55"/>
        </w:numPr>
        <w:tabs>
          <w:tab w:pos="966" w:val="left" w:leader="none"/>
          <w:tab w:pos="967" w:val="left" w:leader="none"/>
        </w:tabs>
        <w:spacing w:line="240" w:lineRule="auto" w:before="0" w:after="0"/>
        <w:ind w:left="966" w:right="0" w:hanging="567"/>
        <w:jc w:val="left"/>
      </w:pPr>
      <w:r>
        <w:rPr/>
        <w:t>COSTOS POR EL SERVICIO DE CONEXIÓN DE AGUA POTABLE Y</w:t>
      </w:r>
      <w:r>
        <w:rPr>
          <w:spacing w:val="-4"/>
        </w:rPr>
        <w:t> </w:t>
      </w:r>
      <w:r>
        <w:rPr/>
        <w:t>DRENAJE.</w:t>
      </w:r>
    </w:p>
    <w:p>
      <w:pPr>
        <w:pStyle w:val="ListParagraph"/>
        <w:numPr>
          <w:ilvl w:val="1"/>
          <w:numId w:val="55"/>
        </w:numPr>
        <w:tabs>
          <w:tab w:pos="967" w:val="left" w:leader="none"/>
        </w:tabs>
        <w:spacing w:line="240" w:lineRule="auto" w:before="0" w:after="0"/>
        <w:ind w:left="966" w:right="0" w:hanging="567"/>
        <w:jc w:val="left"/>
        <w:rPr>
          <w:b/>
          <w:sz w:val="24"/>
        </w:rPr>
      </w:pPr>
      <w:r>
        <w:rPr>
          <w:b/>
          <w:sz w:val="24"/>
        </w:rPr>
        <w:t>Pago de derechos de</w:t>
      </w:r>
      <w:r>
        <w:rPr>
          <w:b/>
          <w:spacing w:val="-3"/>
          <w:sz w:val="24"/>
        </w:rPr>
        <w:t> </w:t>
      </w:r>
      <w:r>
        <w:rPr>
          <w:b/>
          <w:sz w:val="24"/>
        </w:rPr>
        <w:t>conexión.</w:t>
      </w:r>
    </w:p>
    <w:p>
      <w:pPr>
        <w:pStyle w:val="BodyText"/>
        <w:spacing w:before="1"/>
        <w:rPr>
          <w:b/>
        </w:rPr>
      </w:pPr>
    </w:p>
    <w:p>
      <w:pPr>
        <w:pStyle w:val="BodyText"/>
        <w:ind w:left="400" w:right="431"/>
        <w:jc w:val="both"/>
      </w:pPr>
      <w:r>
        <w:rPr/>
        <w:t>Los Usuarios o solicitantes de los servicios de agua potable en observancia y  cumplimiento a lo dispuesto por los artículos 60, 61, 63, 64, 65, 66, 67, 68, 88, Fracción I, Incisos b y c, y demás relativos de la Ley de Agua Potable y Alcantarillado del Estado de Nayarit, deberán realizar el pago de los Derechos de Conexión a la Red de Agua Potable como se establece en las tarifas siguientes, de acuerdo a la clasificación reglamentada, en tomas de hasta ½ pulgada de diámetro o</w:t>
      </w:r>
      <w:r>
        <w:rPr>
          <w:spacing w:val="-4"/>
        </w:rPr>
        <w:t> </w:t>
      </w:r>
      <w:r>
        <w:rPr/>
        <w:t>13mm.</w:t>
      </w:r>
    </w:p>
    <w:p>
      <w:pPr>
        <w:pStyle w:val="BodyText"/>
      </w:pPr>
    </w:p>
    <w:p>
      <w:pPr>
        <w:pStyle w:val="BodyText"/>
        <w:ind w:left="400" w:right="429"/>
        <w:jc w:val="both"/>
      </w:pPr>
      <w:r>
        <w:rPr/>
        <w:t>En el caso de los Usuarios que al momento de hacer la contratación ya cuente con los servicios instalados, se cobrará el costo de Derechos de Conexión a la Red de Agua Potable y Alcantarillado más el costo correspondiente de máximo 5 años de agua no facturada. Tratándose de desarrollos residenciales (fraccionamientos), el costo de agua no facturada será a partir de la fecha en que le fuera entregada su vivienda al Usuario.</w:t>
      </w:r>
    </w:p>
    <w:p>
      <w:pPr>
        <w:pStyle w:val="BodyText"/>
        <w:spacing w:before="1"/>
      </w:pPr>
    </w:p>
    <w:p>
      <w:pPr>
        <w:pStyle w:val="Heading1"/>
        <w:ind w:left="400"/>
        <w:jc w:val="both"/>
      </w:pPr>
      <w:r>
        <w:rPr/>
        <w:t>Costos de derechos de conexión de agua potable.</w:t>
      </w:r>
    </w:p>
    <w:p>
      <w:pPr>
        <w:pStyle w:val="BodyText"/>
        <w:spacing w:before="11"/>
        <w:rPr>
          <w:b/>
          <w:sz w:val="23"/>
        </w:rPr>
      </w:pPr>
    </w:p>
    <w:tbl>
      <w:tblPr>
        <w:tblW w:w="0" w:type="auto"/>
        <w:jc w:val="left"/>
        <w:tblInd w:w="9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24"/>
        <w:gridCol w:w="3687"/>
      </w:tblGrid>
      <w:tr>
        <w:trPr>
          <w:trHeight w:val="276" w:hRule="atLeast"/>
        </w:trPr>
        <w:tc>
          <w:tcPr>
            <w:tcW w:w="5024" w:type="dxa"/>
            <w:tcBorders>
              <w:left w:val="single" w:sz="8" w:space="0" w:color="000000"/>
              <w:bottom w:val="single" w:sz="8" w:space="0" w:color="000000"/>
              <w:right w:val="single" w:sz="8" w:space="0" w:color="000000"/>
            </w:tcBorders>
          </w:tcPr>
          <w:p>
            <w:pPr>
              <w:pStyle w:val="TableParagraph"/>
              <w:spacing w:line="257" w:lineRule="exact"/>
              <w:ind w:left="1750" w:right="1732"/>
              <w:jc w:val="center"/>
              <w:rPr>
                <w:b/>
                <w:sz w:val="24"/>
              </w:rPr>
            </w:pPr>
            <w:r>
              <w:rPr>
                <w:b/>
                <w:sz w:val="24"/>
              </w:rPr>
              <w:t>Clasificación</w:t>
            </w:r>
          </w:p>
        </w:tc>
        <w:tc>
          <w:tcPr>
            <w:tcW w:w="3687" w:type="dxa"/>
            <w:tcBorders>
              <w:left w:val="single" w:sz="8" w:space="0" w:color="000000"/>
              <w:bottom w:val="single" w:sz="8" w:space="0" w:color="000000"/>
              <w:right w:val="single" w:sz="8" w:space="0" w:color="000000"/>
            </w:tcBorders>
          </w:tcPr>
          <w:p>
            <w:pPr>
              <w:pStyle w:val="TableParagraph"/>
              <w:spacing w:line="257" w:lineRule="exact"/>
              <w:ind w:left="1285" w:right="1265"/>
              <w:jc w:val="center"/>
              <w:rPr>
                <w:b/>
                <w:sz w:val="24"/>
              </w:rPr>
            </w:pPr>
            <w:r>
              <w:rPr>
                <w:b/>
                <w:sz w:val="24"/>
              </w:rPr>
              <w:t>Importe</w:t>
            </w:r>
          </w:p>
        </w:tc>
      </w:tr>
      <w:tr>
        <w:trPr>
          <w:trHeight w:val="277"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Domestico básico</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1281" w:right="1269"/>
              <w:jc w:val="center"/>
              <w:rPr>
                <w:sz w:val="24"/>
              </w:rPr>
            </w:pPr>
            <w:r>
              <w:rPr>
                <w:sz w:val="24"/>
              </w:rPr>
              <w:t>$ 419.00</w:t>
            </w:r>
          </w:p>
        </w:tc>
      </w:tr>
      <w:tr>
        <w:trPr>
          <w:trHeight w:val="275"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Domestico medio</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281" w:right="1269"/>
              <w:jc w:val="center"/>
              <w:rPr>
                <w:sz w:val="24"/>
              </w:rPr>
            </w:pPr>
            <w:r>
              <w:rPr>
                <w:sz w:val="24"/>
              </w:rPr>
              <w:t>$ 676.00</w:t>
            </w:r>
          </w:p>
        </w:tc>
      </w:tr>
      <w:tr>
        <w:trPr>
          <w:trHeight w:val="275"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Domestico residencial</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280" w:right="1269"/>
              <w:jc w:val="center"/>
              <w:rPr>
                <w:sz w:val="24"/>
              </w:rPr>
            </w:pPr>
            <w:r>
              <w:rPr>
                <w:sz w:val="24"/>
              </w:rPr>
              <w:t>$1,351.00</w:t>
            </w:r>
          </w:p>
        </w:tc>
      </w:tr>
      <w:tr>
        <w:trPr>
          <w:trHeight w:val="277"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Comercial “A” hasta30m2</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1285" w:right="1265"/>
              <w:jc w:val="center"/>
              <w:rPr>
                <w:sz w:val="24"/>
              </w:rPr>
            </w:pPr>
            <w:r>
              <w:rPr>
                <w:sz w:val="24"/>
              </w:rPr>
              <w:t>$1,184.00</w:t>
            </w:r>
          </w:p>
        </w:tc>
      </w:tr>
      <w:tr>
        <w:trPr>
          <w:trHeight w:val="275"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9"/>
              <w:rPr>
                <w:sz w:val="24"/>
              </w:rPr>
            </w:pPr>
            <w:r>
              <w:rPr>
                <w:sz w:val="24"/>
              </w:rPr>
              <w:t>Comercial “B” hasta200mts2</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ind w:left="1285" w:right="1265"/>
              <w:jc w:val="center"/>
              <w:rPr>
                <w:sz w:val="24"/>
              </w:rPr>
            </w:pPr>
            <w:r>
              <w:rPr>
                <w:sz w:val="24"/>
              </w:rPr>
              <w:t>$1,614.00</w:t>
            </w:r>
          </w:p>
        </w:tc>
      </w:tr>
      <w:tr>
        <w:trPr>
          <w:trHeight w:val="269" w:hRule="atLeast"/>
        </w:trPr>
        <w:tc>
          <w:tcPr>
            <w:tcW w:w="5024" w:type="dxa"/>
            <w:tcBorders>
              <w:top w:val="single" w:sz="8" w:space="0" w:color="000000"/>
              <w:left w:val="single" w:sz="8" w:space="0" w:color="000000"/>
              <w:right w:val="single" w:sz="8" w:space="0" w:color="000000"/>
            </w:tcBorders>
          </w:tcPr>
          <w:p>
            <w:pPr>
              <w:pStyle w:val="TableParagraph"/>
              <w:spacing w:line="249" w:lineRule="exact"/>
              <w:ind w:left="9"/>
              <w:rPr>
                <w:sz w:val="24"/>
              </w:rPr>
            </w:pPr>
            <w:r>
              <w:rPr>
                <w:sz w:val="24"/>
              </w:rPr>
              <w:t>Comercial “C” hasta300mts2</w:t>
            </w:r>
          </w:p>
        </w:tc>
        <w:tc>
          <w:tcPr>
            <w:tcW w:w="3687" w:type="dxa"/>
            <w:tcBorders>
              <w:top w:val="single" w:sz="8" w:space="0" w:color="000000"/>
              <w:left w:val="single" w:sz="8" w:space="0" w:color="000000"/>
              <w:right w:val="single" w:sz="8" w:space="0" w:color="000000"/>
            </w:tcBorders>
          </w:tcPr>
          <w:p>
            <w:pPr>
              <w:pStyle w:val="TableParagraph"/>
              <w:spacing w:line="249" w:lineRule="exact"/>
              <w:ind w:left="1280" w:right="1269"/>
              <w:jc w:val="center"/>
              <w:rPr>
                <w:sz w:val="24"/>
              </w:rPr>
            </w:pPr>
            <w:r>
              <w:rPr>
                <w:sz w:val="24"/>
              </w:rPr>
              <w:t>$3,020.00</w:t>
            </w:r>
          </w:p>
        </w:tc>
      </w:tr>
      <w:tr>
        <w:trPr>
          <w:trHeight w:val="276" w:hRule="atLeast"/>
        </w:trPr>
        <w:tc>
          <w:tcPr>
            <w:tcW w:w="5024" w:type="dxa"/>
            <w:tcBorders>
              <w:left w:val="single" w:sz="8" w:space="0" w:color="000000"/>
              <w:bottom w:val="single" w:sz="8" w:space="0" w:color="000000"/>
              <w:right w:val="single" w:sz="8" w:space="0" w:color="000000"/>
            </w:tcBorders>
          </w:tcPr>
          <w:p>
            <w:pPr>
              <w:pStyle w:val="TableParagraph"/>
              <w:spacing w:line="257" w:lineRule="exact"/>
              <w:ind w:left="9"/>
              <w:rPr>
                <w:sz w:val="24"/>
              </w:rPr>
            </w:pPr>
            <w:r>
              <w:rPr>
                <w:sz w:val="24"/>
              </w:rPr>
              <w:t>Comercial “D” hasta400mts2</w:t>
            </w:r>
          </w:p>
        </w:tc>
        <w:tc>
          <w:tcPr>
            <w:tcW w:w="3687" w:type="dxa"/>
            <w:tcBorders>
              <w:left w:val="single" w:sz="8" w:space="0" w:color="000000"/>
              <w:bottom w:val="single" w:sz="8" w:space="0" w:color="000000"/>
              <w:right w:val="single" w:sz="8" w:space="0" w:color="000000"/>
            </w:tcBorders>
          </w:tcPr>
          <w:p>
            <w:pPr>
              <w:pStyle w:val="TableParagraph"/>
              <w:spacing w:line="257" w:lineRule="exact"/>
              <w:ind w:left="1280" w:right="1269"/>
              <w:jc w:val="center"/>
              <w:rPr>
                <w:sz w:val="24"/>
              </w:rPr>
            </w:pPr>
            <w:r>
              <w:rPr>
                <w:sz w:val="24"/>
              </w:rPr>
              <w:t>$4,186.00</w:t>
            </w:r>
          </w:p>
        </w:tc>
      </w:tr>
    </w:tbl>
    <w:p>
      <w:pPr>
        <w:spacing w:after="0" w:line="257" w:lineRule="exact"/>
        <w:jc w:val="center"/>
        <w:rPr>
          <w:sz w:val="24"/>
        </w:rPr>
        <w:sectPr>
          <w:pgSz w:w="12250" w:h="15850"/>
          <w:pgMar w:header="730" w:footer="0" w:top="1000" w:bottom="280" w:left="860" w:right="820"/>
        </w:sectPr>
      </w:pPr>
    </w:p>
    <w:p>
      <w:pPr>
        <w:pStyle w:val="BodyText"/>
        <w:spacing w:before="1"/>
        <w:rPr>
          <w:b/>
          <w:sz w:val="17"/>
        </w:rPr>
      </w:pPr>
    </w:p>
    <w:tbl>
      <w:tblPr>
        <w:tblW w:w="0" w:type="auto"/>
        <w:jc w:val="left"/>
        <w:tblInd w:w="9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024"/>
        <w:gridCol w:w="3687"/>
      </w:tblGrid>
      <w:tr>
        <w:trPr>
          <w:trHeight w:val="276" w:hRule="atLeast"/>
        </w:trPr>
        <w:tc>
          <w:tcPr>
            <w:tcW w:w="5024" w:type="dxa"/>
            <w:tcBorders>
              <w:left w:val="single" w:sz="8" w:space="0" w:color="000000"/>
              <w:bottom w:val="single" w:sz="8" w:space="0" w:color="000000"/>
              <w:right w:val="single" w:sz="8" w:space="0" w:color="000000"/>
            </w:tcBorders>
          </w:tcPr>
          <w:p>
            <w:pPr>
              <w:pStyle w:val="TableParagraph"/>
              <w:spacing w:line="257" w:lineRule="exact"/>
              <w:ind w:left="1750" w:right="1732"/>
              <w:jc w:val="center"/>
              <w:rPr>
                <w:b/>
                <w:sz w:val="24"/>
              </w:rPr>
            </w:pPr>
            <w:r>
              <w:rPr>
                <w:b/>
                <w:sz w:val="24"/>
              </w:rPr>
              <w:t>Clasificación</w:t>
            </w:r>
          </w:p>
        </w:tc>
        <w:tc>
          <w:tcPr>
            <w:tcW w:w="3687" w:type="dxa"/>
            <w:tcBorders>
              <w:left w:val="single" w:sz="8" w:space="0" w:color="000000"/>
              <w:bottom w:val="single" w:sz="8" w:space="0" w:color="000000"/>
              <w:right w:val="single" w:sz="8" w:space="0" w:color="000000"/>
            </w:tcBorders>
          </w:tcPr>
          <w:p>
            <w:pPr>
              <w:pStyle w:val="TableParagraph"/>
              <w:spacing w:line="257" w:lineRule="exact"/>
              <w:ind w:left="1285" w:right="1265"/>
              <w:jc w:val="center"/>
              <w:rPr>
                <w:b/>
                <w:sz w:val="24"/>
              </w:rPr>
            </w:pPr>
            <w:r>
              <w:rPr>
                <w:b/>
                <w:sz w:val="24"/>
              </w:rPr>
              <w:t>Importe</w:t>
            </w:r>
          </w:p>
        </w:tc>
      </w:tr>
      <w:tr>
        <w:trPr>
          <w:trHeight w:val="277"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Industrial “A” hasta500mts2</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1285" w:right="1265"/>
              <w:jc w:val="center"/>
              <w:rPr>
                <w:sz w:val="24"/>
              </w:rPr>
            </w:pPr>
            <w:r>
              <w:rPr>
                <w:sz w:val="24"/>
              </w:rPr>
              <w:t>$5,381.00</w:t>
            </w:r>
          </w:p>
        </w:tc>
      </w:tr>
      <w:tr>
        <w:trPr>
          <w:trHeight w:val="271"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2" w:lineRule="exact"/>
              <w:ind w:left="9"/>
              <w:rPr>
                <w:sz w:val="24"/>
              </w:rPr>
            </w:pPr>
            <w:r>
              <w:rPr>
                <w:sz w:val="24"/>
              </w:rPr>
              <w:t>Industrial “B” hasta700mts2</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2" w:lineRule="exact"/>
              <w:ind w:left="1280" w:right="1269"/>
              <w:jc w:val="center"/>
              <w:rPr>
                <w:sz w:val="24"/>
              </w:rPr>
            </w:pPr>
            <w:r>
              <w:rPr>
                <w:sz w:val="24"/>
              </w:rPr>
              <w:t>$6,577.00</w:t>
            </w:r>
          </w:p>
        </w:tc>
      </w:tr>
      <w:tr>
        <w:trPr>
          <w:trHeight w:val="278" w:hRule="atLeast"/>
        </w:trPr>
        <w:tc>
          <w:tcPr>
            <w:tcW w:w="5024" w:type="dxa"/>
            <w:tcBorders>
              <w:top w:val="single" w:sz="8" w:space="0" w:color="000000"/>
              <w:left w:val="single" w:sz="8" w:space="0" w:color="000000"/>
              <w:bottom w:val="single" w:sz="8" w:space="0" w:color="000000"/>
              <w:right w:val="single" w:sz="8" w:space="0" w:color="000000"/>
            </w:tcBorders>
          </w:tcPr>
          <w:p>
            <w:pPr>
              <w:pStyle w:val="TableParagraph"/>
              <w:spacing w:line="259" w:lineRule="exact"/>
              <w:ind w:left="9"/>
              <w:rPr>
                <w:sz w:val="24"/>
              </w:rPr>
            </w:pPr>
            <w:r>
              <w:rPr>
                <w:sz w:val="24"/>
              </w:rPr>
              <w:t>Industrial “C” más de701mts2</w:t>
            </w:r>
          </w:p>
        </w:tc>
        <w:tc>
          <w:tcPr>
            <w:tcW w:w="3687" w:type="dxa"/>
            <w:tcBorders>
              <w:top w:val="single" w:sz="8" w:space="0" w:color="000000"/>
              <w:left w:val="single" w:sz="8" w:space="0" w:color="000000"/>
              <w:bottom w:val="single" w:sz="8" w:space="0" w:color="000000"/>
              <w:right w:val="single" w:sz="8" w:space="0" w:color="000000"/>
            </w:tcBorders>
          </w:tcPr>
          <w:p>
            <w:pPr>
              <w:pStyle w:val="TableParagraph"/>
              <w:spacing w:line="259" w:lineRule="exact"/>
              <w:ind w:left="1280" w:right="1269"/>
              <w:jc w:val="center"/>
              <w:rPr>
                <w:sz w:val="24"/>
              </w:rPr>
            </w:pPr>
            <w:r>
              <w:rPr>
                <w:sz w:val="24"/>
              </w:rPr>
              <w:t>$7,773.00</w:t>
            </w:r>
          </w:p>
        </w:tc>
      </w:tr>
    </w:tbl>
    <w:p>
      <w:pPr>
        <w:pStyle w:val="BodyText"/>
        <w:rPr>
          <w:b/>
          <w:sz w:val="16"/>
        </w:rPr>
      </w:pPr>
    </w:p>
    <w:p>
      <w:pPr>
        <w:pStyle w:val="BodyText"/>
        <w:spacing w:before="92"/>
        <w:ind w:left="400" w:right="432"/>
        <w:jc w:val="both"/>
      </w:pPr>
      <w:r>
        <w:rPr/>
        <w:drawing>
          <wp:anchor distT="0" distB="0" distL="0" distR="0" allowOverlap="1" layoutInCell="1" locked="0" behindDoc="1" simplePos="0" relativeHeight="227535872">
            <wp:simplePos x="0" y="0"/>
            <wp:positionH relativeFrom="page">
              <wp:posOffset>1252555</wp:posOffset>
            </wp:positionH>
            <wp:positionV relativeFrom="paragraph">
              <wp:posOffset>407617</wp:posOffset>
            </wp:positionV>
            <wp:extent cx="5022641" cy="5144769"/>
            <wp:effectExtent l="0" t="0" r="0" b="0"/>
            <wp:wrapNone/>
            <wp:docPr id="133" name="image62.png"/>
            <wp:cNvGraphicFramePr>
              <a:graphicFrameLocks noChangeAspect="1"/>
            </wp:cNvGraphicFramePr>
            <a:graphic>
              <a:graphicData uri="http://schemas.openxmlformats.org/drawingml/2006/picture">
                <pic:pic>
                  <pic:nvPicPr>
                    <pic:cNvPr id="134" name="image62.png"/>
                    <pic:cNvPicPr/>
                  </pic:nvPicPr>
                  <pic:blipFill>
                    <a:blip r:embed="rId72" cstate="print"/>
                    <a:stretch>
                      <a:fillRect/>
                    </a:stretch>
                  </pic:blipFill>
                  <pic:spPr>
                    <a:xfrm>
                      <a:off x="0" y="0"/>
                      <a:ext cx="5022641" cy="5144769"/>
                    </a:xfrm>
                    <a:prstGeom prst="rect">
                      <a:avLst/>
                    </a:prstGeom>
                  </pic:spPr>
                </pic:pic>
              </a:graphicData>
            </a:graphic>
          </wp:anchor>
        </w:drawing>
      </w:r>
      <w:r>
        <w:rPr/>
        <w:t>Se aplicará el Impuesto al Valor Agregado (IVA) solo a costos de contratación comercial e industrial.</w:t>
      </w:r>
    </w:p>
    <w:p>
      <w:pPr>
        <w:pStyle w:val="BodyText"/>
      </w:pPr>
    </w:p>
    <w:p>
      <w:pPr>
        <w:pStyle w:val="BodyText"/>
        <w:ind w:left="400" w:right="434"/>
        <w:jc w:val="both"/>
      </w:pPr>
      <w:r>
        <w:rPr/>
        <w:t>En caso de que la demanda requiera tomas con mayores diámetros a ½ pulgada o de13 mm, deberán contratar el servicio conforme a la demanda requerida a una tarifa unitaria por litro por segundo, con una base por contratación de</w:t>
      </w:r>
      <w:r>
        <w:rPr>
          <w:spacing w:val="1"/>
        </w:rPr>
        <w:t> </w:t>
      </w:r>
      <w:r>
        <w:rPr/>
        <w:t>$504.00.</w:t>
      </w:r>
    </w:p>
    <w:p>
      <w:pPr>
        <w:pStyle w:val="BodyText"/>
        <w:spacing w:before="9"/>
        <w:rPr>
          <w:sz w:val="23"/>
        </w:rPr>
      </w:pPr>
    </w:p>
    <w:p>
      <w:pPr>
        <w:pStyle w:val="BodyText"/>
        <w:ind w:left="400" w:right="434"/>
        <w:jc w:val="both"/>
      </w:pPr>
      <w:r>
        <w:rPr/>
        <w:t>Los derechos de conexión a la </w:t>
      </w:r>
      <w:r>
        <w:rPr>
          <w:spacing w:val="-2"/>
        </w:rPr>
        <w:t>red </w:t>
      </w:r>
      <w:r>
        <w:rPr/>
        <w:t>de agua potable no incluyen el costo de los materiales ni mano de obra ni medidor, por lo que estos serán cobrados de conformidad con los presupuestos que prepare el </w:t>
      </w:r>
      <w:r>
        <w:rPr>
          <w:spacing w:val="-3"/>
        </w:rPr>
        <w:t>Sistema Operador </w:t>
      </w:r>
      <w:r>
        <w:rPr/>
        <w:t>según las obras a realizar, a fin de llevar a cabo la instalación de la toma o su</w:t>
      </w:r>
      <w:r>
        <w:rPr>
          <w:spacing w:val="4"/>
        </w:rPr>
        <w:t> </w:t>
      </w:r>
      <w:r>
        <w:rPr/>
        <w:t>regularización.</w:t>
      </w:r>
    </w:p>
    <w:p>
      <w:pPr>
        <w:pStyle w:val="BodyText"/>
        <w:spacing w:before="1"/>
      </w:pPr>
    </w:p>
    <w:p>
      <w:pPr>
        <w:pStyle w:val="Heading1"/>
        <w:numPr>
          <w:ilvl w:val="1"/>
          <w:numId w:val="55"/>
        </w:numPr>
        <w:tabs>
          <w:tab w:pos="967" w:val="left" w:leader="none"/>
        </w:tabs>
        <w:spacing w:line="240" w:lineRule="auto" w:before="0" w:after="0"/>
        <w:ind w:left="966" w:right="0" w:hanging="567"/>
        <w:jc w:val="left"/>
      </w:pPr>
      <w:r>
        <w:rPr/>
        <w:t>Pago de derechos de conexión de drenaje y alcantarillado.</w:t>
      </w:r>
    </w:p>
    <w:p>
      <w:pPr>
        <w:pStyle w:val="BodyText"/>
        <w:rPr>
          <w:b/>
        </w:rPr>
      </w:pPr>
    </w:p>
    <w:p>
      <w:pPr>
        <w:pStyle w:val="BodyText"/>
        <w:ind w:left="400" w:right="432"/>
        <w:jc w:val="both"/>
      </w:pPr>
      <w:r>
        <w:rPr/>
        <w:t>Los Usuarios o solicitantes de los servicios de drenaje y alcantarillado, en observancia y cumplimiento de lo dispuesto por los artículos 60, 61, 63, 64, 65, 66, 67, 68, 88 Fracción I, Inciso d, e, f, y demás relativos de la Ley de Agua Potable y Alcantarillado del Estado de Nayarit, deberán realizar el pago de los Derechos de Conexión a la Red de Drenaje y Alcantarillado como se establece en las tarifas siguientes, de acuerdo a la clasificación reglamentada. Para tener derecho a descargar sus aguas negras a la Red Pública de Drenaje Sanitario, los Usuarios deberán salir tener sus instalaciones hasta el registro de banqueta con un diámetro de cuatro pulgadas (4”). Para el registro a la Red Colectora el Sistema Operador realizará la instalación de la descarga con el material y en el diámetro que determinen sus disposiciones técnicas:</w:t>
      </w:r>
    </w:p>
    <w:p>
      <w:pPr>
        <w:pStyle w:val="BodyText"/>
      </w:pPr>
    </w:p>
    <w:tbl>
      <w:tblPr>
        <w:tblW w:w="0" w:type="auto"/>
        <w:jc w:val="left"/>
        <w:tblInd w:w="9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34"/>
        <w:gridCol w:w="2778"/>
      </w:tblGrid>
      <w:tr>
        <w:trPr>
          <w:trHeight w:val="278" w:hRule="atLeast"/>
        </w:trPr>
        <w:tc>
          <w:tcPr>
            <w:tcW w:w="5934" w:type="dxa"/>
            <w:tcBorders>
              <w:left w:val="single" w:sz="8" w:space="0" w:color="000000"/>
              <w:bottom w:val="single" w:sz="8" w:space="0" w:color="000000"/>
              <w:right w:val="single" w:sz="8" w:space="0" w:color="000000"/>
            </w:tcBorders>
          </w:tcPr>
          <w:p>
            <w:pPr>
              <w:pStyle w:val="TableParagraph"/>
              <w:spacing w:line="259" w:lineRule="exact"/>
              <w:ind w:left="2204" w:right="2188"/>
              <w:jc w:val="center"/>
              <w:rPr>
                <w:b/>
                <w:sz w:val="24"/>
              </w:rPr>
            </w:pPr>
            <w:r>
              <w:rPr>
                <w:b/>
                <w:sz w:val="24"/>
              </w:rPr>
              <w:t>Clasificación</w:t>
            </w:r>
          </w:p>
        </w:tc>
        <w:tc>
          <w:tcPr>
            <w:tcW w:w="2778" w:type="dxa"/>
            <w:tcBorders>
              <w:left w:val="single" w:sz="8" w:space="0" w:color="000000"/>
              <w:bottom w:val="single" w:sz="8" w:space="0" w:color="000000"/>
              <w:right w:val="single" w:sz="8" w:space="0" w:color="000000"/>
            </w:tcBorders>
          </w:tcPr>
          <w:p>
            <w:pPr>
              <w:pStyle w:val="TableParagraph"/>
              <w:spacing w:line="259" w:lineRule="exact"/>
              <w:ind w:left="828" w:right="816"/>
              <w:jc w:val="center"/>
              <w:rPr>
                <w:b/>
                <w:sz w:val="24"/>
              </w:rPr>
            </w:pPr>
            <w:r>
              <w:rPr>
                <w:b/>
                <w:sz w:val="24"/>
              </w:rPr>
              <w:t>Importe</w:t>
            </w:r>
          </w:p>
        </w:tc>
      </w:tr>
      <w:tr>
        <w:trPr>
          <w:trHeight w:val="275"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9"/>
              <w:rPr>
                <w:sz w:val="24"/>
              </w:rPr>
            </w:pPr>
            <w:r>
              <w:rPr>
                <w:sz w:val="24"/>
              </w:rPr>
              <w:t>Domestico básico</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827" w:right="819"/>
              <w:jc w:val="center"/>
              <w:rPr>
                <w:sz w:val="24"/>
              </w:rPr>
            </w:pPr>
            <w:r>
              <w:rPr>
                <w:sz w:val="24"/>
              </w:rPr>
              <w:t>$ 419.00</w:t>
            </w:r>
          </w:p>
        </w:tc>
      </w:tr>
      <w:tr>
        <w:trPr>
          <w:trHeight w:val="275"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9"/>
              <w:rPr>
                <w:sz w:val="24"/>
              </w:rPr>
            </w:pPr>
            <w:r>
              <w:rPr>
                <w:sz w:val="24"/>
              </w:rPr>
              <w:t>Domestico medio</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827" w:right="819"/>
              <w:jc w:val="center"/>
              <w:rPr>
                <w:sz w:val="24"/>
              </w:rPr>
            </w:pPr>
            <w:r>
              <w:rPr>
                <w:sz w:val="24"/>
              </w:rPr>
              <w:t>$ 676.00</w:t>
            </w:r>
          </w:p>
        </w:tc>
      </w:tr>
      <w:tr>
        <w:trPr>
          <w:trHeight w:val="277"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9"/>
              <w:rPr>
                <w:sz w:val="24"/>
              </w:rPr>
            </w:pPr>
            <w:r>
              <w:rPr>
                <w:sz w:val="24"/>
              </w:rPr>
              <w:t>Domestico residencial</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5" w:lineRule="exact" w:before="2"/>
              <w:ind w:left="826" w:right="819"/>
              <w:jc w:val="center"/>
              <w:rPr>
                <w:sz w:val="24"/>
              </w:rPr>
            </w:pPr>
            <w:r>
              <w:rPr>
                <w:sz w:val="24"/>
              </w:rPr>
              <w:t>$1,351.00</w:t>
            </w:r>
          </w:p>
        </w:tc>
      </w:tr>
      <w:tr>
        <w:trPr>
          <w:trHeight w:val="275"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9"/>
              <w:rPr>
                <w:sz w:val="24"/>
              </w:rPr>
            </w:pPr>
            <w:r>
              <w:rPr>
                <w:sz w:val="24"/>
              </w:rPr>
              <w:t>Comercial “A” hasta30mts2</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828" w:right="816"/>
              <w:jc w:val="center"/>
              <w:rPr>
                <w:sz w:val="24"/>
              </w:rPr>
            </w:pPr>
            <w:r>
              <w:rPr>
                <w:sz w:val="24"/>
              </w:rPr>
              <w:t>$1,184.00</w:t>
            </w:r>
          </w:p>
        </w:tc>
      </w:tr>
      <w:tr>
        <w:trPr>
          <w:trHeight w:val="275"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9"/>
              <w:rPr>
                <w:sz w:val="24"/>
              </w:rPr>
            </w:pPr>
            <w:r>
              <w:rPr>
                <w:sz w:val="24"/>
              </w:rPr>
              <w:t>Comercial “B” hasta200mts2</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3" w:lineRule="exact" w:before="2"/>
              <w:ind w:left="828" w:right="816"/>
              <w:jc w:val="center"/>
              <w:rPr>
                <w:sz w:val="24"/>
              </w:rPr>
            </w:pPr>
            <w:r>
              <w:rPr>
                <w:sz w:val="24"/>
              </w:rPr>
              <w:t>$1,614.00</w:t>
            </w:r>
          </w:p>
        </w:tc>
      </w:tr>
      <w:tr>
        <w:trPr>
          <w:trHeight w:val="329" w:hRule="atLeast"/>
        </w:trPr>
        <w:tc>
          <w:tcPr>
            <w:tcW w:w="5934" w:type="dxa"/>
            <w:tcBorders>
              <w:top w:val="single" w:sz="8" w:space="0" w:color="000000"/>
              <w:left w:val="single" w:sz="8" w:space="0" w:color="000000"/>
              <w:bottom w:val="single" w:sz="12" w:space="0" w:color="000000"/>
              <w:right w:val="single" w:sz="8" w:space="0" w:color="000000"/>
            </w:tcBorders>
          </w:tcPr>
          <w:p>
            <w:pPr>
              <w:pStyle w:val="TableParagraph"/>
              <w:spacing w:before="3"/>
              <w:ind w:left="9"/>
              <w:rPr>
                <w:sz w:val="24"/>
              </w:rPr>
            </w:pPr>
            <w:r>
              <w:rPr>
                <w:sz w:val="24"/>
              </w:rPr>
              <w:t>Comercial “C” hasta300mts2</w:t>
            </w:r>
          </w:p>
        </w:tc>
        <w:tc>
          <w:tcPr>
            <w:tcW w:w="2778" w:type="dxa"/>
            <w:tcBorders>
              <w:top w:val="single" w:sz="8" w:space="0" w:color="000000"/>
              <w:left w:val="single" w:sz="8" w:space="0" w:color="000000"/>
              <w:bottom w:val="single" w:sz="12" w:space="0" w:color="000000"/>
              <w:right w:val="single" w:sz="8" w:space="0" w:color="000000"/>
            </w:tcBorders>
          </w:tcPr>
          <w:p>
            <w:pPr>
              <w:pStyle w:val="TableParagraph"/>
              <w:spacing w:before="3"/>
              <w:ind w:left="826" w:right="819"/>
              <w:jc w:val="center"/>
              <w:rPr>
                <w:sz w:val="24"/>
              </w:rPr>
            </w:pPr>
            <w:r>
              <w:rPr>
                <w:sz w:val="24"/>
              </w:rPr>
              <w:t>$3,020.00</w:t>
            </w:r>
          </w:p>
        </w:tc>
      </w:tr>
      <w:tr>
        <w:trPr>
          <w:trHeight w:val="268" w:hRule="atLeast"/>
        </w:trPr>
        <w:tc>
          <w:tcPr>
            <w:tcW w:w="5934" w:type="dxa"/>
            <w:tcBorders>
              <w:top w:val="single" w:sz="12" w:space="0" w:color="000000"/>
              <w:left w:val="single" w:sz="8" w:space="0" w:color="000000"/>
              <w:bottom w:val="single" w:sz="8" w:space="0" w:color="000000"/>
              <w:right w:val="single" w:sz="8" w:space="0" w:color="000000"/>
            </w:tcBorders>
          </w:tcPr>
          <w:p>
            <w:pPr>
              <w:pStyle w:val="TableParagraph"/>
              <w:spacing w:line="249" w:lineRule="exact"/>
              <w:ind w:left="9"/>
              <w:rPr>
                <w:sz w:val="24"/>
              </w:rPr>
            </w:pPr>
            <w:r>
              <w:rPr>
                <w:sz w:val="24"/>
              </w:rPr>
              <w:t>Comercial “D” hasta400mts2</w:t>
            </w:r>
          </w:p>
        </w:tc>
        <w:tc>
          <w:tcPr>
            <w:tcW w:w="2778" w:type="dxa"/>
            <w:tcBorders>
              <w:top w:val="single" w:sz="12" w:space="0" w:color="000000"/>
              <w:left w:val="single" w:sz="8" w:space="0" w:color="000000"/>
              <w:bottom w:val="single" w:sz="8" w:space="0" w:color="000000"/>
              <w:right w:val="single" w:sz="8" w:space="0" w:color="000000"/>
            </w:tcBorders>
          </w:tcPr>
          <w:p>
            <w:pPr>
              <w:pStyle w:val="TableParagraph"/>
              <w:spacing w:line="249" w:lineRule="exact"/>
              <w:ind w:left="826" w:right="819"/>
              <w:jc w:val="center"/>
              <w:rPr>
                <w:sz w:val="24"/>
              </w:rPr>
            </w:pPr>
            <w:r>
              <w:rPr>
                <w:sz w:val="24"/>
              </w:rPr>
              <w:t>$4,186.00</w:t>
            </w:r>
          </w:p>
        </w:tc>
      </w:tr>
      <w:tr>
        <w:trPr>
          <w:trHeight w:val="277"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Industrial “A” hasta500mts2</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828" w:right="816"/>
              <w:jc w:val="center"/>
              <w:rPr>
                <w:sz w:val="24"/>
              </w:rPr>
            </w:pPr>
            <w:r>
              <w:rPr>
                <w:sz w:val="24"/>
              </w:rPr>
              <w:t>$5,381.00</w:t>
            </w:r>
          </w:p>
        </w:tc>
      </w:tr>
      <w:tr>
        <w:trPr>
          <w:trHeight w:val="277"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9"/>
              <w:rPr>
                <w:sz w:val="24"/>
              </w:rPr>
            </w:pPr>
            <w:r>
              <w:rPr>
                <w:sz w:val="24"/>
              </w:rPr>
              <w:t>Industrial “B” hasta700mts2</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58" w:lineRule="exact"/>
              <w:ind w:left="826" w:right="819"/>
              <w:jc w:val="center"/>
              <w:rPr>
                <w:sz w:val="24"/>
              </w:rPr>
            </w:pPr>
            <w:r>
              <w:rPr>
                <w:sz w:val="24"/>
              </w:rPr>
              <w:t>$6,577.00</w:t>
            </w:r>
          </w:p>
        </w:tc>
      </w:tr>
      <w:tr>
        <w:trPr>
          <w:trHeight w:val="280" w:hRule="atLeast"/>
        </w:trPr>
        <w:tc>
          <w:tcPr>
            <w:tcW w:w="5934"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9"/>
              <w:rPr>
                <w:sz w:val="24"/>
              </w:rPr>
            </w:pPr>
            <w:r>
              <w:rPr>
                <w:sz w:val="24"/>
              </w:rPr>
              <w:t>Industrial “C” más de701mts2</w:t>
            </w:r>
          </w:p>
        </w:tc>
        <w:tc>
          <w:tcPr>
            <w:tcW w:w="2778"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826" w:right="819"/>
              <w:jc w:val="center"/>
              <w:rPr>
                <w:sz w:val="24"/>
              </w:rPr>
            </w:pPr>
            <w:r>
              <w:rPr>
                <w:sz w:val="24"/>
              </w:rPr>
              <w:t>$7,773.00</w:t>
            </w:r>
          </w:p>
        </w:tc>
      </w:tr>
    </w:tbl>
    <w:p>
      <w:pPr>
        <w:pStyle w:val="BodyText"/>
      </w:pPr>
    </w:p>
    <w:p>
      <w:pPr>
        <w:pStyle w:val="Heading1"/>
        <w:numPr>
          <w:ilvl w:val="1"/>
          <w:numId w:val="55"/>
        </w:numPr>
        <w:tabs>
          <w:tab w:pos="967" w:val="left" w:leader="none"/>
        </w:tabs>
        <w:spacing w:line="240" w:lineRule="auto" w:before="0" w:after="0"/>
        <w:ind w:left="966" w:right="0" w:hanging="567"/>
        <w:jc w:val="left"/>
      </w:pPr>
      <w:r>
        <w:rPr/>
        <w:t>Reconexión de servicios.</w:t>
      </w:r>
    </w:p>
    <w:p>
      <w:pPr>
        <w:pStyle w:val="BodyText"/>
        <w:rPr>
          <w:b/>
        </w:rPr>
      </w:pPr>
    </w:p>
    <w:p>
      <w:pPr>
        <w:pStyle w:val="ListParagraph"/>
        <w:numPr>
          <w:ilvl w:val="0"/>
          <w:numId w:val="61"/>
        </w:numPr>
        <w:tabs>
          <w:tab w:pos="966" w:val="left" w:leader="none"/>
          <w:tab w:pos="967" w:val="left" w:leader="none"/>
        </w:tabs>
        <w:spacing w:line="240" w:lineRule="auto" w:before="0" w:after="0"/>
        <w:ind w:left="966" w:right="0" w:hanging="567"/>
        <w:jc w:val="left"/>
        <w:rPr>
          <w:b/>
          <w:sz w:val="24"/>
        </w:rPr>
      </w:pPr>
      <w:r>
        <w:rPr>
          <w:b/>
          <w:sz w:val="24"/>
        </w:rPr>
        <w:t>Reconexión del servicio de agua</w:t>
      </w:r>
      <w:r>
        <w:rPr>
          <w:b/>
          <w:spacing w:val="-5"/>
          <w:sz w:val="24"/>
        </w:rPr>
        <w:t> </w:t>
      </w:r>
      <w:r>
        <w:rPr>
          <w:b/>
          <w:sz w:val="24"/>
        </w:rPr>
        <w:t>potable:</w:t>
      </w:r>
    </w:p>
    <w:p>
      <w:pPr>
        <w:pStyle w:val="BodyText"/>
        <w:ind w:left="400" w:right="432"/>
        <w:jc w:val="both"/>
      </w:pPr>
      <w:r>
        <w:rPr/>
        <w:t>De conformidad con el artículo 91 de la Ley de Agua Potable y Alcantarillado del Estado de Nayarit, los Usuarios que por falta del pago en el suministro de agua potable hayan tenido</w:t>
      </w:r>
    </w:p>
    <w:p>
      <w:pPr>
        <w:spacing w:after="0"/>
        <w:jc w:val="both"/>
        <w:sectPr>
          <w:pgSz w:w="12250" w:h="15850"/>
          <w:pgMar w:header="730" w:footer="0" w:top="1000" w:bottom="280" w:left="860" w:right="820"/>
        </w:sectPr>
      </w:pPr>
    </w:p>
    <w:p>
      <w:pPr>
        <w:pStyle w:val="BodyText"/>
        <w:spacing w:before="183"/>
        <w:ind w:left="400" w:right="434"/>
        <w:jc w:val="both"/>
      </w:pPr>
      <w:r>
        <w:rPr/>
        <w:t>la suspensión de su servicio, deberán cubrir por el concepto de reconexión las cantidades siguientes:</w:t>
      </w:r>
    </w:p>
    <w:tbl>
      <w:tblPr>
        <w:tblW w:w="0" w:type="auto"/>
        <w:jc w:val="left"/>
        <w:tblInd w:w="8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65"/>
        <w:gridCol w:w="3411"/>
      </w:tblGrid>
      <w:tr>
        <w:trPr>
          <w:trHeight w:val="510" w:hRule="atLeast"/>
        </w:trPr>
        <w:tc>
          <w:tcPr>
            <w:tcW w:w="8776" w:type="dxa"/>
            <w:gridSpan w:val="2"/>
          </w:tcPr>
          <w:p>
            <w:pPr>
              <w:pStyle w:val="TableParagraph"/>
              <w:spacing w:before="117"/>
              <w:ind w:left="3165" w:right="3141"/>
              <w:jc w:val="center"/>
              <w:rPr>
                <w:b/>
                <w:sz w:val="24"/>
              </w:rPr>
            </w:pPr>
            <w:r>
              <w:rPr>
                <w:b/>
                <w:sz w:val="24"/>
              </w:rPr>
              <w:t>Costo por Limitación</w:t>
            </w:r>
          </w:p>
        </w:tc>
      </w:tr>
      <w:tr>
        <w:trPr>
          <w:trHeight w:val="510" w:hRule="atLeast"/>
        </w:trPr>
        <w:tc>
          <w:tcPr>
            <w:tcW w:w="5365" w:type="dxa"/>
          </w:tcPr>
          <w:p>
            <w:pPr>
              <w:pStyle w:val="TableParagraph"/>
              <w:spacing w:before="16"/>
              <w:ind w:left="13"/>
              <w:rPr>
                <w:b/>
                <w:sz w:val="24"/>
              </w:rPr>
            </w:pPr>
            <w:r>
              <w:rPr>
                <w:b/>
                <w:sz w:val="24"/>
              </w:rPr>
              <w:t>Clasificación</w:t>
            </w:r>
          </w:p>
        </w:tc>
        <w:tc>
          <w:tcPr>
            <w:tcW w:w="3411" w:type="dxa"/>
          </w:tcPr>
          <w:p>
            <w:pPr>
              <w:pStyle w:val="TableParagraph"/>
              <w:spacing w:before="16"/>
              <w:ind w:left="1342" w:right="1319"/>
              <w:jc w:val="center"/>
              <w:rPr>
                <w:b/>
                <w:sz w:val="24"/>
              </w:rPr>
            </w:pPr>
            <w:r>
              <w:rPr>
                <w:b/>
                <w:sz w:val="24"/>
              </w:rPr>
              <w:t>Costo</w:t>
            </w:r>
          </w:p>
        </w:tc>
      </w:tr>
      <w:tr>
        <w:trPr>
          <w:trHeight w:val="510" w:hRule="atLeast"/>
        </w:trPr>
        <w:tc>
          <w:tcPr>
            <w:tcW w:w="5365" w:type="dxa"/>
            <w:tcBorders>
              <w:left w:val="single" w:sz="8" w:space="0" w:color="000000"/>
              <w:bottom w:val="single" w:sz="8" w:space="0" w:color="000000"/>
              <w:right w:val="single" w:sz="8" w:space="0" w:color="000000"/>
            </w:tcBorders>
          </w:tcPr>
          <w:p>
            <w:pPr>
              <w:pStyle w:val="TableParagraph"/>
              <w:spacing w:before="2"/>
              <w:ind w:left="14"/>
              <w:rPr>
                <w:sz w:val="24"/>
              </w:rPr>
            </w:pPr>
            <w:r>
              <w:rPr>
                <w:sz w:val="24"/>
              </w:rPr>
              <w:t>Doméstico</w:t>
            </w:r>
          </w:p>
        </w:tc>
        <w:tc>
          <w:tcPr>
            <w:tcW w:w="3411" w:type="dxa"/>
            <w:tcBorders>
              <w:left w:val="single" w:sz="8" w:space="0" w:color="000000"/>
              <w:bottom w:val="single" w:sz="8" w:space="0" w:color="000000"/>
            </w:tcBorders>
          </w:tcPr>
          <w:p>
            <w:pPr>
              <w:pStyle w:val="TableParagraph"/>
              <w:spacing w:before="2"/>
              <w:ind w:right="-29"/>
              <w:jc w:val="right"/>
              <w:rPr>
                <w:sz w:val="24"/>
              </w:rPr>
            </w:pPr>
            <w:r>
              <w:rPr>
                <w:sz w:val="24"/>
              </w:rPr>
              <w:t>$479.00</w:t>
            </w:r>
          </w:p>
        </w:tc>
      </w:tr>
      <w:tr>
        <w:trPr>
          <w:trHeight w:val="510" w:hRule="atLeast"/>
        </w:trPr>
        <w:tc>
          <w:tcPr>
            <w:tcW w:w="5365" w:type="dxa"/>
            <w:tcBorders>
              <w:top w:val="single" w:sz="8" w:space="0" w:color="000000"/>
              <w:left w:val="single" w:sz="8" w:space="0" w:color="000000"/>
              <w:bottom w:val="single" w:sz="8" w:space="0" w:color="000000"/>
              <w:right w:val="single" w:sz="8" w:space="0" w:color="000000"/>
            </w:tcBorders>
          </w:tcPr>
          <w:p>
            <w:pPr>
              <w:pStyle w:val="TableParagraph"/>
              <w:spacing w:before="2"/>
              <w:ind w:left="14"/>
              <w:rPr>
                <w:sz w:val="24"/>
              </w:rPr>
            </w:pPr>
            <w:r>
              <w:rPr>
                <w:sz w:val="24"/>
              </w:rPr>
              <w:t>Comercial</w:t>
            </w:r>
          </w:p>
        </w:tc>
        <w:tc>
          <w:tcPr>
            <w:tcW w:w="3411" w:type="dxa"/>
            <w:tcBorders>
              <w:top w:val="single" w:sz="8" w:space="0" w:color="000000"/>
              <w:left w:val="single" w:sz="8" w:space="0" w:color="000000"/>
              <w:bottom w:val="single" w:sz="8" w:space="0" w:color="000000"/>
            </w:tcBorders>
          </w:tcPr>
          <w:p>
            <w:pPr>
              <w:pStyle w:val="TableParagraph"/>
              <w:spacing w:before="2"/>
              <w:ind w:right="-15"/>
              <w:jc w:val="right"/>
              <w:rPr>
                <w:sz w:val="24"/>
              </w:rPr>
            </w:pPr>
            <w:r>
              <w:rPr>
                <w:sz w:val="24"/>
              </w:rPr>
              <w:t>$837.00 +IVA</w:t>
            </w:r>
          </w:p>
        </w:tc>
      </w:tr>
    </w:tbl>
    <w:p>
      <w:pPr>
        <w:pStyle w:val="BodyText"/>
      </w:pPr>
    </w:p>
    <w:p>
      <w:pPr>
        <w:pStyle w:val="BodyText"/>
        <w:ind w:left="400" w:right="433"/>
        <w:jc w:val="both"/>
      </w:pPr>
      <w:r>
        <w:rPr/>
        <w:drawing>
          <wp:anchor distT="0" distB="0" distL="0" distR="0" allowOverlap="1" layoutInCell="1" locked="0" behindDoc="1" simplePos="0" relativeHeight="227536896">
            <wp:simplePos x="0" y="0"/>
            <wp:positionH relativeFrom="page">
              <wp:posOffset>1239220</wp:posOffset>
            </wp:positionH>
            <wp:positionV relativeFrom="paragraph">
              <wp:posOffset>-609398</wp:posOffset>
            </wp:positionV>
            <wp:extent cx="5022641" cy="5144769"/>
            <wp:effectExtent l="0" t="0" r="0" b="0"/>
            <wp:wrapNone/>
            <wp:docPr id="135" name="image63.png"/>
            <wp:cNvGraphicFramePr>
              <a:graphicFrameLocks noChangeAspect="1"/>
            </wp:cNvGraphicFramePr>
            <a:graphic>
              <a:graphicData uri="http://schemas.openxmlformats.org/drawingml/2006/picture">
                <pic:pic>
                  <pic:nvPicPr>
                    <pic:cNvPr id="136" name="image63.png"/>
                    <pic:cNvPicPr/>
                  </pic:nvPicPr>
                  <pic:blipFill>
                    <a:blip r:embed="rId73" cstate="print"/>
                    <a:stretch>
                      <a:fillRect/>
                    </a:stretch>
                  </pic:blipFill>
                  <pic:spPr>
                    <a:xfrm>
                      <a:off x="0" y="0"/>
                      <a:ext cx="5022641" cy="5144769"/>
                    </a:xfrm>
                    <a:prstGeom prst="rect">
                      <a:avLst/>
                    </a:prstGeom>
                  </pic:spPr>
                </pic:pic>
              </a:graphicData>
            </a:graphic>
          </wp:anchor>
        </w:drawing>
      </w:r>
      <w:r>
        <w:rPr/>
        <w:t>En aquellos casos en que se suspenda el servicio y no se cuente con llave limitadora, el Sistema Operador la instalará con cargo al Usuario.</w:t>
      </w:r>
    </w:p>
    <w:p>
      <w:pPr>
        <w:pStyle w:val="BodyText"/>
        <w:spacing w:before="1"/>
      </w:pPr>
    </w:p>
    <w:p>
      <w:pPr>
        <w:pStyle w:val="Heading1"/>
        <w:numPr>
          <w:ilvl w:val="0"/>
          <w:numId w:val="61"/>
        </w:numPr>
        <w:tabs>
          <w:tab w:pos="966" w:val="left" w:leader="none"/>
          <w:tab w:pos="967" w:val="left" w:leader="none"/>
        </w:tabs>
        <w:spacing w:line="240" w:lineRule="auto" w:before="0" w:after="0"/>
        <w:ind w:left="966" w:right="0" w:hanging="567"/>
        <w:jc w:val="left"/>
      </w:pPr>
      <w:r>
        <w:rPr/>
        <w:t>Reconexión del Servicio de Descargas</w:t>
      </w:r>
      <w:r>
        <w:rPr>
          <w:spacing w:val="-2"/>
        </w:rPr>
        <w:t> </w:t>
      </w:r>
      <w:r>
        <w:rPr/>
        <w:t>Sanitarias:</w:t>
      </w:r>
    </w:p>
    <w:p>
      <w:pPr>
        <w:pStyle w:val="BodyText"/>
        <w:rPr>
          <w:b/>
        </w:rPr>
      </w:pPr>
    </w:p>
    <w:p>
      <w:pPr>
        <w:pStyle w:val="BodyText"/>
        <w:ind w:left="400" w:right="432"/>
        <w:jc w:val="both"/>
      </w:pPr>
      <w:r>
        <w:rPr/>
        <w:t>De conformidad con el artículo 113 de la Ley de Agua Potable y Alcantarillado del Estado de Nayarit, los Usuarios que por falta del pago respectivo hayan tenido la suspensión del servicio, deberán cubrir por el concepto de reconexión del servicio las cantidades siguientes:</w:t>
      </w:r>
    </w:p>
    <w:p>
      <w:pPr>
        <w:pStyle w:val="BodyText"/>
        <w:spacing w:before="11"/>
        <w:rPr>
          <w:sz w:val="23"/>
        </w:rPr>
      </w:pPr>
    </w:p>
    <w:tbl>
      <w:tblPr>
        <w:tblW w:w="0" w:type="auto"/>
        <w:jc w:val="left"/>
        <w:tblInd w:w="9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5"/>
        <w:gridCol w:w="3641"/>
      </w:tblGrid>
      <w:tr>
        <w:trPr>
          <w:trHeight w:val="824" w:hRule="atLeast"/>
        </w:trPr>
        <w:tc>
          <w:tcPr>
            <w:tcW w:w="8646" w:type="dxa"/>
            <w:gridSpan w:val="2"/>
          </w:tcPr>
          <w:p>
            <w:pPr>
              <w:pStyle w:val="TableParagraph"/>
              <w:spacing w:before="11"/>
              <w:rPr>
                <w:sz w:val="23"/>
              </w:rPr>
            </w:pPr>
          </w:p>
          <w:p>
            <w:pPr>
              <w:pStyle w:val="TableParagraph"/>
              <w:ind w:left="3100" w:right="3075"/>
              <w:jc w:val="center"/>
              <w:rPr>
                <w:b/>
                <w:sz w:val="24"/>
              </w:rPr>
            </w:pPr>
            <w:r>
              <w:rPr>
                <w:b/>
                <w:sz w:val="24"/>
              </w:rPr>
              <w:t>Costo por Limitación</w:t>
            </w:r>
          </w:p>
        </w:tc>
      </w:tr>
      <w:tr>
        <w:trPr>
          <w:trHeight w:val="277" w:hRule="atLeast"/>
        </w:trPr>
        <w:tc>
          <w:tcPr>
            <w:tcW w:w="5005" w:type="dxa"/>
          </w:tcPr>
          <w:p>
            <w:pPr>
              <w:pStyle w:val="TableParagraph"/>
              <w:spacing w:line="243" w:lineRule="exact" w:before="14"/>
              <w:ind w:left="11"/>
              <w:rPr>
                <w:b/>
                <w:sz w:val="24"/>
              </w:rPr>
            </w:pPr>
            <w:r>
              <w:rPr>
                <w:b/>
                <w:sz w:val="24"/>
              </w:rPr>
              <w:t>Clasificación</w:t>
            </w:r>
          </w:p>
        </w:tc>
        <w:tc>
          <w:tcPr>
            <w:tcW w:w="3641" w:type="dxa"/>
          </w:tcPr>
          <w:p>
            <w:pPr>
              <w:pStyle w:val="TableParagraph"/>
              <w:spacing w:line="243" w:lineRule="exact" w:before="14"/>
              <w:ind w:left="1457" w:right="1433"/>
              <w:jc w:val="center"/>
              <w:rPr>
                <w:b/>
                <w:sz w:val="24"/>
              </w:rPr>
            </w:pPr>
            <w:r>
              <w:rPr>
                <w:b/>
                <w:sz w:val="24"/>
              </w:rPr>
              <w:t>Costo</w:t>
            </w:r>
          </w:p>
        </w:tc>
      </w:tr>
      <w:tr>
        <w:trPr>
          <w:trHeight w:val="373" w:hRule="atLeast"/>
        </w:trPr>
        <w:tc>
          <w:tcPr>
            <w:tcW w:w="5005" w:type="dxa"/>
            <w:tcBorders>
              <w:left w:val="single" w:sz="8" w:space="0" w:color="000000"/>
              <w:bottom w:val="single" w:sz="8" w:space="0" w:color="000000"/>
              <w:right w:val="single" w:sz="8" w:space="0" w:color="000000"/>
            </w:tcBorders>
          </w:tcPr>
          <w:p>
            <w:pPr>
              <w:pStyle w:val="TableParagraph"/>
              <w:spacing w:before="2"/>
              <w:ind w:left="11"/>
              <w:rPr>
                <w:sz w:val="24"/>
              </w:rPr>
            </w:pPr>
            <w:r>
              <w:rPr>
                <w:sz w:val="24"/>
              </w:rPr>
              <w:t>Domestico</w:t>
            </w:r>
          </w:p>
        </w:tc>
        <w:tc>
          <w:tcPr>
            <w:tcW w:w="3641" w:type="dxa"/>
            <w:tcBorders>
              <w:left w:val="single" w:sz="8" w:space="0" w:color="000000"/>
              <w:bottom w:val="single" w:sz="8" w:space="0" w:color="000000"/>
            </w:tcBorders>
          </w:tcPr>
          <w:p>
            <w:pPr>
              <w:pStyle w:val="TableParagraph"/>
              <w:spacing w:before="2"/>
              <w:ind w:right="-29"/>
              <w:jc w:val="right"/>
              <w:rPr>
                <w:sz w:val="24"/>
              </w:rPr>
            </w:pPr>
            <w:r>
              <w:rPr>
                <w:sz w:val="24"/>
              </w:rPr>
              <w:t>$837.00</w:t>
            </w:r>
          </w:p>
        </w:tc>
      </w:tr>
      <w:tr>
        <w:trPr>
          <w:trHeight w:val="551" w:hRule="atLeast"/>
        </w:trPr>
        <w:tc>
          <w:tcPr>
            <w:tcW w:w="5005" w:type="dxa"/>
            <w:tcBorders>
              <w:top w:val="single" w:sz="8" w:space="0" w:color="000000"/>
              <w:left w:val="single" w:sz="8" w:space="0" w:color="000000"/>
              <w:bottom w:val="single" w:sz="8" w:space="0" w:color="000000"/>
              <w:right w:val="single" w:sz="8" w:space="0" w:color="000000"/>
            </w:tcBorders>
          </w:tcPr>
          <w:p>
            <w:pPr>
              <w:pStyle w:val="TableParagraph"/>
              <w:spacing w:before="2"/>
              <w:ind w:left="11"/>
              <w:rPr>
                <w:sz w:val="24"/>
              </w:rPr>
            </w:pPr>
            <w:r>
              <w:rPr>
                <w:sz w:val="24"/>
              </w:rPr>
              <w:t>Comercial</w:t>
            </w:r>
          </w:p>
        </w:tc>
        <w:tc>
          <w:tcPr>
            <w:tcW w:w="3641" w:type="dxa"/>
            <w:tcBorders>
              <w:top w:val="single" w:sz="8" w:space="0" w:color="000000"/>
              <w:left w:val="single" w:sz="8" w:space="0" w:color="000000"/>
              <w:bottom w:val="single" w:sz="8" w:space="0" w:color="000000"/>
            </w:tcBorders>
          </w:tcPr>
          <w:p>
            <w:pPr>
              <w:pStyle w:val="TableParagraph"/>
              <w:spacing w:before="2"/>
              <w:ind w:right="-15"/>
              <w:jc w:val="right"/>
              <w:rPr>
                <w:sz w:val="24"/>
              </w:rPr>
            </w:pPr>
            <w:r>
              <w:rPr>
                <w:sz w:val="24"/>
              </w:rPr>
              <w:t>$1,076.00 +IVA</w:t>
            </w:r>
          </w:p>
        </w:tc>
      </w:tr>
    </w:tbl>
    <w:p>
      <w:pPr>
        <w:pStyle w:val="BodyText"/>
      </w:pPr>
    </w:p>
    <w:p>
      <w:pPr>
        <w:pStyle w:val="Heading1"/>
        <w:numPr>
          <w:ilvl w:val="0"/>
          <w:numId w:val="55"/>
        </w:numPr>
        <w:tabs>
          <w:tab w:pos="966" w:val="left" w:leader="none"/>
          <w:tab w:pos="967" w:val="left" w:leader="none"/>
        </w:tabs>
        <w:spacing w:line="240" w:lineRule="auto" w:before="0" w:after="0"/>
        <w:ind w:left="966" w:right="0" w:hanging="567"/>
        <w:jc w:val="left"/>
      </w:pPr>
      <w:r>
        <w:rPr/>
        <w:t>CUOTAS POR OTROS</w:t>
      </w:r>
      <w:r>
        <w:rPr>
          <w:spacing w:val="1"/>
        </w:rPr>
        <w:t> </w:t>
      </w:r>
      <w:r>
        <w:rPr/>
        <w:t>SERVICIOS.</w:t>
      </w:r>
    </w:p>
    <w:p>
      <w:pPr>
        <w:pStyle w:val="BodyText"/>
        <w:rPr>
          <w:b/>
        </w:rPr>
      </w:pPr>
    </w:p>
    <w:tbl>
      <w:tblPr>
        <w:tblW w:w="0" w:type="auto"/>
        <w:jc w:val="left"/>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4"/>
        <w:gridCol w:w="924"/>
        <w:gridCol w:w="4463"/>
        <w:gridCol w:w="2411"/>
      </w:tblGrid>
      <w:tr>
        <w:trPr>
          <w:trHeight w:val="709" w:hRule="atLeast"/>
        </w:trPr>
        <w:tc>
          <w:tcPr>
            <w:tcW w:w="994" w:type="dxa"/>
          </w:tcPr>
          <w:p>
            <w:pPr>
              <w:pStyle w:val="TableParagraph"/>
              <w:rPr>
                <w:rFonts w:ascii="Times New Roman"/>
                <w:sz w:val="24"/>
              </w:rPr>
            </w:pPr>
          </w:p>
        </w:tc>
        <w:tc>
          <w:tcPr>
            <w:tcW w:w="5387" w:type="dxa"/>
            <w:gridSpan w:val="2"/>
          </w:tcPr>
          <w:p>
            <w:pPr>
              <w:pStyle w:val="TableParagraph"/>
              <w:spacing w:before="10"/>
              <w:rPr>
                <w:b/>
                <w:sz w:val="30"/>
              </w:rPr>
            </w:pPr>
          </w:p>
          <w:p>
            <w:pPr>
              <w:pStyle w:val="TableParagraph"/>
              <w:ind w:left="1307"/>
              <w:rPr>
                <w:b/>
                <w:sz w:val="24"/>
              </w:rPr>
            </w:pPr>
            <w:r>
              <w:rPr>
                <w:b/>
                <w:sz w:val="24"/>
              </w:rPr>
              <w:t>Descripción del servicio</w:t>
            </w:r>
          </w:p>
        </w:tc>
        <w:tc>
          <w:tcPr>
            <w:tcW w:w="2411" w:type="dxa"/>
          </w:tcPr>
          <w:p>
            <w:pPr>
              <w:pStyle w:val="TableParagraph"/>
              <w:spacing w:before="10"/>
              <w:rPr>
                <w:b/>
                <w:sz w:val="30"/>
              </w:rPr>
            </w:pPr>
          </w:p>
          <w:p>
            <w:pPr>
              <w:pStyle w:val="TableParagraph"/>
              <w:ind w:left="838" w:right="824"/>
              <w:jc w:val="center"/>
              <w:rPr>
                <w:b/>
                <w:sz w:val="24"/>
              </w:rPr>
            </w:pPr>
            <w:r>
              <w:rPr>
                <w:b/>
                <w:sz w:val="24"/>
              </w:rPr>
              <w:t>Costo</w:t>
            </w:r>
          </w:p>
        </w:tc>
      </w:tr>
      <w:tr>
        <w:trPr>
          <w:trHeight w:val="275" w:hRule="atLeast"/>
        </w:trPr>
        <w:tc>
          <w:tcPr>
            <w:tcW w:w="994" w:type="dxa"/>
          </w:tcPr>
          <w:p>
            <w:pPr>
              <w:pStyle w:val="TableParagraph"/>
              <w:spacing w:line="253" w:lineRule="exact" w:before="2"/>
              <w:ind w:left="9"/>
              <w:rPr>
                <w:b/>
                <w:sz w:val="24"/>
              </w:rPr>
            </w:pPr>
            <w:r>
              <w:rPr>
                <w:b/>
                <w:w w:val="99"/>
                <w:sz w:val="24"/>
              </w:rPr>
              <w:t>A</w:t>
            </w:r>
          </w:p>
        </w:tc>
        <w:tc>
          <w:tcPr>
            <w:tcW w:w="5387" w:type="dxa"/>
            <w:gridSpan w:val="2"/>
          </w:tcPr>
          <w:p>
            <w:pPr>
              <w:pStyle w:val="TableParagraph"/>
              <w:spacing w:line="253" w:lineRule="exact" w:before="2"/>
              <w:ind w:left="6"/>
              <w:rPr>
                <w:sz w:val="24"/>
              </w:rPr>
            </w:pPr>
            <w:r>
              <w:rPr>
                <w:sz w:val="24"/>
              </w:rPr>
              <w:t>Cambio de dominio doméstico</w:t>
            </w:r>
          </w:p>
        </w:tc>
        <w:tc>
          <w:tcPr>
            <w:tcW w:w="2411" w:type="dxa"/>
          </w:tcPr>
          <w:p>
            <w:pPr>
              <w:pStyle w:val="TableParagraph"/>
              <w:spacing w:line="253" w:lineRule="exact" w:before="2"/>
              <w:ind w:right="-15"/>
              <w:jc w:val="right"/>
              <w:rPr>
                <w:sz w:val="24"/>
              </w:rPr>
            </w:pPr>
            <w:r>
              <w:rPr>
                <w:sz w:val="24"/>
              </w:rPr>
              <w:t>$90.00</w:t>
            </w:r>
          </w:p>
        </w:tc>
      </w:tr>
      <w:tr>
        <w:trPr>
          <w:trHeight w:val="277" w:hRule="atLeast"/>
        </w:trPr>
        <w:tc>
          <w:tcPr>
            <w:tcW w:w="994" w:type="dxa"/>
          </w:tcPr>
          <w:p>
            <w:pPr>
              <w:pStyle w:val="TableParagraph"/>
              <w:spacing w:line="255" w:lineRule="exact" w:before="2"/>
              <w:ind w:left="9"/>
              <w:rPr>
                <w:b/>
                <w:sz w:val="24"/>
              </w:rPr>
            </w:pPr>
            <w:r>
              <w:rPr>
                <w:b/>
                <w:w w:val="99"/>
                <w:sz w:val="24"/>
              </w:rPr>
              <w:t>B</w:t>
            </w:r>
          </w:p>
        </w:tc>
        <w:tc>
          <w:tcPr>
            <w:tcW w:w="5387" w:type="dxa"/>
            <w:gridSpan w:val="2"/>
          </w:tcPr>
          <w:p>
            <w:pPr>
              <w:pStyle w:val="TableParagraph"/>
              <w:spacing w:line="255" w:lineRule="exact" w:before="2"/>
              <w:ind w:left="6"/>
              <w:rPr>
                <w:sz w:val="24"/>
              </w:rPr>
            </w:pPr>
            <w:r>
              <w:rPr>
                <w:sz w:val="24"/>
              </w:rPr>
              <w:t>Cambio de dominio Comercial o Industrial.</w:t>
            </w:r>
          </w:p>
        </w:tc>
        <w:tc>
          <w:tcPr>
            <w:tcW w:w="2411" w:type="dxa"/>
          </w:tcPr>
          <w:p>
            <w:pPr>
              <w:pStyle w:val="TableParagraph"/>
              <w:spacing w:line="255" w:lineRule="exact" w:before="2"/>
              <w:ind w:right="-15"/>
              <w:jc w:val="right"/>
              <w:rPr>
                <w:sz w:val="24"/>
              </w:rPr>
            </w:pPr>
            <w:r>
              <w:rPr>
                <w:sz w:val="24"/>
              </w:rPr>
              <w:t>$239.00</w:t>
            </w:r>
          </w:p>
        </w:tc>
      </w:tr>
      <w:tr>
        <w:trPr>
          <w:trHeight w:val="278" w:hRule="atLeast"/>
        </w:trPr>
        <w:tc>
          <w:tcPr>
            <w:tcW w:w="994" w:type="dxa"/>
          </w:tcPr>
          <w:p>
            <w:pPr>
              <w:pStyle w:val="TableParagraph"/>
              <w:spacing w:line="255" w:lineRule="exact" w:before="3"/>
              <w:ind w:left="9"/>
              <w:rPr>
                <w:b/>
                <w:sz w:val="24"/>
              </w:rPr>
            </w:pPr>
            <w:r>
              <w:rPr>
                <w:b/>
                <w:w w:val="99"/>
                <w:sz w:val="24"/>
              </w:rPr>
              <w:t>C</w:t>
            </w:r>
          </w:p>
        </w:tc>
        <w:tc>
          <w:tcPr>
            <w:tcW w:w="5387" w:type="dxa"/>
            <w:gridSpan w:val="2"/>
          </w:tcPr>
          <w:p>
            <w:pPr>
              <w:pStyle w:val="TableParagraph"/>
              <w:spacing w:line="255" w:lineRule="exact" w:before="3"/>
              <w:ind w:left="6"/>
              <w:rPr>
                <w:sz w:val="24"/>
              </w:rPr>
            </w:pPr>
            <w:r>
              <w:rPr>
                <w:sz w:val="24"/>
              </w:rPr>
              <w:t>Constancia de no adeudo</w:t>
            </w:r>
          </w:p>
        </w:tc>
        <w:tc>
          <w:tcPr>
            <w:tcW w:w="2411" w:type="dxa"/>
          </w:tcPr>
          <w:p>
            <w:pPr>
              <w:pStyle w:val="TableParagraph"/>
              <w:spacing w:line="255" w:lineRule="exact" w:before="3"/>
              <w:ind w:right="-15"/>
              <w:jc w:val="right"/>
              <w:rPr>
                <w:sz w:val="24"/>
              </w:rPr>
            </w:pPr>
            <w:r>
              <w:rPr>
                <w:sz w:val="24"/>
              </w:rPr>
              <w:t>$47.00</w:t>
            </w:r>
          </w:p>
        </w:tc>
      </w:tr>
      <w:tr>
        <w:trPr>
          <w:trHeight w:val="275" w:hRule="atLeast"/>
        </w:trPr>
        <w:tc>
          <w:tcPr>
            <w:tcW w:w="994" w:type="dxa"/>
          </w:tcPr>
          <w:p>
            <w:pPr>
              <w:pStyle w:val="TableParagraph"/>
              <w:spacing w:line="255" w:lineRule="exact"/>
              <w:ind w:left="9"/>
              <w:rPr>
                <w:b/>
                <w:sz w:val="24"/>
              </w:rPr>
            </w:pPr>
            <w:r>
              <w:rPr>
                <w:b/>
                <w:w w:val="99"/>
                <w:sz w:val="24"/>
              </w:rPr>
              <w:t>D</w:t>
            </w:r>
          </w:p>
        </w:tc>
        <w:tc>
          <w:tcPr>
            <w:tcW w:w="5387" w:type="dxa"/>
            <w:gridSpan w:val="2"/>
          </w:tcPr>
          <w:p>
            <w:pPr>
              <w:pStyle w:val="TableParagraph"/>
              <w:spacing w:line="255" w:lineRule="exact"/>
              <w:ind w:left="6"/>
              <w:rPr>
                <w:sz w:val="24"/>
              </w:rPr>
            </w:pPr>
            <w:r>
              <w:rPr>
                <w:sz w:val="24"/>
              </w:rPr>
              <w:t>Carta de disponibilidad deservicio</w:t>
            </w:r>
          </w:p>
        </w:tc>
        <w:tc>
          <w:tcPr>
            <w:tcW w:w="2411" w:type="dxa"/>
          </w:tcPr>
          <w:p>
            <w:pPr>
              <w:pStyle w:val="TableParagraph"/>
              <w:spacing w:line="255" w:lineRule="exact"/>
              <w:ind w:right="-15"/>
              <w:jc w:val="right"/>
              <w:rPr>
                <w:sz w:val="24"/>
              </w:rPr>
            </w:pPr>
            <w:r>
              <w:rPr>
                <w:sz w:val="24"/>
              </w:rPr>
              <w:t>$120.00</w:t>
            </w:r>
          </w:p>
        </w:tc>
      </w:tr>
      <w:tr>
        <w:trPr>
          <w:trHeight w:val="277" w:hRule="atLeast"/>
        </w:trPr>
        <w:tc>
          <w:tcPr>
            <w:tcW w:w="994" w:type="dxa"/>
          </w:tcPr>
          <w:p>
            <w:pPr>
              <w:pStyle w:val="TableParagraph"/>
              <w:spacing w:line="258" w:lineRule="exact"/>
              <w:ind w:left="9"/>
              <w:rPr>
                <w:b/>
                <w:sz w:val="24"/>
              </w:rPr>
            </w:pPr>
            <w:r>
              <w:rPr>
                <w:b/>
                <w:w w:val="100"/>
                <w:sz w:val="24"/>
              </w:rPr>
              <w:t>E</w:t>
            </w:r>
          </w:p>
        </w:tc>
        <w:tc>
          <w:tcPr>
            <w:tcW w:w="5387" w:type="dxa"/>
            <w:gridSpan w:val="2"/>
          </w:tcPr>
          <w:p>
            <w:pPr>
              <w:pStyle w:val="TableParagraph"/>
              <w:spacing w:line="258" w:lineRule="exact"/>
              <w:ind w:left="6"/>
              <w:rPr>
                <w:sz w:val="24"/>
              </w:rPr>
            </w:pPr>
            <w:r>
              <w:rPr>
                <w:sz w:val="24"/>
              </w:rPr>
              <w:t>Cancelación de contrato si existe toma de agua</w:t>
            </w:r>
          </w:p>
        </w:tc>
        <w:tc>
          <w:tcPr>
            <w:tcW w:w="2411" w:type="dxa"/>
          </w:tcPr>
          <w:p>
            <w:pPr>
              <w:pStyle w:val="TableParagraph"/>
              <w:spacing w:line="258" w:lineRule="exact"/>
              <w:ind w:right="-15"/>
              <w:jc w:val="right"/>
              <w:rPr>
                <w:sz w:val="24"/>
              </w:rPr>
            </w:pPr>
            <w:r>
              <w:rPr>
                <w:sz w:val="24"/>
              </w:rPr>
              <w:t>$957.00</w:t>
            </w:r>
          </w:p>
        </w:tc>
      </w:tr>
      <w:tr>
        <w:trPr>
          <w:trHeight w:val="277" w:hRule="atLeast"/>
        </w:trPr>
        <w:tc>
          <w:tcPr>
            <w:tcW w:w="994" w:type="dxa"/>
          </w:tcPr>
          <w:p>
            <w:pPr>
              <w:pStyle w:val="TableParagraph"/>
              <w:spacing w:line="255" w:lineRule="exact" w:before="2"/>
              <w:ind w:left="9"/>
              <w:rPr>
                <w:b/>
                <w:sz w:val="24"/>
              </w:rPr>
            </w:pPr>
            <w:r>
              <w:rPr>
                <w:b/>
                <w:w w:val="100"/>
                <w:sz w:val="24"/>
              </w:rPr>
              <w:t>F</w:t>
            </w:r>
          </w:p>
        </w:tc>
        <w:tc>
          <w:tcPr>
            <w:tcW w:w="5387" w:type="dxa"/>
            <w:gridSpan w:val="2"/>
          </w:tcPr>
          <w:p>
            <w:pPr>
              <w:pStyle w:val="TableParagraph"/>
              <w:spacing w:line="258" w:lineRule="exact"/>
              <w:ind w:left="6"/>
              <w:rPr>
                <w:sz w:val="24"/>
              </w:rPr>
            </w:pPr>
            <w:r>
              <w:rPr>
                <w:sz w:val="24"/>
              </w:rPr>
              <w:t>Cancelación de contrato si existe descarga</w:t>
            </w:r>
          </w:p>
        </w:tc>
        <w:tc>
          <w:tcPr>
            <w:tcW w:w="2411" w:type="dxa"/>
          </w:tcPr>
          <w:p>
            <w:pPr>
              <w:pStyle w:val="TableParagraph"/>
              <w:spacing w:line="258" w:lineRule="exact"/>
              <w:ind w:right="-15"/>
              <w:jc w:val="right"/>
              <w:rPr>
                <w:sz w:val="24"/>
              </w:rPr>
            </w:pPr>
            <w:r>
              <w:rPr>
                <w:sz w:val="24"/>
              </w:rPr>
              <w:t>$1,196.00</w:t>
            </w:r>
          </w:p>
        </w:tc>
      </w:tr>
      <w:tr>
        <w:trPr>
          <w:trHeight w:val="275" w:hRule="atLeast"/>
        </w:trPr>
        <w:tc>
          <w:tcPr>
            <w:tcW w:w="994" w:type="dxa"/>
            <w:tcBorders>
              <w:bottom w:val="single" w:sz="4" w:space="0" w:color="000000"/>
            </w:tcBorders>
          </w:tcPr>
          <w:p>
            <w:pPr>
              <w:pStyle w:val="TableParagraph"/>
              <w:spacing w:line="255" w:lineRule="exact"/>
              <w:ind w:left="9"/>
              <w:rPr>
                <w:b/>
                <w:sz w:val="24"/>
              </w:rPr>
            </w:pPr>
            <w:r>
              <w:rPr>
                <w:b/>
                <w:w w:val="100"/>
                <w:sz w:val="24"/>
              </w:rPr>
              <w:t>G</w:t>
            </w:r>
          </w:p>
        </w:tc>
        <w:tc>
          <w:tcPr>
            <w:tcW w:w="5387" w:type="dxa"/>
            <w:gridSpan w:val="2"/>
            <w:tcBorders>
              <w:bottom w:val="single" w:sz="4" w:space="0" w:color="000000"/>
            </w:tcBorders>
          </w:tcPr>
          <w:p>
            <w:pPr>
              <w:pStyle w:val="TableParagraph"/>
              <w:spacing w:line="255" w:lineRule="exact"/>
              <w:ind w:left="6"/>
              <w:rPr>
                <w:sz w:val="24"/>
              </w:rPr>
            </w:pPr>
            <w:r>
              <w:rPr>
                <w:sz w:val="24"/>
              </w:rPr>
              <w:t>Reimpresión de recibo oficial</w:t>
            </w:r>
          </w:p>
        </w:tc>
        <w:tc>
          <w:tcPr>
            <w:tcW w:w="2411" w:type="dxa"/>
            <w:tcBorders>
              <w:bottom w:val="single" w:sz="4" w:space="0" w:color="000000"/>
            </w:tcBorders>
          </w:tcPr>
          <w:p>
            <w:pPr>
              <w:pStyle w:val="TableParagraph"/>
              <w:spacing w:line="255" w:lineRule="exact"/>
              <w:ind w:right="-15"/>
              <w:jc w:val="right"/>
              <w:rPr>
                <w:sz w:val="24"/>
              </w:rPr>
            </w:pPr>
            <w:r>
              <w:rPr>
                <w:sz w:val="24"/>
              </w:rPr>
              <w:t>$ 60.00</w:t>
            </w:r>
          </w:p>
        </w:tc>
      </w:tr>
      <w:tr>
        <w:trPr>
          <w:trHeight w:val="285" w:hRule="atLeast"/>
        </w:trPr>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5"/>
              <w:ind w:left="9"/>
              <w:rPr>
                <w:b/>
                <w:sz w:val="24"/>
              </w:rPr>
            </w:pPr>
            <w:r>
              <w:rPr>
                <w:b/>
                <w:w w:val="99"/>
                <w:sz w:val="24"/>
              </w:rPr>
              <w:t>H</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6874" w:type="dxa"/>
            <w:gridSpan w:val="2"/>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8"/>
              <w:rPr>
                <w:b/>
                <w:sz w:val="24"/>
              </w:rPr>
            </w:pPr>
            <w:r>
              <w:rPr>
                <w:b/>
                <w:sz w:val="24"/>
              </w:rPr>
              <w:t>Impresión de planos Hidráulicos</w:t>
            </w:r>
          </w:p>
        </w:tc>
      </w:tr>
      <w:tr>
        <w:trPr>
          <w:trHeight w:val="287" w:hRule="atLeast"/>
        </w:trPr>
        <w:tc>
          <w:tcPr>
            <w:tcW w:w="994" w:type="dxa"/>
            <w:tcBorders>
              <w:top w:val="single" w:sz="4" w:space="0" w:color="000000"/>
            </w:tcBorders>
          </w:tcPr>
          <w:p>
            <w:pPr>
              <w:pStyle w:val="TableParagraph"/>
              <w:rPr>
                <w:rFonts w:ascii="Times New Roman"/>
                <w:sz w:val="20"/>
              </w:rPr>
            </w:pPr>
          </w:p>
        </w:tc>
        <w:tc>
          <w:tcPr>
            <w:tcW w:w="5387" w:type="dxa"/>
            <w:gridSpan w:val="2"/>
            <w:tcBorders>
              <w:top w:val="single" w:sz="4" w:space="0" w:color="000000"/>
            </w:tcBorders>
          </w:tcPr>
          <w:p>
            <w:pPr>
              <w:pStyle w:val="TableParagraph"/>
              <w:spacing w:line="267" w:lineRule="exact"/>
              <w:ind w:left="6"/>
              <w:rPr>
                <w:sz w:val="24"/>
              </w:rPr>
            </w:pPr>
            <w:r>
              <w:rPr>
                <w:sz w:val="24"/>
              </w:rPr>
              <w:t>Negro (90x60) cm</w:t>
            </w:r>
          </w:p>
        </w:tc>
        <w:tc>
          <w:tcPr>
            <w:tcW w:w="2411" w:type="dxa"/>
            <w:tcBorders>
              <w:top w:val="single" w:sz="4" w:space="0" w:color="000000"/>
            </w:tcBorders>
          </w:tcPr>
          <w:p>
            <w:pPr>
              <w:pStyle w:val="TableParagraph"/>
              <w:spacing w:line="267" w:lineRule="exact"/>
              <w:ind w:right="-15"/>
              <w:jc w:val="right"/>
              <w:rPr>
                <w:sz w:val="24"/>
              </w:rPr>
            </w:pPr>
            <w:r>
              <w:rPr>
                <w:sz w:val="24"/>
              </w:rPr>
              <w:t>$30.00</w:t>
            </w:r>
          </w:p>
        </w:tc>
      </w:tr>
      <w:tr>
        <w:trPr>
          <w:trHeight w:val="275" w:hRule="atLeast"/>
        </w:trPr>
        <w:tc>
          <w:tcPr>
            <w:tcW w:w="994" w:type="dxa"/>
          </w:tcPr>
          <w:p>
            <w:pPr>
              <w:pStyle w:val="TableParagraph"/>
              <w:rPr>
                <w:rFonts w:ascii="Times New Roman"/>
                <w:sz w:val="20"/>
              </w:rPr>
            </w:pPr>
          </w:p>
        </w:tc>
        <w:tc>
          <w:tcPr>
            <w:tcW w:w="5387" w:type="dxa"/>
            <w:gridSpan w:val="2"/>
          </w:tcPr>
          <w:p>
            <w:pPr>
              <w:pStyle w:val="TableParagraph"/>
              <w:spacing w:line="255" w:lineRule="exact"/>
              <w:ind w:left="6"/>
              <w:rPr>
                <w:sz w:val="24"/>
              </w:rPr>
            </w:pPr>
            <w:r>
              <w:rPr>
                <w:sz w:val="24"/>
              </w:rPr>
              <w:t>Negro (90x90) cm</w:t>
            </w:r>
          </w:p>
        </w:tc>
        <w:tc>
          <w:tcPr>
            <w:tcW w:w="2411" w:type="dxa"/>
          </w:tcPr>
          <w:p>
            <w:pPr>
              <w:pStyle w:val="TableParagraph"/>
              <w:spacing w:line="255" w:lineRule="exact"/>
              <w:ind w:right="-15"/>
              <w:jc w:val="right"/>
              <w:rPr>
                <w:sz w:val="24"/>
              </w:rPr>
            </w:pPr>
            <w:r>
              <w:rPr>
                <w:sz w:val="24"/>
              </w:rPr>
              <w:t>$42.00</w:t>
            </w:r>
          </w:p>
        </w:tc>
      </w:tr>
      <w:tr>
        <w:trPr>
          <w:trHeight w:val="275" w:hRule="atLeast"/>
        </w:trPr>
        <w:tc>
          <w:tcPr>
            <w:tcW w:w="994" w:type="dxa"/>
          </w:tcPr>
          <w:p>
            <w:pPr>
              <w:pStyle w:val="TableParagraph"/>
              <w:rPr>
                <w:rFonts w:ascii="Times New Roman"/>
                <w:sz w:val="20"/>
              </w:rPr>
            </w:pPr>
          </w:p>
        </w:tc>
        <w:tc>
          <w:tcPr>
            <w:tcW w:w="5387" w:type="dxa"/>
            <w:gridSpan w:val="2"/>
          </w:tcPr>
          <w:p>
            <w:pPr>
              <w:pStyle w:val="TableParagraph"/>
              <w:spacing w:line="255" w:lineRule="exact"/>
              <w:ind w:left="6"/>
              <w:rPr>
                <w:sz w:val="24"/>
              </w:rPr>
            </w:pPr>
            <w:r>
              <w:rPr>
                <w:sz w:val="24"/>
              </w:rPr>
              <w:t>Negro (90x120) cm</w:t>
            </w:r>
          </w:p>
        </w:tc>
        <w:tc>
          <w:tcPr>
            <w:tcW w:w="2411" w:type="dxa"/>
          </w:tcPr>
          <w:p>
            <w:pPr>
              <w:pStyle w:val="TableParagraph"/>
              <w:spacing w:line="255" w:lineRule="exact"/>
              <w:ind w:right="-15"/>
              <w:jc w:val="right"/>
              <w:rPr>
                <w:sz w:val="24"/>
              </w:rPr>
            </w:pPr>
            <w:r>
              <w:rPr>
                <w:sz w:val="24"/>
              </w:rPr>
              <w:t>$47.00</w:t>
            </w:r>
          </w:p>
        </w:tc>
      </w:tr>
      <w:tr>
        <w:trPr>
          <w:trHeight w:val="277" w:hRule="atLeast"/>
        </w:trPr>
        <w:tc>
          <w:tcPr>
            <w:tcW w:w="994" w:type="dxa"/>
          </w:tcPr>
          <w:p>
            <w:pPr>
              <w:pStyle w:val="TableParagraph"/>
              <w:rPr>
                <w:rFonts w:ascii="Times New Roman"/>
                <w:sz w:val="20"/>
              </w:rPr>
            </w:pPr>
          </w:p>
        </w:tc>
        <w:tc>
          <w:tcPr>
            <w:tcW w:w="5387" w:type="dxa"/>
            <w:gridSpan w:val="2"/>
          </w:tcPr>
          <w:p>
            <w:pPr>
              <w:pStyle w:val="TableParagraph"/>
              <w:spacing w:line="258" w:lineRule="exact"/>
              <w:ind w:left="6"/>
              <w:rPr>
                <w:sz w:val="24"/>
              </w:rPr>
            </w:pPr>
            <w:r>
              <w:rPr>
                <w:sz w:val="24"/>
              </w:rPr>
              <w:t>Color (90x60) cm</w:t>
            </w:r>
          </w:p>
        </w:tc>
        <w:tc>
          <w:tcPr>
            <w:tcW w:w="2411" w:type="dxa"/>
          </w:tcPr>
          <w:p>
            <w:pPr>
              <w:pStyle w:val="TableParagraph"/>
              <w:spacing w:line="258" w:lineRule="exact"/>
              <w:ind w:right="-15"/>
              <w:jc w:val="right"/>
              <w:rPr>
                <w:sz w:val="24"/>
              </w:rPr>
            </w:pPr>
            <w:r>
              <w:rPr>
                <w:sz w:val="24"/>
              </w:rPr>
              <w:t>$47.00</w:t>
            </w:r>
          </w:p>
        </w:tc>
      </w:tr>
      <w:tr>
        <w:trPr>
          <w:trHeight w:val="275" w:hRule="atLeast"/>
        </w:trPr>
        <w:tc>
          <w:tcPr>
            <w:tcW w:w="994" w:type="dxa"/>
          </w:tcPr>
          <w:p>
            <w:pPr>
              <w:pStyle w:val="TableParagraph"/>
              <w:rPr>
                <w:rFonts w:ascii="Times New Roman"/>
                <w:sz w:val="20"/>
              </w:rPr>
            </w:pPr>
          </w:p>
        </w:tc>
        <w:tc>
          <w:tcPr>
            <w:tcW w:w="5387" w:type="dxa"/>
            <w:gridSpan w:val="2"/>
          </w:tcPr>
          <w:p>
            <w:pPr>
              <w:pStyle w:val="TableParagraph"/>
              <w:spacing w:line="255" w:lineRule="exact"/>
              <w:ind w:left="6"/>
              <w:rPr>
                <w:sz w:val="24"/>
              </w:rPr>
            </w:pPr>
            <w:r>
              <w:rPr>
                <w:sz w:val="24"/>
              </w:rPr>
              <w:t>Color (90x90) cm</w:t>
            </w:r>
          </w:p>
        </w:tc>
        <w:tc>
          <w:tcPr>
            <w:tcW w:w="2411" w:type="dxa"/>
          </w:tcPr>
          <w:p>
            <w:pPr>
              <w:pStyle w:val="TableParagraph"/>
              <w:spacing w:line="255" w:lineRule="exact"/>
              <w:ind w:right="-15"/>
              <w:jc w:val="right"/>
              <w:rPr>
                <w:sz w:val="24"/>
              </w:rPr>
            </w:pPr>
            <w:r>
              <w:rPr>
                <w:sz w:val="24"/>
              </w:rPr>
              <w:t>$54.00</w:t>
            </w:r>
          </w:p>
        </w:tc>
      </w:tr>
      <w:tr>
        <w:trPr>
          <w:trHeight w:val="275" w:hRule="atLeast"/>
        </w:trPr>
        <w:tc>
          <w:tcPr>
            <w:tcW w:w="994" w:type="dxa"/>
          </w:tcPr>
          <w:p>
            <w:pPr>
              <w:pStyle w:val="TableParagraph"/>
              <w:rPr>
                <w:rFonts w:ascii="Times New Roman"/>
                <w:sz w:val="20"/>
              </w:rPr>
            </w:pPr>
          </w:p>
        </w:tc>
        <w:tc>
          <w:tcPr>
            <w:tcW w:w="5387" w:type="dxa"/>
            <w:gridSpan w:val="2"/>
          </w:tcPr>
          <w:p>
            <w:pPr>
              <w:pStyle w:val="TableParagraph"/>
              <w:spacing w:line="255" w:lineRule="exact"/>
              <w:ind w:left="6"/>
              <w:rPr>
                <w:sz w:val="24"/>
              </w:rPr>
            </w:pPr>
            <w:r>
              <w:rPr>
                <w:sz w:val="24"/>
              </w:rPr>
              <w:t>Color (90x120) cm</w:t>
            </w:r>
          </w:p>
        </w:tc>
        <w:tc>
          <w:tcPr>
            <w:tcW w:w="2411" w:type="dxa"/>
          </w:tcPr>
          <w:p>
            <w:pPr>
              <w:pStyle w:val="TableParagraph"/>
              <w:spacing w:line="255" w:lineRule="exact"/>
              <w:ind w:right="-15"/>
              <w:jc w:val="right"/>
              <w:rPr>
                <w:sz w:val="24"/>
              </w:rPr>
            </w:pPr>
            <w:r>
              <w:rPr>
                <w:sz w:val="24"/>
              </w:rPr>
              <w:t>$ 60.00</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p>
    <w:tbl>
      <w:tblPr>
        <w:tblW w:w="0" w:type="auto"/>
        <w:jc w:val="lef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4"/>
        <w:gridCol w:w="5387"/>
        <w:gridCol w:w="2411"/>
      </w:tblGrid>
      <w:tr>
        <w:trPr>
          <w:trHeight w:val="710" w:hRule="atLeast"/>
        </w:trPr>
        <w:tc>
          <w:tcPr>
            <w:tcW w:w="994" w:type="dxa"/>
          </w:tcPr>
          <w:p>
            <w:pPr>
              <w:pStyle w:val="TableParagraph"/>
              <w:rPr>
                <w:rFonts w:ascii="Times New Roman"/>
                <w:sz w:val="24"/>
              </w:rPr>
            </w:pPr>
          </w:p>
        </w:tc>
        <w:tc>
          <w:tcPr>
            <w:tcW w:w="5387" w:type="dxa"/>
          </w:tcPr>
          <w:p>
            <w:pPr>
              <w:pStyle w:val="TableParagraph"/>
              <w:spacing w:before="10"/>
              <w:rPr>
                <w:b/>
                <w:sz w:val="30"/>
              </w:rPr>
            </w:pPr>
          </w:p>
          <w:p>
            <w:pPr>
              <w:pStyle w:val="TableParagraph"/>
              <w:ind w:left="1311"/>
              <w:rPr>
                <w:b/>
                <w:sz w:val="24"/>
              </w:rPr>
            </w:pPr>
            <w:r>
              <w:rPr>
                <w:b/>
                <w:sz w:val="24"/>
              </w:rPr>
              <w:t>Descripción del servicio</w:t>
            </w:r>
          </w:p>
        </w:tc>
        <w:tc>
          <w:tcPr>
            <w:tcW w:w="2411" w:type="dxa"/>
          </w:tcPr>
          <w:p>
            <w:pPr>
              <w:pStyle w:val="TableParagraph"/>
              <w:spacing w:before="10"/>
              <w:rPr>
                <w:b/>
                <w:sz w:val="30"/>
              </w:rPr>
            </w:pPr>
          </w:p>
          <w:p>
            <w:pPr>
              <w:pStyle w:val="TableParagraph"/>
              <w:ind w:left="842" w:right="819"/>
              <w:jc w:val="center"/>
              <w:rPr>
                <w:b/>
                <w:sz w:val="24"/>
              </w:rPr>
            </w:pPr>
            <w:r>
              <w:rPr>
                <w:b/>
                <w:sz w:val="24"/>
              </w:rPr>
              <w:t>Costo</w:t>
            </w:r>
          </w:p>
        </w:tc>
      </w:tr>
      <w:tr>
        <w:trPr>
          <w:trHeight w:val="277" w:hRule="atLeast"/>
        </w:trPr>
        <w:tc>
          <w:tcPr>
            <w:tcW w:w="994" w:type="dxa"/>
          </w:tcPr>
          <w:p>
            <w:pPr>
              <w:pStyle w:val="TableParagraph"/>
              <w:rPr>
                <w:rFonts w:ascii="Times New Roman"/>
                <w:sz w:val="20"/>
              </w:rPr>
            </w:pPr>
          </w:p>
        </w:tc>
        <w:tc>
          <w:tcPr>
            <w:tcW w:w="5387" w:type="dxa"/>
          </w:tcPr>
          <w:p>
            <w:pPr>
              <w:pStyle w:val="TableParagraph"/>
              <w:spacing w:line="258" w:lineRule="exact"/>
              <w:ind w:left="11"/>
              <w:rPr>
                <w:sz w:val="24"/>
              </w:rPr>
            </w:pPr>
            <w:r>
              <w:rPr>
                <w:sz w:val="24"/>
              </w:rPr>
              <w:t>Tamaño Carta blanco negro</w:t>
            </w:r>
          </w:p>
        </w:tc>
        <w:tc>
          <w:tcPr>
            <w:tcW w:w="2411" w:type="dxa"/>
          </w:tcPr>
          <w:p>
            <w:pPr>
              <w:pStyle w:val="TableParagraph"/>
              <w:spacing w:line="258" w:lineRule="exact"/>
              <w:ind w:right="-15"/>
              <w:jc w:val="right"/>
              <w:rPr>
                <w:sz w:val="24"/>
              </w:rPr>
            </w:pPr>
            <w:r>
              <w:rPr>
                <w:sz w:val="24"/>
              </w:rPr>
              <w:t>$ 2.00</w:t>
            </w:r>
          </w:p>
        </w:tc>
      </w:tr>
      <w:tr>
        <w:trPr>
          <w:trHeight w:val="275" w:hRule="atLeast"/>
        </w:trPr>
        <w:tc>
          <w:tcPr>
            <w:tcW w:w="994" w:type="dxa"/>
          </w:tcPr>
          <w:p>
            <w:pPr>
              <w:pStyle w:val="TableParagraph"/>
              <w:rPr>
                <w:rFonts w:ascii="Times New Roman"/>
                <w:sz w:val="20"/>
              </w:rPr>
            </w:pPr>
          </w:p>
        </w:tc>
        <w:tc>
          <w:tcPr>
            <w:tcW w:w="5387" w:type="dxa"/>
          </w:tcPr>
          <w:p>
            <w:pPr>
              <w:pStyle w:val="TableParagraph"/>
              <w:spacing w:line="255" w:lineRule="exact"/>
              <w:ind w:left="11"/>
              <w:rPr>
                <w:sz w:val="24"/>
              </w:rPr>
            </w:pPr>
            <w:r>
              <w:rPr>
                <w:sz w:val="24"/>
              </w:rPr>
              <w:t>Tamaño Carta color</w:t>
            </w:r>
          </w:p>
        </w:tc>
        <w:tc>
          <w:tcPr>
            <w:tcW w:w="2411" w:type="dxa"/>
          </w:tcPr>
          <w:p>
            <w:pPr>
              <w:pStyle w:val="TableParagraph"/>
              <w:spacing w:line="255" w:lineRule="exact"/>
              <w:ind w:right="-15"/>
              <w:jc w:val="right"/>
              <w:rPr>
                <w:sz w:val="24"/>
              </w:rPr>
            </w:pPr>
            <w:r>
              <w:rPr>
                <w:sz w:val="24"/>
              </w:rPr>
              <w:t>$6.00</w:t>
            </w:r>
          </w:p>
        </w:tc>
      </w:tr>
      <w:tr>
        <w:trPr>
          <w:trHeight w:val="275" w:hRule="atLeast"/>
        </w:trPr>
        <w:tc>
          <w:tcPr>
            <w:tcW w:w="994" w:type="dxa"/>
          </w:tcPr>
          <w:p>
            <w:pPr>
              <w:pStyle w:val="TableParagraph"/>
              <w:rPr>
                <w:rFonts w:ascii="Times New Roman"/>
                <w:sz w:val="20"/>
              </w:rPr>
            </w:pPr>
          </w:p>
        </w:tc>
        <w:tc>
          <w:tcPr>
            <w:tcW w:w="5387" w:type="dxa"/>
          </w:tcPr>
          <w:p>
            <w:pPr>
              <w:pStyle w:val="TableParagraph"/>
              <w:spacing w:line="255" w:lineRule="exact"/>
              <w:ind w:left="11"/>
              <w:rPr>
                <w:sz w:val="24"/>
              </w:rPr>
            </w:pPr>
            <w:r>
              <w:rPr>
                <w:sz w:val="24"/>
              </w:rPr>
              <w:t>Tamaño Oficio blanco y negro</w:t>
            </w:r>
          </w:p>
        </w:tc>
        <w:tc>
          <w:tcPr>
            <w:tcW w:w="2411" w:type="dxa"/>
          </w:tcPr>
          <w:p>
            <w:pPr>
              <w:pStyle w:val="TableParagraph"/>
              <w:spacing w:line="255" w:lineRule="exact"/>
              <w:ind w:right="-15"/>
              <w:jc w:val="right"/>
              <w:rPr>
                <w:sz w:val="24"/>
              </w:rPr>
            </w:pPr>
            <w:r>
              <w:rPr>
                <w:sz w:val="24"/>
              </w:rPr>
              <w:t>$3.00</w:t>
            </w:r>
          </w:p>
        </w:tc>
      </w:tr>
      <w:tr>
        <w:trPr>
          <w:trHeight w:val="277" w:hRule="atLeast"/>
        </w:trPr>
        <w:tc>
          <w:tcPr>
            <w:tcW w:w="994" w:type="dxa"/>
          </w:tcPr>
          <w:p>
            <w:pPr>
              <w:pStyle w:val="TableParagraph"/>
              <w:spacing w:line="255" w:lineRule="exact" w:before="2"/>
              <w:ind w:left="14"/>
              <w:rPr>
                <w:b/>
                <w:sz w:val="24"/>
              </w:rPr>
            </w:pPr>
            <w:r>
              <w:rPr>
                <w:b/>
                <w:w w:val="100"/>
                <w:sz w:val="24"/>
              </w:rPr>
              <w:t>I</w:t>
            </w:r>
          </w:p>
        </w:tc>
        <w:tc>
          <w:tcPr>
            <w:tcW w:w="5387" w:type="dxa"/>
          </w:tcPr>
          <w:p>
            <w:pPr>
              <w:pStyle w:val="TableParagraph"/>
              <w:spacing w:line="258" w:lineRule="exact"/>
              <w:ind w:left="11"/>
              <w:rPr>
                <w:sz w:val="24"/>
              </w:rPr>
            </w:pPr>
            <w:r>
              <w:rPr>
                <w:sz w:val="24"/>
              </w:rPr>
              <w:t>Constancia de no infraestructura</w:t>
            </w:r>
          </w:p>
        </w:tc>
        <w:tc>
          <w:tcPr>
            <w:tcW w:w="2411" w:type="dxa"/>
          </w:tcPr>
          <w:p>
            <w:pPr>
              <w:pStyle w:val="TableParagraph"/>
              <w:spacing w:line="258" w:lineRule="exact"/>
              <w:ind w:right="-15"/>
              <w:jc w:val="right"/>
              <w:rPr>
                <w:sz w:val="24"/>
              </w:rPr>
            </w:pPr>
            <w:r>
              <w:rPr>
                <w:sz w:val="24"/>
              </w:rPr>
              <w:t>$138.00</w:t>
            </w:r>
          </w:p>
        </w:tc>
      </w:tr>
      <w:tr>
        <w:trPr>
          <w:trHeight w:val="692" w:hRule="atLeast"/>
        </w:trPr>
        <w:tc>
          <w:tcPr>
            <w:tcW w:w="994" w:type="dxa"/>
          </w:tcPr>
          <w:p>
            <w:pPr>
              <w:pStyle w:val="TableParagraph"/>
              <w:spacing w:before="209"/>
              <w:ind w:left="14"/>
              <w:rPr>
                <w:b/>
                <w:sz w:val="24"/>
              </w:rPr>
            </w:pPr>
            <w:r>
              <w:rPr>
                <w:b/>
                <w:w w:val="99"/>
                <w:sz w:val="24"/>
              </w:rPr>
              <w:t>J</w:t>
            </w:r>
          </w:p>
        </w:tc>
        <w:tc>
          <w:tcPr>
            <w:tcW w:w="5387" w:type="dxa"/>
          </w:tcPr>
          <w:p>
            <w:pPr>
              <w:pStyle w:val="TableParagraph"/>
              <w:ind w:left="11" w:right="613"/>
              <w:rPr>
                <w:sz w:val="24"/>
              </w:rPr>
            </w:pPr>
            <w:r>
              <w:rPr>
                <w:sz w:val="24"/>
              </w:rPr>
              <w:t>Solicitud de permiso de descargas de aguas Residuales</w:t>
            </w:r>
          </w:p>
        </w:tc>
        <w:tc>
          <w:tcPr>
            <w:tcW w:w="2411" w:type="dxa"/>
          </w:tcPr>
          <w:p>
            <w:pPr>
              <w:pStyle w:val="TableParagraph"/>
              <w:rPr>
                <w:b/>
                <w:sz w:val="24"/>
              </w:rPr>
            </w:pPr>
          </w:p>
          <w:p>
            <w:pPr>
              <w:pStyle w:val="TableParagraph"/>
              <w:ind w:right="-15"/>
              <w:jc w:val="right"/>
              <w:rPr>
                <w:sz w:val="24"/>
              </w:rPr>
            </w:pPr>
            <w:r>
              <w:rPr>
                <w:sz w:val="24"/>
              </w:rPr>
              <w:t>$179.00</w:t>
            </w:r>
          </w:p>
        </w:tc>
      </w:tr>
      <w:tr>
        <w:trPr>
          <w:trHeight w:val="275" w:hRule="atLeast"/>
        </w:trPr>
        <w:tc>
          <w:tcPr>
            <w:tcW w:w="994" w:type="dxa"/>
          </w:tcPr>
          <w:p>
            <w:pPr>
              <w:pStyle w:val="TableParagraph"/>
              <w:spacing w:line="253" w:lineRule="exact" w:before="2"/>
              <w:ind w:left="14"/>
              <w:rPr>
                <w:b/>
                <w:sz w:val="24"/>
              </w:rPr>
            </w:pPr>
            <w:r>
              <w:rPr>
                <w:b/>
                <w:w w:val="99"/>
                <w:sz w:val="24"/>
              </w:rPr>
              <w:t>K</w:t>
            </w:r>
          </w:p>
        </w:tc>
        <w:tc>
          <w:tcPr>
            <w:tcW w:w="5387" w:type="dxa"/>
          </w:tcPr>
          <w:p>
            <w:pPr>
              <w:pStyle w:val="TableParagraph"/>
              <w:spacing w:line="253" w:lineRule="exact" w:before="2"/>
              <w:ind w:left="11"/>
              <w:rPr>
                <w:sz w:val="24"/>
              </w:rPr>
            </w:pPr>
            <w:r>
              <w:rPr>
                <w:sz w:val="24"/>
              </w:rPr>
              <w:t>Inscripción al Padrón de Contratistas</w:t>
            </w:r>
          </w:p>
        </w:tc>
        <w:tc>
          <w:tcPr>
            <w:tcW w:w="2411" w:type="dxa"/>
          </w:tcPr>
          <w:p>
            <w:pPr>
              <w:pStyle w:val="TableParagraph"/>
              <w:spacing w:line="253" w:lineRule="exact" w:before="2"/>
              <w:ind w:right="-29"/>
              <w:jc w:val="right"/>
              <w:rPr>
                <w:sz w:val="24"/>
              </w:rPr>
            </w:pPr>
            <w:r>
              <w:rPr>
                <w:sz w:val="24"/>
              </w:rPr>
              <w:t>$1,256.00</w:t>
            </w:r>
          </w:p>
        </w:tc>
      </w:tr>
      <w:tr>
        <w:trPr>
          <w:trHeight w:val="277" w:hRule="atLeast"/>
        </w:trPr>
        <w:tc>
          <w:tcPr>
            <w:tcW w:w="994" w:type="dxa"/>
            <w:tcBorders>
              <w:bottom w:val="single" w:sz="12" w:space="0" w:color="000000"/>
            </w:tcBorders>
          </w:tcPr>
          <w:p>
            <w:pPr>
              <w:pStyle w:val="TableParagraph"/>
              <w:spacing w:line="255" w:lineRule="exact" w:before="2"/>
              <w:ind w:left="14"/>
              <w:rPr>
                <w:b/>
                <w:sz w:val="24"/>
              </w:rPr>
            </w:pPr>
            <w:r>
              <w:rPr>
                <w:b/>
                <w:w w:val="100"/>
                <w:sz w:val="24"/>
              </w:rPr>
              <w:t>L</w:t>
            </w:r>
          </w:p>
        </w:tc>
        <w:tc>
          <w:tcPr>
            <w:tcW w:w="5387" w:type="dxa"/>
            <w:tcBorders>
              <w:bottom w:val="single" w:sz="12" w:space="0" w:color="000000"/>
            </w:tcBorders>
          </w:tcPr>
          <w:p>
            <w:pPr>
              <w:pStyle w:val="TableParagraph"/>
              <w:spacing w:line="257" w:lineRule="exact"/>
              <w:ind w:left="11"/>
              <w:rPr>
                <w:sz w:val="24"/>
              </w:rPr>
            </w:pPr>
            <w:r>
              <w:rPr>
                <w:sz w:val="24"/>
              </w:rPr>
              <w:t>Inscripción al Padrón de Proveedores</w:t>
            </w:r>
          </w:p>
        </w:tc>
        <w:tc>
          <w:tcPr>
            <w:tcW w:w="2411" w:type="dxa"/>
            <w:tcBorders>
              <w:bottom w:val="single" w:sz="12" w:space="0" w:color="000000"/>
            </w:tcBorders>
          </w:tcPr>
          <w:p>
            <w:pPr>
              <w:pStyle w:val="TableParagraph"/>
              <w:spacing w:line="257" w:lineRule="exact"/>
              <w:ind w:right="-15"/>
              <w:jc w:val="right"/>
              <w:rPr>
                <w:sz w:val="24"/>
              </w:rPr>
            </w:pPr>
            <w:r>
              <w:rPr>
                <w:sz w:val="24"/>
              </w:rPr>
              <w:t>$1,166.00</w:t>
            </w:r>
          </w:p>
        </w:tc>
      </w:tr>
      <w:tr>
        <w:trPr>
          <w:trHeight w:val="267" w:hRule="atLeast"/>
        </w:trPr>
        <w:tc>
          <w:tcPr>
            <w:tcW w:w="994" w:type="dxa"/>
            <w:tcBorders>
              <w:top w:val="single" w:sz="12" w:space="0" w:color="000000"/>
              <w:bottom w:val="single" w:sz="12" w:space="0" w:color="000000"/>
            </w:tcBorders>
          </w:tcPr>
          <w:p>
            <w:pPr>
              <w:pStyle w:val="TableParagraph"/>
              <w:spacing w:line="245" w:lineRule="exact" w:before="2"/>
              <w:ind w:left="14"/>
              <w:rPr>
                <w:b/>
                <w:sz w:val="24"/>
              </w:rPr>
            </w:pPr>
            <w:r>
              <w:rPr>
                <w:b/>
                <w:w w:val="99"/>
                <w:sz w:val="24"/>
              </w:rPr>
              <w:t>M</w:t>
            </w:r>
          </w:p>
        </w:tc>
        <w:tc>
          <w:tcPr>
            <w:tcW w:w="5387" w:type="dxa"/>
            <w:tcBorders>
              <w:top w:val="single" w:sz="12" w:space="0" w:color="000000"/>
              <w:bottom w:val="single" w:sz="12" w:space="0" w:color="000000"/>
            </w:tcBorders>
          </w:tcPr>
          <w:p>
            <w:pPr>
              <w:pStyle w:val="TableParagraph"/>
              <w:spacing w:line="245" w:lineRule="exact" w:before="2"/>
              <w:ind w:left="11"/>
              <w:rPr>
                <w:sz w:val="24"/>
              </w:rPr>
            </w:pPr>
            <w:r>
              <w:rPr>
                <w:sz w:val="24"/>
              </w:rPr>
              <w:t>Aforo por área técnica</w:t>
            </w:r>
          </w:p>
        </w:tc>
        <w:tc>
          <w:tcPr>
            <w:tcW w:w="2411" w:type="dxa"/>
            <w:tcBorders>
              <w:top w:val="single" w:sz="12" w:space="0" w:color="000000"/>
              <w:bottom w:val="single" w:sz="12" w:space="0" w:color="000000"/>
            </w:tcBorders>
          </w:tcPr>
          <w:p>
            <w:pPr>
              <w:pStyle w:val="TableParagraph"/>
              <w:spacing w:line="245" w:lineRule="exact" w:before="2"/>
              <w:ind w:right="-15"/>
              <w:jc w:val="right"/>
              <w:rPr>
                <w:sz w:val="24"/>
              </w:rPr>
            </w:pPr>
            <w:r>
              <w:rPr>
                <w:sz w:val="24"/>
              </w:rPr>
              <w:t>$100.00</w:t>
            </w:r>
          </w:p>
        </w:tc>
      </w:tr>
      <w:tr>
        <w:trPr>
          <w:trHeight w:val="803" w:hRule="atLeast"/>
        </w:trPr>
        <w:tc>
          <w:tcPr>
            <w:tcW w:w="994" w:type="dxa"/>
            <w:tcBorders>
              <w:top w:val="single" w:sz="12" w:space="0" w:color="000000"/>
              <w:left w:val="single" w:sz="12" w:space="0" w:color="000000"/>
              <w:bottom w:val="single" w:sz="12" w:space="0" w:color="000000"/>
              <w:right w:val="single" w:sz="12" w:space="0" w:color="000000"/>
            </w:tcBorders>
          </w:tcPr>
          <w:p>
            <w:pPr>
              <w:pStyle w:val="TableParagraph"/>
              <w:rPr>
                <w:b/>
                <w:sz w:val="23"/>
              </w:rPr>
            </w:pPr>
          </w:p>
          <w:p>
            <w:pPr>
              <w:pStyle w:val="TableParagraph"/>
              <w:ind w:left="13"/>
              <w:rPr>
                <w:b/>
                <w:sz w:val="24"/>
              </w:rPr>
            </w:pPr>
            <w:r>
              <w:rPr>
                <w:b/>
                <w:w w:val="99"/>
                <w:sz w:val="24"/>
              </w:rPr>
              <w:t>N</w:t>
            </w:r>
          </w:p>
        </w:tc>
        <w:tc>
          <w:tcPr>
            <w:tcW w:w="7798"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70" w:lineRule="atLeast" w:before="3"/>
              <w:ind w:left="10" w:right="-15"/>
              <w:jc w:val="both"/>
              <w:rPr>
                <w:b/>
                <w:sz w:val="24"/>
              </w:rPr>
            </w:pPr>
            <w:r>
              <w:rPr>
                <w:b/>
                <w:sz w:val="24"/>
              </w:rPr>
              <w:t>Bases de Licitación en Obras y/o Acciones con Recurso estatal y/o Municipal (en los procedimientos de invitación a cuando menos3personas)</w:t>
            </w:r>
          </w:p>
        </w:tc>
      </w:tr>
      <w:tr>
        <w:trPr>
          <w:trHeight w:val="240" w:hRule="atLeast"/>
        </w:trPr>
        <w:tc>
          <w:tcPr>
            <w:tcW w:w="994" w:type="dxa"/>
            <w:tcBorders>
              <w:top w:val="single" w:sz="12" w:space="0" w:color="000000"/>
              <w:left w:val="single" w:sz="12" w:space="0" w:color="000000"/>
              <w:bottom w:val="single" w:sz="2" w:space="0" w:color="000000"/>
              <w:right w:val="single" w:sz="12" w:space="0" w:color="000000"/>
            </w:tcBorders>
          </w:tcPr>
          <w:p>
            <w:pPr>
              <w:pStyle w:val="TableParagraph"/>
              <w:rPr>
                <w:rFonts w:ascii="Times New Roman"/>
                <w:sz w:val="16"/>
              </w:rPr>
            </w:pPr>
          </w:p>
        </w:tc>
        <w:tc>
          <w:tcPr>
            <w:tcW w:w="5387" w:type="dxa"/>
            <w:tcBorders>
              <w:top w:val="single" w:sz="12" w:space="0" w:color="000000"/>
              <w:left w:val="single" w:sz="12" w:space="0" w:color="000000"/>
              <w:bottom w:val="single" w:sz="2" w:space="0" w:color="000000"/>
              <w:right w:val="single" w:sz="12" w:space="0" w:color="000000"/>
            </w:tcBorders>
          </w:tcPr>
          <w:p>
            <w:pPr>
              <w:pStyle w:val="TableParagraph"/>
              <w:spacing w:line="221" w:lineRule="exact"/>
              <w:ind w:left="10"/>
              <w:rPr>
                <w:sz w:val="24"/>
              </w:rPr>
            </w:pPr>
            <w:r>
              <w:rPr>
                <w:sz w:val="24"/>
              </w:rPr>
              <w:t>Hasta un monto de$500,000.00</w:t>
            </w:r>
          </w:p>
        </w:tc>
        <w:tc>
          <w:tcPr>
            <w:tcW w:w="2411" w:type="dxa"/>
            <w:tcBorders>
              <w:top w:val="single" w:sz="12" w:space="0" w:color="000000"/>
              <w:left w:val="single" w:sz="12" w:space="0" w:color="000000"/>
              <w:bottom w:val="single" w:sz="2" w:space="0" w:color="000000"/>
              <w:right w:val="single" w:sz="12" w:space="0" w:color="000000"/>
            </w:tcBorders>
          </w:tcPr>
          <w:p>
            <w:pPr>
              <w:pStyle w:val="TableParagraph"/>
              <w:tabs>
                <w:tab w:pos="337" w:val="left" w:leader="none"/>
              </w:tabs>
              <w:spacing w:line="221" w:lineRule="exact"/>
              <w:ind w:right="-15"/>
              <w:jc w:val="right"/>
              <w:rPr>
                <w:sz w:val="24"/>
              </w:rPr>
            </w:pPr>
            <w:r>
              <w:rPr>
                <w:sz w:val="24"/>
              </w:rPr>
              <w:t>$</w:t>
              <w:tab/>
              <w:t>598.00</w:t>
            </w:r>
          </w:p>
        </w:tc>
      </w:tr>
      <w:tr>
        <w:trPr>
          <w:trHeight w:val="290" w:hRule="atLeast"/>
        </w:trPr>
        <w:tc>
          <w:tcPr>
            <w:tcW w:w="99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5387"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left="11"/>
              <w:rPr>
                <w:sz w:val="24"/>
              </w:rPr>
            </w:pPr>
            <w:r>
              <w:rPr>
                <w:sz w:val="24"/>
              </w:rPr>
              <w:t>Desde$500.001.00hasta$1,000,000.00</w:t>
            </w:r>
          </w:p>
        </w:tc>
        <w:tc>
          <w:tcPr>
            <w:tcW w:w="2411"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right="-15"/>
              <w:jc w:val="right"/>
              <w:rPr>
                <w:sz w:val="24"/>
              </w:rPr>
            </w:pPr>
            <w:r>
              <w:rPr>
                <w:sz w:val="24"/>
              </w:rPr>
              <w:t>$1,196.00</w:t>
            </w:r>
          </w:p>
        </w:tc>
      </w:tr>
      <w:tr>
        <w:trPr>
          <w:trHeight w:val="290" w:hRule="atLeast"/>
        </w:trPr>
        <w:tc>
          <w:tcPr>
            <w:tcW w:w="99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5387"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left="11"/>
              <w:rPr>
                <w:sz w:val="24"/>
              </w:rPr>
            </w:pPr>
            <w:r>
              <w:rPr>
                <w:sz w:val="24"/>
              </w:rPr>
              <w:t>Desde$ 1,000,001.00hasta$2,000,000.00</w:t>
            </w:r>
          </w:p>
        </w:tc>
        <w:tc>
          <w:tcPr>
            <w:tcW w:w="2411"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right="-15"/>
              <w:jc w:val="right"/>
              <w:rPr>
                <w:sz w:val="24"/>
              </w:rPr>
            </w:pPr>
            <w:r>
              <w:rPr>
                <w:sz w:val="24"/>
              </w:rPr>
              <w:t>$1,794.00</w:t>
            </w:r>
          </w:p>
        </w:tc>
      </w:tr>
      <w:tr>
        <w:trPr>
          <w:trHeight w:val="292" w:hRule="atLeast"/>
        </w:trPr>
        <w:tc>
          <w:tcPr>
            <w:tcW w:w="99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5387" w:type="dxa"/>
            <w:tcBorders>
              <w:top w:val="single" w:sz="2" w:space="0" w:color="000000"/>
              <w:left w:val="single" w:sz="2" w:space="0" w:color="000000"/>
              <w:bottom w:val="single" w:sz="2" w:space="0" w:color="000000"/>
              <w:right w:val="single" w:sz="2" w:space="0" w:color="000000"/>
            </w:tcBorders>
          </w:tcPr>
          <w:p>
            <w:pPr>
              <w:pStyle w:val="TableParagraph"/>
              <w:spacing w:line="272" w:lineRule="exact"/>
              <w:ind w:left="11"/>
              <w:rPr>
                <w:sz w:val="24"/>
              </w:rPr>
            </w:pPr>
            <w:r>
              <w:rPr>
                <w:sz w:val="24"/>
              </w:rPr>
              <w:t>Desde$ 2,000,001.00hasta$3,000,000.00</w:t>
            </w:r>
          </w:p>
        </w:tc>
        <w:tc>
          <w:tcPr>
            <w:tcW w:w="2411" w:type="dxa"/>
            <w:tcBorders>
              <w:top w:val="single" w:sz="2" w:space="0" w:color="000000"/>
              <w:left w:val="single" w:sz="2" w:space="0" w:color="000000"/>
              <w:bottom w:val="single" w:sz="2" w:space="0" w:color="000000"/>
              <w:right w:val="single" w:sz="2" w:space="0" w:color="000000"/>
            </w:tcBorders>
          </w:tcPr>
          <w:p>
            <w:pPr>
              <w:pStyle w:val="TableParagraph"/>
              <w:spacing w:line="272" w:lineRule="exact"/>
              <w:ind w:right="-15"/>
              <w:jc w:val="right"/>
              <w:rPr>
                <w:sz w:val="24"/>
              </w:rPr>
            </w:pPr>
            <w:r>
              <w:rPr>
                <w:sz w:val="24"/>
              </w:rPr>
              <w:t>$3,587.00</w:t>
            </w:r>
          </w:p>
        </w:tc>
      </w:tr>
      <w:tr>
        <w:trPr>
          <w:trHeight w:val="290" w:hRule="atLeast"/>
        </w:trPr>
        <w:tc>
          <w:tcPr>
            <w:tcW w:w="994"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20"/>
              </w:rPr>
            </w:pPr>
          </w:p>
        </w:tc>
        <w:tc>
          <w:tcPr>
            <w:tcW w:w="5387"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left="11"/>
              <w:rPr>
                <w:sz w:val="24"/>
              </w:rPr>
            </w:pPr>
            <w:r>
              <w:rPr>
                <w:sz w:val="24"/>
              </w:rPr>
              <w:t>Desde$ 3,000,001.00enadelante</w:t>
            </w:r>
          </w:p>
        </w:tc>
        <w:tc>
          <w:tcPr>
            <w:tcW w:w="2411" w:type="dxa"/>
            <w:tcBorders>
              <w:top w:val="single" w:sz="2" w:space="0" w:color="000000"/>
              <w:left w:val="single" w:sz="2" w:space="0" w:color="000000"/>
              <w:bottom w:val="single" w:sz="2" w:space="0" w:color="000000"/>
              <w:right w:val="single" w:sz="2" w:space="0" w:color="000000"/>
            </w:tcBorders>
          </w:tcPr>
          <w:p>
            <w:pPr>
              <w:pStyle w:val="TableParagraph"/>
              <w:spacing w:line="270" w:lineRule="exact"/>
              <w:ind w:right="-15"/>
              <w:jc w:val="right"/>
              <w:rPr>
                <w:sz w:val="24"/>
              </w:rPr>
            </w:pPr>
            <w:r>
              <w:rPr>
                <w:sz w:val="24"/>
              </w:rPr>
              <w:t>$5,381.00</w:t>
            </w:r>
          </w:p>
        </w:tc>
      </w:tr>
    </w:tbl>
    <w:p>
      <w:pPr>
        <w:pStyle w:val="BodyText"/>
        <w:rPr>
          <w:b/>
          <w:sz w:val="16"/>
        </w:rPr>
      </w:pPr>
    </w:p>
    <w:p>
      <w:pPr>
        <w:pStyle w:val="BodyText"/>
        <w:spacing w:before="92"/>
        <w:ind w:left="400"/>
        <w:jc w:val="both"/>
      </w:pPr>
      <w:r>
        <w:rPr/>
        <w:drawing>
          <wp:anchor distT="0" distB="0" distL="0" distR="0" allowOverlap="1" layoutInCell="1" locked="0" behindDoc="1" simplePos="0" relativeHeight="227537920">
            <wp:simplePos x="0" y="0"/>
            <wp:positionH relativeFrom="page">
              <wp:posOffset>1252555</wp:posOffset>
            </wp:positionH>
            <wp:positionV relativeFrom="paragraph">
              <wp:posOffset>-2538655</wp:posOffset>
            </wp:positionV>
            <wp:extent cx="5022641" cy="5144769"/>
            <wp:effectExtent l="0" t="0" r="0" b="0"/>
            <wp:wrapNone/>
            <wp:docPr id="137" name="image64.png"/>
            <wp:cNvGraphicFramePr>
              <a:graphicFrameLocks noChangeAspect="1"/>
            </wp:cNvGraphicFramePr>
            <a:graphic>
              <a:graphicData uri="http://schemas.openxmlformats.org/drawingml/2006/picture">
                <pic:pic>
                  <pic:nvPicPr>
                    <pic:cNvPr id="138" name="image64.png"/>
                    <pic:cNvPicPr/>
                  </pic:nvPicPr>
                  <pic:blipFill>
                    <a:blip r:embed="rId74" cstate="print"/>
                    <a:stretch>
                      <a:fillRect/>
                    </a:stretch>
                  </pic:blipFill>
                  <pic:spPr>
                    <a:xfrm>
                      <a:off x="0" y="0"/>
                      <a:ext cx="5022641" cy="5144769"/>
                    </a:xfrm>
                    <a:prstGeom prst="rect">
                      <a:avLst/>
                    </a:prstGeom>
                  </pic:spPr>
                </pic:pic>
              </a:graphicData>
            </a:graphic>
          </wp:anchor>
        </w:drawing>
      </w:r>
      <w:r>
        <w:rPr/>
        <w:t>Todos los conceptos anteriores que sean para uso comercial o industrial causarán IVA.</w:t>
      </w:r>
    </w:p>
    <w:p>
      <w:pPr>
        <w:pStyle w:val="BodyText"/>
      </w:pPr>
    </w:p>
    <w:p>
      <w:pPr>
        <w:pStyle w:val="Heading1"/>
        <w:numPr>
          <w:ilvl w:val="1"/>
          <w:numId w:val="55"/>
        </w:numPr>
        <w:tabs>
          <w:tab w:pos="967" w:val="left" w:leader="none"/>
        </w:tabs>
        <w:spacing w:line="240" w:lineRule="auto" w:before="0" w:after="0"/>
        <w:ind w:left="966" w:right="0" w:hanging="567"/>
        <w:jc w:val="left"/>
      </w:pPr>
      <w:r>
        <w:rPr/>
        <w:t>Factibilidad de dotación de servicios de agua potable y</w:t>
      </w:r>
      <w:r>
        <w:rPr>
          <w:spacing w:val="-4"/>
        </w:rPr>
        <w:t> </w:t>
      </w:r>
      <w:r>
        <w:rPr/>
        <w:t>drenaje.</w:t>
      </w:r>
    </w:p>
    <w:p>
      <w:pPr>
        <w:pStyle w:val="BodyText"/>
        <w:spacing w:before="1"/>
        <w:rPr>
          <w:b/>
        </w:rPr>
      </w:pPr>
    </w:p>
    <w:p>
      <w:pPr>
        <w:pStyle w:val="BodyText"/>
        <w:ind w:left="400" w:right="430"/>
        <w:jc w:val="both"/>
      </w:pPr>
      <w:r>
        <w:rPr/>
        <w:t>Para el cobro de los derechos de conexión de agua y drenaje de nuevos asentamientos, el Sistema Operador </w:t>
      </w:r>
      <w:r>
        <w:rPr>
          <w:spacing w:val="-3"/>
        </w:rPr>
        <w:t>tomará </w:t>
      </w:r>
      <w:r>
        <w:rPr/>
        <w:t>como base la clasificación de los fraccionamientos que establece la Ley de Asentamientos Humanos y de Desarrollo Urbano para el Estado de Nayarit, de acuerdo con los valores siguientes, mismos que se sustentan en la unidad mínima de dotación de agua que establece el Reglamento de Construcción y Seguridad Estructural del Municipio de</w:t>
      </w:r>
      <w:r>
        <w:rPr>
          <w:spacing w:val="3"/>
        </w:rPr>
        <w:t> </w:t>
      </w:r>
      <w:r>
        <w:rPr/>
        <w:t>Tepic.</w:t>
      </w:r>
    </w:p>
    <w:p>
      <w:pPr>
        <w:pStyle w:val="BodyText"/>
        <w:spacing w:before="11"/>
        <w:rPr>
          <w:sz w:val="23"/>
        </w:rPr>
      </w:pPr>
    </w:p>
    <w:tbl>
      <w:tblPr>
        <w:tblW w:w="0" w:type="auto"/>
        <w:jc w:val="left"/>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13"/>
        <w:gridCol w:w="1889"/>
      </w:tblGrid>
      <w:tr>
        <w:trPr>
          <w:trHeight w:val="275" w:hRule="atLeast"/>
        </w:trPr>
        <w:tc>
          <w:tcPr>
            <w:tcW w:w="7513" w:type="dxa"/>
          </w:tcPr>
          <w:p>
            <w:pPr>
              <w:pStyle w:val="TableParagraph"/>
              <w:spacing w:line="255" w:lineRule="exact"/>
              <w:ind w:left="7"/>
              <w:rPr>
                <w:sz w:val="24"/>
              </w:rPr>
            </w:pPr>
            <w:r>
              <w:rPr>
                <w:sz w:val="24"/>
              </w:rPr>
              <w:t>De Objetivo Social</w:t>
            </w:r>
          </w:p>
        </w:tc>
        <w:tc>
          <w:tcPr>
            <w:tcW w:w="1889" w:type="dxa"/>
          </w:tcPr>
          <w:p>
            <w:pPr>
              <w:pStyle w:val="TableParagraph"/>
              <w:spacing w:line="255" w:lineRule="exact"/>
              <w:ind w:right="-15"/>
              <w:jc w:val="right"/>
              <w:rPr>
                <w:sz w:val="24"/>
              </w:rPr>
            </w:pPr>
            <w:r>
              <w:rPr>
                <w:sz w:val="24"/>
              </w:rPr>
              <w:t>$869.00</w:t>
            </w:r>
          </w:p>
        </w:tc>
      </w:tr>
      <w:tr>
        <w:trPr>
          <w:trHeight w:val="275" w:hRule="atLeast"/>
        </w:trPr>
        <w:tc>
          <w:tcPr>
            <w:tcW w:w="7513" w:type="dxa"/>
          </w:tcPr>
          <w:p>
            <w:pPr>
              <w:pStyle w:val="TableParagraph"/>
              <w:spacing w:line="255" w:lineRule="exact"/>
              <w:ind w:left="7"/>
              <w:rPr>
                <w:sz w:val="24"/>
              </w:rPr>
            </w:pPr>
            <w:r>
              <w:rPr>
                <w:sz w:val="24"/>
              </w:rPr>
              <w:t>Popular</w:t>
            </w:r>
          </w:p>
        </w:tc>
        <w:tc>
          <w:tcPr>
            <w:tcW w:w="1889" w:type="dxa"/>
          </w:tcPr>
          <w:p>
            <w:pPr>
              <w:pStyle w:val="TableParagraph"/>
              <w:spacing w:line="255" w:lineRule="exact"/>
              <w:ind w:right="-15"/>
              <w:jc w:val="right"/>
              <w:rPr>
                <w:sz w:val="24"/>
              </w:rPr>
            </w:pPr>
            <w:r>
              <w:rPr>
                <w:sz w:val="24"/>
              </w:rPr>
              <w:t>$4,190.00</w:t>
            </w:r>
          </w:p>
        </w:tc>
      </w:tr>
      <w:tr>
        <w:trPr>
          <w:trHeight w:val="277" w:hRule="atLeast"/>
        </w:trPr>
        <w:tc>
          <w:tcPr>
            <w:tcW w:w="7513" w:type="dxa"/>
          </w:tcPr>
          <w:p>
            <w:pPr>
              <w:pStyle w:val="TableParagraph"/>
              <w:spacing w:line="255" w:lineRule="exact" w:before="2"/>
              <w:ind w:left="7"/>
              <w:rPr>
                <w:sz w:val="24"/>
              </w:rPr>
            </w:pPr>
            <w:r>
              <w:rPr>
                <w:sz w:val="24"/>
              </w:rPr>
              <w:t>Popular alto o Medio Bajo</w:t>
            </w:r>
          </w:p>
        </w:tc>
        <w:tc>
          <w:tcPr>
            <w:tcW w:w="1889" w:type="dxa"/>
          </w:tcPr>
          <w:p>
            <w:pPr>
              <w:pStyle w:val="TableParagraph"/>
              <w:spacing w:line="255" w:lineRule="exact" w:before="2"/>
              <w:ind w:right="-15"/>
              <w:jc w:val="right"/>
              <w:rPr>
                <w:sz w:val="24"/>
              </w:rPr>
            </w:pPr>
            <w:r>
              <w:rPr>
                <w:sz w:val="24"/>
              </w:rPr>
              <w:t>$5,986.00</w:t>
            </w:r>
          </w:p>
        </w:tc>
      </w:tr>
      <w:tr>
        <w:trPr>
          <w:trHeight w:val="274" w:hRule="atLeast"/>
        </w:trPr>
        <w:tc>
          <w:tcPr>
            <w:tcW w:w="7513" w:type="dxa"/>
          </w:tcPr>
          <w:p>
            <w:pPr>
              <w:pStyle w:val="TableParagraph"/>
              <w:spacing w:line="254" w:lineRule="exact"/>
              <w:ind w:left="7"/>
              <w:rPr>
                <w:sz w:val="24"/>
              </w:rPr>
            </w:pPr>
            <w:r>
              <w:rPr>
                <w:sz w:val="24"/>
              </w:rPr>
              <w:t>Medio</w:t>
            </w:r>
          </w:p>
        </w:tc>
        <w:tc>
          <w:tcPr>
            <w:tcW w:w="1889" w:type="dxa"/>
          </w:tcPr>
          <w:p>
            <w:pPr>
              <w:pStyle w:val="TableParagraph"/>
              <w:spacing w:line="254" w:lineRule="exact"/>
              <w:ind w:right="-15"/>
              <w:jc w:val="right"/>
              <w:rPr>
                <w:sz w:val="24"/>
              </w:rPr>
            </w:pPr>
            <w:r>
              <w:rPr>
                <w:sz w:val="24"/>
              </w:rPr>
              <w:t>$7,782.00</w:t>
            </w:r>
          </w:p>
        </w:tc>
      </w:tr>
      <w:tr>
        <w:trPr>
          <w:trHeight w:val="274" w:hRule="atLeast"/>
        </w:trPr>
        <w:tc>
          <w:tcPr>
            <w:tcW w:w="7513" w:type="dxa"/>
          </w:tcPr>
          <w:p>
            <w:pPr>
              <w:pStyle w:val="TableParagraph"/>
              <w:spacing w:line="254" w:lineRule="exact"/>
              <w:ind w:left="7"/>
              <w:rPr>
                <w:sz w:val="24"/>
              </w:rPr>
            </w:pPr>
            <w:r>
              <w:rPr>
                <w:sz w:val="24"/>
              </w:rPr>
              <w:t>Residencial</w:t>
            </w:r>
          </w:p>
        </w:tc>
        <w:tc>
          <w:tcPr>
            <w:tcW w:w="1889" w:type="dxa"/>
          </w:tcPr>
          <w:p>
            <w:pPr>
              <w:pStyle w:val="TableParagraph"/>
              <w:spacing w:line="254" w:lineRule="exact"/>
              <w:ind w:right="-15"/>
              <w:jc w:val="right"/>
              <w:rPr>
                <w:sz w:val="24"/>
              </w:rPr>
            </w:pPr>
            <w:r>
              <w:rPr>
                <w:sz w:val="24"/>
              </w:rPr>
              <w:t>$13,886.00</w:t>
            </w:r>
          </w:p>
        </w:tc>
      </w:tr>
      <w:tr>
        <w:trPr>
          <w:trHeight w:val="275" w:hRule="atLeast"/>
        </w:trPr>
        <w:tc>
          <w:tcPr>
            <w:tcW w:w="7513" w:type="dxa"/>
          </w:tcPr>
          <w:p>
            <w:pPr>
              <w:pStyle w:val="TableParagraph"/>
              <w:spacing w:line="255" w:lineRule="exact"/>
              <w:ind w:left="7"/>
              <w:rPr>
                <w:sz w:val="24"/>
              </w:rPr>
            </w:pPr>
            <w:r>
              <w:rPr>
                <w:sz w:val="24"/>
              </w:rPr>
              <w:t>Local comercial igual o menor a 100m²</w:t>
            </w:r>
          </w:p>
        </w:tc>
        <w:tc>
          <w:tcPr>
            <w:tcW w:w="1889" w:type="dxa"/>
          </w:tcPr>
          <w:p>
            <w:pPr>
              <w:pStyle w:val="TableParagraph"/>
              <w:spacing w:line="255" w:lineRule="exact"/>
              <w:ind w:right="-15"/>
              <w:jc w:val="right"/>
              <w:rPr>
                <w:sz w:val="24"/>
              </w:rPr>
            </w:pPr>
            <w:r>
              <w:rPr>
                <w:sz w:val="24"/>
              </w:rPr>
              <w:t>$14,650.00</w:t>
            </w:r>
          </w:p>
        </w:tc>
      </w:tr>
      <w:tr>
        <w:trPr>
          <w:trHeight w:val="551" w:hRule="atLeast"/>
        </w:trPr>
        <w:tc>
          <w:tcPr>
            <w:tcW w:w="7513" w:type="dxa"/>
          </w:tcPr>
          <w:p>
            <w:pPr>
              <w:pStyle w:val="TableParagraph"/>
              <w:spacing w:line="270" w:lineRule="atLeast"/>
              <w:ind w:left="7"/>
              <w:rPr>
                <w:sz w:val="24"/>
              </w:rPr>
            </w:pPr>
            <w:r>
              <w:rPr>
                <w:sz w:val="24"/>
              </w:rPr>
              <w:t>Local comercial igual o menor a 100m² sin consumo extraordinario de agua</w:t>
            </w:r>
          </w:p>
        </w:tc>
        <w:tc>
          <w:tcPr>
            <w:tcW w:w="1889" w:type="dxa"/>
          </w:tcPr>
          <w:p>
            <w:pPr>
              <w:pStyle w:val="TableParagraph"/>
              <w:ind w:right="-15"/>
              <w:jc w:val="right"/>
              <w:rPr>
                <w:sz w:val="24"/>
              </w:rPr>
            </w:pPr>
            <w:r>
              <w:rPr>
                <w:sz w:val="24"/>
              </w:rPr>
              <w:t>$7,302.00</w:t>
            </w:r>
          </w:p>
        </w:tc>
      </w:tr>
      <w:tr>
        <w:trPr>
          <w:trHeight w:val="274" w:hRule="atLeast"/>
        </w:trPr>
        <w:tc>
          <w:tcPr>
            <w:tcW w:w="7513" w:type="dxa"/>
          </w:tcPr>
          <w:p>
            <w:pPr>
              <w:pStyle w:val="TableParagraph"/>
              <w:spacing w:line="255" w:lineRule="exact"/>
              <w:ind w:left="7"/>
              <w:rPr>
                <w:sz w:val="24"/>
              </w:rPr>
            </w:pPr>
            <w:r>
              <w:rPr>
                <w:sz w:val="24"/>
              </w:rPr>
              <w:t>Local comercial de 101 a 200m²</w:t>
            </w:r>
          </w:p>
        </w:tc>
        <w:tc>
          <w:tcPr>
            <w:tcW w:w="1889" w:type="dxa"/>
          </w:tcPr>
          <w:p>
            <w:pPr>
              <w:pStyle w:val="TableParagraph"/>
              <w:spacing w:line="255" w:lineRule="exact"/>
              <w:ind w:right="-15"/>
              <w:jc w:val="right"/>
              <w:rPr>
                <w:sz w:val="24"/>
              </w:rPr>
            </w:pPr>
            <w:r>
              <w:rPr>
                <w:sz w:val="24"/>
              </w:rPr>
              <w:t>$15,323.00</w:t>
            </w:r>
          </w:p>
        </w:tc>
      </w:tr>
      <w:tr>
        <w:trPr>
          <w:trHeight w:val="277" w:hRule="atLeast"/>
        </w:trPr>
        <w:tc>
          <w:tcPr>
            <w:tcW w:w="7513" w:type="dxa"/>
          </w:tcPr>
          <w:p>
            <w:pPr>
              <w:pStyle w:val="TableParagraph"/>
              <w:spacing w:line="255" w:lineRule="exact" w:before="2"/>
              <w:ind w:left="7"/>
              <w:rPr>
                <w:sz w:val="24"/>
              </w:rPr>
            </w:pPr>
            <w:r>
              <w:rPr>
                <w:sz w:val="24"/>
              </w:rPr>
              <w:t>Local comercial de 101 a 200m² sin consumo extraordinario de</w:t>
            </w:r>
            <w:r>
              <w:rPr>
                <w:spacing w:val="54"/>
                <w:sz w:val="24"/>
              </w:rPr>
              <w:t> </w:t>
            </w:r>
            <w:r>
              <w:rPr>
                <w:sz w:val="24"/>
              </w:rPr>
              <w:t>agua</w:t>
            </w:r>
          </w:p>
        </w:tc>
        <w:tc>
          <w:tcPr>
            <w:tcW w:w="1889" w:type="dxa"/>
          </w:tcPr>
          <w:p>
            <w:pPr>
              <w:pStyle w:val="TableParagraph"/>
              <w:spacing w:line="255" w:lineRule="exact" w:before="2"/>
              <w:ind w:right="-15"/>
              <w:jc w:val="right"/>
              <w:rPr>
                <w:sz w:val="24"/>
              </w:rPr>
            </w:pPr>
            <w:r>
              <w:rPr>
                <w:sz w:val="24"/>
              </w:rPr>
              <w:t>$7,662.00</w:t>
            </w:r>
          </w:p>
        </w:tc>
      </w:tr>
      <w:tr>
        <w:trPr>
          <w:trHeight w:val="275" w:hRule="atLeast"/>
        </w:trPr>
        <w:tc>
          <w:tcPr>
            <w:tcW w:w="7513" w:type="dxa"/>
          </w:tcPr>
          <w:p>
            <w:pPr>
              <w:pStyle w:val="TableParagraph"/>
              <w:spacing w:line="255" w:lineRule="exact"/>
              <w:ind w:left="7"/>
              <w:rPr>
                <w:sz w:val="24"/>
              </w:rPr>
            </w:pPr>
            <w:r>
              <w:rPr>
                <w:sz w:val="24"/>
              </w:rPr>
              <w:t>Local comercial de 201 a 400m²</w:t>
            </w:r>
          </w:p>
        </w:tc>
        <w:tc>
          <w:tcPr>
            <w:tcW w:w="1889" w:type="dxa"/>
          </w:tcPr>
          <w:p>
            <w:pPr>
              <w:pStyle w:val="TableParagraph"/>
              <w:spacing w:line="255" w:lineRule="exact"/>
              <w:ind w:right="-15"/>
              <w:jc w:val="right"/>
              <w:rPr>
                <w:sz w:val="24"/>
              </w:rPr>
            </w:pPr>
            <w:r>
              <w:rPr>
                <w:sz w:val="24"/>
              </w:rPr>
              <w:t>$16,425.00</w:t>
            </w:r>
          </w:p>
        </w:tc>
      </w:tr>
      <w:tr>
        <w:trPr>
          <w:trHeight w:val="275" w:hRule="atLeast"/>
        </w:trPr>
        <w:tc>
          <w:tcPr>
            <w:tcW w:w="7513" w:type="dxa"/>
          </w:tcPr>
          <w:p>
            <w:pPr>
              <w:pStyle w:val="TableParagraph"/>
              <w:spacing w:line="255" w:lineRule="exact"/>
              <w:ind w:left="7"/>
              <w:rPr>
                <w:sz w:val="24"/>
              </w:rPr>
            </w:pPr>
            <w:r>
              <w:rPr>
                <w:sz w:val="24"/>
              </w:rPr>
              <w:t>Local comercial de 201 a 400m² sin consumo extraordinario de</w:t>
            </w:r>
            <w:r>
              <w:rPr>
                <w:spacing w:val="55"/>
                <w:sz w:val="24"/>
              </w:rPr>
              <w:t> </w:t>
            </w:r>
            <w:r>
              <w:rPr>
                <w:sz w:val="24"/>
              </w:rPr>
              <w:t>agua</w:t>
            </w:r>
          </w:p>
        </w:tc>
        <w:tc>
          <w:tcPr>
            <w:tcW w:w="1889" w:type="dxa"/>
          </w:tcPr>
          <w:p>
            <w:pPr>
              <w:pStyle w:val="TableParagraph"/>
              <w:spacing w:line="255" w:lineRule="exact"/>
              <w:ind w:right="-15"/>
              <w:jc w:val="right"/>
              <w:rPr>
                <w:sz w:val="24"/>
              </w:rPr>
            </w:pPr>
            <w:r>
              <w:rPr>
                <w:sz w:val="24"/>
              </w:rPr>
              <w:t>$8,601.00</w:t>
            </w:r>
          </w:p>
        </w:tc>
      </w:tr>
      <w:tr>
        <w:trPr>
          <w:trHeight w:val="275" w:hRule="atLeast"/>
        </w:trPr>
        <w:tc>
          <w:tcPr>
            <w:tcW w:w="7513" w:type="dxa"/>
          </w:tcPr>
          <w:p>
            <w:pPr>
              <w:pStyle w:val="TableParagraph"/>
              <w:spacing w:line="255" w:lineRule="exact"/>
              <w:ind w:left="7"/>
              <w:rPr>
                <w:sz w:val="24"/>
              </w:rPr>
            </w:pPr>
            <w:r>
              <w:rPr>
                <w:sz w:val="24"/>
              </w:rPr>
              <w:t>Local comercial mayor de 400m²</w:t>
            </w:r>
          </w:p>
        </w:tc>
        <w:tc>
          <w:tcPr>
            <w:tcW w:w="1889" w:type="dxa"/>
          </w:tcPr>
          <w:p>
            <w:pPr>
              <w:pStyle w:val="TableParagraph"/>
              <w:spacing w:line="255" w:lineRule="exact"/>
              <w:ind w:right="-15"/>
              <w:jc w:val="right"/>
              <w:rPr>
                <w:sz w:val="24"/>
              </w:rPr>
            </w:pPr>
            <w:r>
              <w:rPr>
                <w:sz w:val="24"/>
              </w:rPr>
              <w:t>$17,957.00</w:t>
            </w:r>
          </w:p>
        </w:tc>
      </w:tr>
      <w:tr>
        <w:trPr>
          <w:trHeight w:val="277" w:hRule="atLeast"/>
        </w:trPr>
        <w:tc>
          <w:tcPr>
            <w:tcW w:w="7513" w:type="dxa"/>
          </w:tcPr>
          <w:p>
            <w:pPr>
              <w:pStyle w:val="TableParagraph"/>
              <w:spacing w:line="255" w:lineRule="exact" w:before="2"/>
              <w:ind w:left="7"/>
              <w:rPr>
                <w:sz w:val="24"/>
              </w:rPr>
            </w:pPr>
            <w:r>
              <w:rPr>
                <w:sz w:val="24"/>
              </w:rPr>
              <w:t>Local comercial mayor de 400m² sin consumo extraordinario de</w:t>
            </w:r>
            <w:r>
              <w:rPr>
                <w:spacing w:val="57"/>
                <w:sz w:val="24"/>
              </w:rPr>
              <w:t> </w:t>
            </w:r>
            <w:r>
              <w:rPr>
                <w:sz w:val="24"/>
              </w:rPr>
              <w:t>agua</w:t>
            </w:r>
          </w:p>
        </w:tc>
        <w:tc>
          <w:tcPr>
            <w:tcW w:w="1889" w:type="dxa"/>
          </w:tcPr>
          <w:p>
            <w:pPr>
              <w:pStyle w:val="TableParagraph"/>
              <w:spacing w:line="255" w:lineRule="exact" w:before="2"/>
              <w:ind w:right="-15"/>
              <w:jc w:val="right"/>
              <w:rPr>
                <w:sz w:val="24"/>
              </w:rPr>
            </w:pPr>
            <w:r>
              <w:rPr>
                <w:sz w:val="24"/>
              </w:rPr>
              <w:t>$8,978.00</w:t>
            </w:r>
          </w:p>
        </w:tc>
      </w:tr>
    </w:tbl>
    <w:p>
      <w:pPr>
        <w:spacing w:after="0" w:line="255" w:lineRule="exact"/>
        <w:jc w:val="right"/>
        <w:rPr>
          <w:sz w:val="24"/>
        </w:rPr>
        <w:sectPr>
          <w:pgSz w:w="12250" w:h="15850"/>
          <w:pgMar w:header="730" w:footer="0" w:top="1000" w:bottom="280" w:left="860" w:right="820"/>
        </w:sectPr>
      </w:pPr>
    </w:p>
    <w:p>
      <w:pPr>
        <w:pStyle w:val="BodyText"/>
        <w:spacing w:before="183"/>
        <w:ind w:left="400"/>
      </w:pPr>
      <w:r>
        <w:rPr/>
        <w:t>Cada dictamen de factibilidad emitido por el Sistema Operador tendrá un costo de</w:t>
      </w:r>
    </w:p>
    <w:p>
      <w:pPr>
        <w:pStyle w:val="BodyText"/>
        <w:ind w:left="400"/>
      </w:pPr>
      <w:r>
        <w:rPr/>
        <w:t>$1,445.00.</w:t>
      </w:r>
    </w:p>
    <w:p>
      <w:pPr>
        <w:pStyle w:val="BodyText"/>
      </w:pPr>
    </w:p>
    <w:p>
      <w:pPr>
        <w:pStyle w:val="BodyText"/>
        <w:ind w:left="400" w:right="484"/>
      </w:pPr>
      <w:r>
        <w:rPr/>
        <w:t>Todos los conceptos anteriores que sean para uso comercial e industrial ya incluyen el IVA.</w:t>
      </w:r>
    </w:p>
    <w:p>
      <w:pPr>
        <w:pStyle w:val="BodyText"/>
      </w:pPr>
    </w:p>
    <w:p>
      <w:pPr>
        <w:pStyle w:val="BodyText"/>
        <w:ind w:left="400" w:right="432"/>
        <w:jc w:val="both"/>
      </w:pPr>
      <w:r>
        <w:rPr/>
        <w:drawing>
          <wp:anchor distT="0" distB="0" distL="0" distR="0" allowOverlap="1" layoutInCell="1" locked="0" behindDoc="1" simplePos="0" relativeHeight="227538944">
            <wp:simplePos x="0" y="0"/>
            <wp:positionH relativeFrom="page">
              <wp:posOffset>1239220</wp:posOffset>
            </wp:positionH>
            <wp:positionV relativeFrom="paragraph">
              <wp:posOffset>242517</wp:posOffset>
            </wp:positionV>
            <wp:extent cx="5022641" cy="5144769"/>
            <wp:effectExtent l="0" t="0" r="0" b="0"/>
            <wp:wrapNone/>
            <wp:docPr id="139" name="image65.png"/>
            <wp:cNvGraphicFramePr>
              <a:graphicFrameLocks noChangeAspect="1"/>
            </wp:cNvGraphicFramePr>
            <a:graphic>
              <a:graphicData uri="http://schemas.openxmlformats.org/drawingml/2006/picture">
                <pic:pic>
                  <pic:nvPicPr>
                    <pic:cNvPr id="140" name="image65.png"/>
                    <pic:cNvPicPr/>
                  </pic:nvPicPr>
                  <pic:blipFill>
                    <a:blip r:embed="rId75" cstate="print"/>
                    <a:stretch>
                      <a:fillRect/>
                    </a:stretch>
                  </pic:blipFill>
                  <pic:spPr>
                    <a:xfrm>
                      <a:off x="0" y="0"/>
                      <a:ext cx="5022641" cy="5144769"/>
                    </a:xfrm>
                    <a:prstGeom prst="rect">
                      <a:avLst/>
                    </a:prstGeom>
                  </pic:spPr>
                </pic:pic>
              </a:graphicData>
            </a:graphic>
          </wp:anchor>
        </w:drawing>
      </w:r>
      <w:r>
        <w:rPr/>
        <w:t>Respecto de los conceptos que sean para uso habitacional, ya incluyen el IVA; mismo que estará grabado a TASA 0%; según lo dispone el artículo 2 – A, Fracción II, inciso H de la Ley del impuesto al valor agregado.</w:t>
      </w:r>
    </w:p>
    <w:p>
      <w:pPr>
        <w:pStyle w:val="BodyText"/>
      </w:pPr>
    </w:p>
    <w:p>
      <w:pPr>
        <w:pStyle w:val="Heading1"/>
        <w:numPr>
          <w:ilvl w:val="1"/>
          <w:numId w:val="55"/>
        </w:numPr>
        <w:tabs>
          <w:tab w:pos="967" w:val="left" w:leader="none"/>
        </w:tabs>
        <w:spacing w:line="240" w:lineRule="auto" w:before="0" w:after="0"/>
        <w:ind w:left="966" w:right="0" w:hanging="567"/>
        <w:jc w:val="left"/>
      </w:pPr>
      <w:r>
        <w:rPr/>
        <w:t>Supervisión de Obra.</w:t>
      </w:r>
    </w:p>
    <w:p>
      <w:pPr>
        <w:pStyle w:val="BodyText"/>
        <w:rPr>
          <w:b/>
        </w:rPr>
      </w:pPr>
    </w:p>
    <w:p>
      <w:pPr>
        <w:pStyle w:val="BodyText"/>
        <w:spacing w:before="1"/>
        <w:ind w:left="400" w:right="434"/>
        <w:jc w:val="both"/>
      </w:pPr>
      <w:r>
        <w:rPr/>
        <w:t>De la misma forma, el Sistema Operador cobrará a los desarrolladores inmobiliarios la supervisión de obra, lo cual tendrá un costo de $100.00.</w:t>
      </w:r>
    </w:p>
    <w:p>
      <w:pPr>
        <w:pStyle w:val="BodyText"/>
      </w:pPr>
    </w:p>
    <w:p>
      <w:pPr>
        <w:pStyle w:val="BodyText"/>
        <w:ind w:left="400"/>
        <w:jc w:val="both"/>
      </w:pPr>
      <w:r>
        <w:rPr/>
        <w:t>Para los efectos de este apartado se entiende por servicio:</w:t>
      </w:r>
    </w:p>
    <w:p>
      <w:pPr>
        <w:pStyle w:val="BodyText"/>
      </w:pPr>
    </w:p>
    <w:p>
      <w:pPr>
        <w:pStyle w:val="ListParagraph"/>
        <w:numPr>
          <w:ilvl w:val="0"/>
          <w:numId w:val="62"/>
        </w:numPr>
        <w:tabs>
          <w:tab w:pos="966" w:val="left" w:leader="none"/>
          <w:tab w:pos="967" w:val="left" w:leader="none"/>
        </w:tabs>
        <w:spacing w:line="240" w:lineRule="auto" w:before="0" w:after="0"/>
        <w:ind w:left="966" w:right="0" w:hanging="567"/>
        <w:jc w:val="left"/>
        <w:rPr>
          <w:sz w:val="24"/>
        </w:rPr>
      </w:pPr>
      <w:r>
        <w:rPr>
          <w:sz w:val="24"/>
        </w:rPr>
        <w:t>Tendido de tubería en red de distribución o red de atarjeas,</w:t>
      </w:r>
      <w:r>
        <w:rPr>
          <w:spacing w:val="-3"/>
          <w:sz w:val="24"/>
        </w:rPr>
        <w:t> </w:t>
      </w:r>
      <w:r>
        <w:rPr>
          <w:sz w:val="24"/>
        </w:rPr>
        <w:t>e</w:t>
      </w:r>
    </w:p>
    <w:p>
      <w:pPr>
        <w:pStyle w:val="BodyText"/>
      </w:pPr>
    </w:p>
    <w:p>
      <w:pPr>
        <w:pStyle w:val="ListParagraph"/>
        <w:numPr>
          <w:ilvl w:val="0"/>
          <w:numId w:val="62"/>
        </w:numPr>
        <w:tabs>
          <w:tab w:pos="966" w:val="left" w:leader="none"/>
          <w:tab w:pos="967" w:val="left" w:leader="none"/>
        </w:tabs>
        <w:spacing w:line="240" w:lineRule="auto" w:before="0" w:after="0"/>
        <w:ind w:left="966" w:right="0" w:hanging="567"/>
        <w:jc w:val="left"/>
        <w:rPr>
          <w:sz w:val="24"/>
        </w:rPr>
      </w:pPr>
      <w:r>
        <w:rPr>
          <w:sz w:val="24"/>
        </w:rPr>
        <w:t>Instalación de tomas o descargas</w:t>
      </w:r>
      <w:r>
        <w:rPr>
          <w:spacing w:val="-2"/>
          <w:sz w:val="24"/>
        </w:rPr>
        <w:t> </w:t>
      </w:r>
      <w:r>
        <w:rPr>
          <w:sz w:val="24"/>
        </w:rPr>
        <w:t>domiciliarias.</w:t>
      </w:r>
    </w:p>
    <w:p>
      <w:pPr>
        <w:pStyle w:val="BodyText"/>
      </w:pPr>
    </w:p>
    <w:p>
      <w:pPr>
        <w:pStyle w:val="BodyText"/>
        <w:ind w:left="400" w:right="432"/>
        <w:jc w:val="both"/>
      </w:pPr>
      <w:r>
        <w:rPr/>
        <w:t>En todo caso se faculta al Sistema Operador para que condicione los requisitos que considere necesarios que la empresa desarrolladora deberá cumplir, a efecto de que le sea otorgada la factibilidad, y que podrán ir insertos en el documento de la factibilidad con la leyenda de que ésta queda sin efecto sino se cumple con los</w:t>
      </w:r>
      <w:r>
        <w:rPr>
          <w:spacing w:val="-15"/>
        </w:rPr>
        <w:t> </w:t>
      </w:r>
      <w:r>
        <w:rPr/>
        <w:t>mismos.</w:t>
      </w:r>
    </w:p>
    <w:p>
      <w:pPr>
        <w:pStyle w:val="BodyText"/>
        <w:spacing w:before="1"/>
      </w:pPr>
    </w:p>
    <w:p>
      <w:pPr>
        <w:pStyle w:val="Heading1"/>
        <w:numPr>
          <w:ilvl w:val="1"/>
          <w:numId w:val="55"/>
        </w:numPr>
        <w:tabs>
          <w:tab w:pos="967" w:val="left" w:leader="none"/>
        </w:tabs>
        <w:spacing w:line="240" w:lineRule="auto" w:before="0" w:after="0"/>
        <w:ind w:left="966" w:right="0" w:hanging="567"/>
        <w:jc w:val="left"/>
      </w:pPr>
      <w:r>
        <w:rPr/>
        <w:t>Factibilidad con base a estudio</w:t>
      </w:r>
      <w:r>
        <w:rPr>
          <w:spacing w:val="-3"/>
        </w:rPr>
        <w:t> </w:t>
      </w:r>
      <w:r>
        <w:rPr/>
        <w:t>hidráulico.</w:t>
      </w:r>
    </w:p>
    <w:p>
      <w:pPr>
        <w:pStyle w:val="BodyText"/>
        <w:rPr>
          <w:b/>
        </w:rPr>
      </w:pPr>
    </w:p>
    <w:p>
      <w:pPr>
        <w:pStyle w:val="BodyText"/>
        <w:ind w:left="400" w:right="432"/>
        <w:jc w:val="both"/>
      </w:pPr>
      <w:r>
        <w:rPr/>
        <w:t>Aquellos Usuarios que requieran en sus servicios una demanda de diámetros mayores a 13mm deberán contratar el servicio conforme a la demanda requerida a una tarifa unitaria por litro por segundo base por contratación: $404.456.00.</w:t>
      </w:r>
    </w:p>
    <w:p>
      <w:pPr>
        <w:pStyle w:val="BodyText"/>
      </w:pPr>
    </w:p>
    <w:p>
      <w:pPr>
        <w:pStyle w:val="BodyText"/>
        <w:ind w:left="400"/>
        <w:jc w:val="both"/>
      </w:pPr>
      <w:r>
        <w:rPr/>
        <w:t>El dictamen de factibilidad emitido por el Sistema Operador tendrá un costo de $1,445.00.</w:t>
      </w:r>
    </w:p>
    <w:p>
      <w:pPr>
        <w:pStyle w:val="BodyText"/>
      </w:pPr>
    </w:p>
    <w:p>
      <w:pPr>
        <w:pStyle w:val="Heading1"/>
        <w:numPr>
          <w:ilvl w:val="1"/>
          <w:numId w:val="55"/>
        </w:numPr>
        <w:tabs>
          <w:tab w:pos="967" w:val="left" w:leader="none"/>
        </w:tabs>
        <w:spacing w:line="240" w:lineRule="auto" w:before="0" w:after="0"/>
        <w:ind w:left="966" w:right="0" w:hanging="567"/>
        <w:jc w:val="left"/>
      </w:pPr>
      <w:r>
        <w:rPr/>
        <w:t>Instalación de conexiones y cambios de</w:t>
      </w:r>
      <w:r>
        <w:rPr>
          <w:spacing w:val="-2"/>
        </w:rPr>
        <w:t> </w:t>
      </w:r>
      <w:r>
        <w:rPr/>
        <w:t>drenaje.</w:t>
      </w:r>
    </w:p>
    <w:p>
      <w:pPr>
        <w:pStyle w:val="BodyText"/>
        <w:rPr>
          <w:b/>
        </w:rPr>
      </w:pPr>
    </w:p>
    <w:p>
      <w:pPr>
        <w:pStyle w:val="BodyText"/>
        <w:ind w:left="400" w:right="434"/>
        <w:jc w:val="both"/>
      </w:pPr>
      <w:r>
        <w:rPr/>
        <w:t>El tabulador de costos por metro instalado de drenaje sanitario por descarga domiciliaria, más juego de silleta y codo (incluye material y mano de obra), es el siguiente:</w:t>
      </w:r>
    </w:p>
    <w:p>
      <w:pPr>
        <w:pStyle w:val="BodyText"/>
        <w:spacing w:before="7"/>
        <w:rPr>
          <w:sz w:val="23"/>
        </w:rPr>
      </w:pPr>
    </w:p>
    <w:tbl>
      <w:tblPr>
        <w:tblW w:w="0" w:type="auto"/>
        <w:jc w:val="left"/>
        <w:tblInd w:w="8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50"/>
        <w:gridCol w:w="1135"/>
        <w:gridCol w:w="1418"/>
        <w:gridCol w:w="1558"/>
        <w:gridCol w:w="1159"/>
        <w:gridCol w:w="1277"/>
        <w:gridCol w:w="1132"/>
      </w:tblGrid>
      <w:tr>
        <w:trPr>
          <w:trHeight w:val="872" w:hRule="atLeast"/>
        </w:trPr>
        <w:tc>
          <w:tcPr>
            <w:tcW w:w="2385" w:type="dxa"/>
            <w:gridSpan w:val="2"/>
          </w:tcPr>
          <w:p>
            <w:pPr>
              <w:pStyle w:val="TableParagraph"/>
              <w:spacing w:before="4"/>
              <w:ind w:left="13" w:right="774"/>
              <w:rPr>
                <w:b/>
                <w:sz w:val="24"/>
              </w:rPr>
            </w:pPr>
            <w:r>
              <w:rPr>
                <w:b/>
                <w:sz w:val="24"/>
              </w:rPr>
              <w:t>Juego o Silleta y codo</w:t>
            </w:r>
          </w:p>
        </w:tc>
        <w:tc>
          <w:tcPr>
            <w:tcW w:w="6544" w:type="dxa"/>
            <w:gridSpan w:val="5"/>
            <w:tcBorders>
              <w:top w:val="single" w:sz="8" w:space="0" w:color="000000"/>
              <w:right w:val="single" w:sz="8" w:space="0" w:color="000000"/>
            </w:tcBorders>
          </w:tcPr>
          <w:p>
            <w:pPr>
              <w:pStyle w:val="TableParagraph"/>
              <w:spacing w:before="4"/>
              <w:ind w:left="14" w:right="1563"/>
              <w:rPr>
                <w:b/>
                <w:sz w:val="24"/>
              </w:rPr>
            </w:pPr>
            <w:r>
              <w:rPr>
                <w:b/>
                <w:sz w:val="24"/>
              </w:rPr>
              <w:t>Superficie de Rodamiento x metro (de1.00a 3.00metrosde profundidad)</w:t>
            </w:r>
          </w:p>
        </w:tc>
      </w:tr>
      <w:tr>
        <w:trPr>
          <w:trHeight w:val="296" w:hRule="atLeast"/>
        </w:trPr>
        <w:tc>
          <w:tcPr>
            <w:tcW w:w="1250" w:type="dxa"/>
          </w:tcPr>
          <w:p>
            <w:pPr>
              <w:pStyle w:val="TableParagraph"/>
              <w:rPr>
                <w:rFonts w:ascii="Times New Roman"/>
                <w:sz w:val="22"/>
              </w:rPr>
            </w:pPr>
          </w:p>
        </w:tc>
        <w:tc>
          <w:tcPr>
            <w:tcW w:w="1135" w:type="dxa"/>
          </w:tcPr>
          <w:p>
            <w:pPr>
              <w:pStyle w:val="TableParagraph"/>
              <w:spacing w:line="260" w:lineRule="exact" w:before="16"/>
              <w:ind w:left="14"/>
              <w:rPr>
                <w:b/>
                <w:sz w:val="24"/>
              </w:rPr>
            </w:pPr>
            <w:r>
              <w:rPr>
                <w:b/>
                <w:sz w:val="24"/>
              </w:rPr>
              <w:t>Costo</w:t>
            </w:r>
          </w:p>
        </w:tc>
        <w:tc>
          <w:tcPr>
            <w:tcW w:w="1418" w:type="dxa"/>
          </w:tcPr>
          <w:p>
            <w:pPr>
              <w:pStyle w:val="TableParagraph"/>
              <w:spacing w:line="274" w:lineRule="exact" w:before="2"/>
              <w:ind w:left="14"/>
              <w:rPr>
                <w:b/>
                <w:sz w:val="24"/>
              </w:rPr>
            </w:pPr>
            <w:r>
              <w:rPr>
                <w:b/>
                <w:sz w:val="24"/>
              </w:rPr>
              <w:t>Terracería</w:t>
            </w:r>
          </w:p>
        </w:tc>
        <w:tc>
          <w:tcPr>
            <w:tcW w:w="1558" w:type="dxa"/>
          </w:tcPr>
          <w:p>
            <w:pPr>
              <w:pStyle w:val="TableParagraph"/>
              <w:spacing w:line="274" w:lineRule="exact" w:before="2"/>
              <w:ind w:left="12"/>
              <w:rPr>
                <w:b/>
                <w:sz w:val="24"/>
              </w:rPr>
            </w:pPr>
            <w:r>
              <w:rPr>
                <w:b/>
                <w:sz w:val="24"/>
              </w:rPr>
              <w:t>Empedrado</w:t>
            </w:r>
          </w:p>
        </w:tc>
        <w:tc>
          <w:tcPr>
            <w:tcW w:w="1159" w:type="dxa"/>
          </w:tcPr>
          <w:p>
            <w:pPr>
              <w:pStyle w:val="TableParagraph"/>
              <w:spacing w:line="260" w:lineRule="exact" w:before="16"/>
              <w:ind w:left="15"/>
              <w:rPr>
                <w:b/>
                <w:sz w:val="24"/>
              </w:rPr>
            </w:pPr>
            <w:r>
              <w:rPr>
                <w:b/>
                <w:sz w:val="24"/>
              </w:rPr>
              <w:t>Asfalto</w:t>
            </w:r>
          </w:p>
        </w:tc>
        <w:tc>
          <w:tcPr>
            <w:tcW w:w="1277" w:type="dxa"/>
          </w:tcPr>
          <w:p>
            <w:pPr>
              <w:pStyle w:val="TableParagraph"/>
              <w:spacing w:line="260" w:lineRule="exact" w:before="16"/>
              <w:ind w:left="15"/>
              <w:rPr>
                <w:b/>
                <w:sz w:val="24"/>
              </w:rPr>
            </w:pPr>
            <w:r>
              <w:rPr>
                <w:b/>
                <w:sz w:val="24"/>
              </w:rPr>
              <w:t>Adoquín</w:t>
            </w:r>
          </w:p>
        </w:tc>
        <w:tc>
          <w:tcPr>
            <w:tcW w:w="1132" w:type="dxa"/>
          </w:tcPr>
          <w:p>
            <w:pPr>
              <w:pStyle w:val="TableParagraph"/>
              <w:spacing w:line="260" w:lineRule="exact" w:before="16"/>
              <w:ind w:left="15"/>
              <w:rPr>
                <w:b/>
                <w:sz w:val="24"/>
              </w:rPr>
            </w:pPr>
            <w:r>
              <w:rPr>
                <w:b/>
                <w:sz w:val="24"/>
              </w:rPr>
              <w:t>Concreto</w:t>
            </w:r>
          </w:p>
        </w:tc>
      </w:tr>
      <w:tr>
        <w:trPr>
          <w:trHeight w:val="390" w:hRule="atLeast"/>
        </w:trPr>
        <w:tc>
          <w:tcPr>
            <w:tcW w:w="1250" w:type="dxa"/>
            <w:tcBorders>
              <w:left w:val="single" w:sz="8" w:space="0" w:color="000000"/>
              <w:bottom w:val="single" w:sz="8" w:space="0" w:color="000000"/>
              <w:right w:val="single" w:sz="8" w:space="0" w:color="000000"/>
            </w:tcBorders>
          </w:tcPr>
          <w:p>
            <w:pPr>
              <w:pStyle w:val="TableParagraph"/>
              <w:spacing w:before="2"/>
              <w:ind w:left="14"/>
              <w:rPr>
                <w:sz w:val="24"/>
              </w:rPr>
            </w:pPr>
            <w:r>
              <w:rPr>
                <w:sz w:val="24"/>
              </w:rPr>
              <w:t>8" X</w:t>
            </w:r>
            <w:r>
              <w:rPr>
                <w:spacing w:val="65"/>
                <w:sz w:val="24"/>
              </w:rPr>
              <w:t> </w:t>
            </w:r>
            <w:r>
              <w:rPr>
                <w:sz w:val="24"/>
              </w:rPr>
              <w:t>6"</w:t>
            </w:r>
          </w:p>
        </w:tc>
        <w:tc>
          <w:tcPr>
            <w:tcW w:w="1135" w:type="dxa"/>
            <w:tcBorders>
              <w:left w:val="single" w:sz="8" w:space="0" w:color="000000"/>
              <w:bottom w:val="single" w:sz="8" w:space="0" w:color="000000"/>
            </w:tcBorders>
          </w:tcPr>
          <w:p>
            <w:pPr>
              <w:pStyle w:val="TableParagraph"/>
              <w:spacing w:before="2"/>
              <w:ind w:left="14"/>
              <w:rPr>
                <w:sz w:val="24"/>
              </w:rPr>
            </w:pPr>
            <w:r>
              <w:rPr>
                <w:sz w:val="24"/>
              </w:rPr>
              <w:t>$629.00</w:t>
            </w:r>
          </w:p>
        </w:tc>
        <w:tc>
          <w:tcPr>
            <w:tcW w:w="1418" w:type="dxa"/>
            <w:vMerge w:val="restart"/>
          </w:tcPr>
          <w:p>
            <w:pPr>
              <w:pStyle w:val="TableParagraph"/>
              <w:rPr>
                <w:sz w:val="26"/>
              </w:rPr>
            </w:pPr>
          </w:p>
          <w:p>
            <w:pPr>
              <w:pStyle w:val="TableParagraph"/>
              <w:spacing w:before="188"/>
              <w:ind w:left="14"/>
              <w:rPr>
                <w:sz w:val="24"/>
              </w:rPr>
            </w:pPr>
            <w:r>
              <w:rPr>
                <w:sz w:val="24"/>
              </w:rPr>
              <w:t>$364.00</w:t>
            </w:r>
          </w:p>
        </w:tc>
        <w:tc>
          <w:tcPr>
            <w:tcW w:w="1558" w:type="dxa"/>
            <w:vMerge w:val="restart"/>
          </w:tcPr>
          <w:p>
            <w:pPr>
              <w:pStyle w:val="TableParagraph"/>
              <w:rPr>
                <w:sz w:val="26"/>
              </w:rPr>
            </w:pPr>
          </w:p>
          <w:p>
            <w:pPr>
              <w:pStyle w:val="TableParagraph"/>
              <w:spacing w:before="188"/>
              <w:ind w:left="12"/>
              <w:rPr>
                <w:sz w:val="24"/>
              </w:rPr>
            </w:pPr>
            <w:r>
              <w:rPr>
                <w:sz w:val="24"/>
              </w:rPr>
              <w:t>$412.00</w:t>
            </w:r>
          </w:p>
        </w:tc>
        <w:tc>
          <w:tcPr>
            <w:tcW w:w="1159" w:type="dxa"/>
            <w:vMerge w:val="restart"/>
          </w:tcPr>
          <w:p>
            <w:pPr>
              <w:pStyle w:val="TableParagraph"/>
              <w:rPr>
                <w:sz w:val="26"/>
              </w:rPr>
            </w:pPr>
          </w:p>
          <w:p>
            <w:pPr>
              <w:pStyle w:val="TableParagraph"/>
              <w:spacing w:before="188"/>
              <w:ind w:left="15"/>
              <w:rPr>
                <w:sz w:val="24"/>
              </w:rPr>
            </w:pPr>
            <w:r>
              <w:rPr>
                <w:sz w:val="24"/>
              </w:rPr>
              <w:t>$592.00</w:t>
            </w:r>
          </w:p>
        </w:tc>
        <w:tc>
          <w:tcPr>
            <w:tcW w:w="1277" w:type="dxa"/>
            <w:vMerge w:val="restart"/>
          </w:tcPr>
          <w:p>
            <w:pPr>
              <w:pStyle w:val="TableParagraph"/>
              <w:rPr>
                <w:sz w:val="26"/>
              </w:rPr>
            </w:pPr>
          </w:p>
          <w:p>
            <w:pPr>
              <w:pStyle w:val="TableParagraph"/>
              <w:spacing w:before="188"/>
              <w:ind w:left="15"/>
              <w:rPr>
                <w:sz w:val="24"/>
              </w:rPr>
            </w:pPr>
            <w:r>
              <w:rPr>
                <w:sz w:val="24"/>
              </w:rPr>
              <w:t>$559.00</w:t>
            </w:r>
          </w:p>
        </w:tc>
        <w:tc>
          <w:tcPr>
            <w:tcW w:w="1132" w:type="dxa"/>
            <w:vMerge w:val="restart"/>
          </w:tcPr>
          <w:p>
            <w:pPr>
              <w:pStyle w:val="TableParagraph"/>
              <w:rPr>
                <w:sz w:val="26"/>
              </w:rPr>
            </w:pPr>
          </w:p>
          <w:p>
            <w:pPr>
              <w:pStyle w:val="TableParagraph"/>
              <w:spacing w:before="188"/>
              <w:ind w:left="15"/>
              <w:rPr>
                <w:sz w:val="24"/>
              </w:rPr>
            </w:pPr>
            <w:r>
              <w:rPr>
                <w:sz w:val="24"/>
              </w:rPr>
              <w:t>$687.00</w:t>
            </w:r>
          </w:p>
        </w:tc>
      </w:tr>
      <w:tr>
        <w:trPr>
          <w:trHeight w:val="401" w:hRule="atLeast"/>
        </w:trPr>
        <w:tc>
          <w:tcPr>
            <w:tcW w:w="1250" w:type="dxa"/>
            <w:tcBorders>
              <w:top w:val="single" w:sz="8" w:space="0" w:color="000000"/>
              <w:left w:val="single" w:sz="8" w:space="0" w:color="000000"/>
              <w:bottom w:val="single" w:sz="8" w:space="0" w:color="000000"/>
              <w:right w:val="single" w:sz="8" w:space="0" w:color="000000"/>
            </w:tcBorders>
          </w:tcPr>
          <w:p>
            <w:pPr>
              <w:pStyle w:val="TableParagraph"/>
              <w:spacing w:before="7"/>
              <w:ind w:left="14"/>
              <w:rPr>
                <w:sz w:val="24"/>
              </w:rPr>
            </w:pPr>
            <w:r>
              <w:rPr>
                <w:sz w:val="24"/>
              </w:rPr>
              <w:t>10"X</w:t>
            </w:r>
            <w:r>
              <w:rPr>
                <w:spacing w:val="65"/>
                <w:sz w:val="24"/>
              </w:rPr>
              <w:t> </w:t>
            </w:r>
            <w:r>
              <w:rPr>
                <w:sz w:val="24"/>
              </w:rPr>
              <w:t>6"</w:t>
            </w:r>
          </w:p>
        </w:tc>
        <w:tc>
          <w:tcPr>
            <w:tcW w:w="1135" w:type="dxa"/>
            <w:tcBorders>
              <w:top w:val="single" w:sz="8" w:space="0" w:color="000000"/>
              <w:left w:val="single" w:sz="8" w:space="0" w:color="000000"/>
              <w:bottom w:val="single" w:sz="8" w:space="0" w:color="000000"/>
            </w:tcBorders>
          </w:tcPr>
          <w:p>
            <w:pPr>
              <w:pStyle w:val="TableParagraph"/>
              <w:spacing w:before="7"/>
              <w:ind w:left="14"/>
              <w:rPr>
                <w:sz w:val="24"/>
              </w:rPr>
            </w:pPr>
            <w:r>
              <w:rPr>
                <w:sz w:val="24"/>
              </w:rPr>
              <w:t>$674.00</w:t>
            </w:r>
          </w:p>
        </w:tc>
        <w:tc>
          <w:tcPr>
            <w:tcW w:w="1418" w:type="dxa"/>
            <w:vMerge/>
            <w:tcBorders>
              <w:top w:val="nil"/>
            </w:tcBorders>
          </w:tcPr>
          <w:p>
            <w:pPr>
              <w:rPr>
                <w:sz w:val="2"/>
                <w:szCs w:val="2"/>
              </w:rPr>
            </w:pPr>
          </w:p>
        </w:tc>
        <w:tc>
          <w:tcPr>
            <w:tcW w:w="1558" w:type="dxa"/>
            <w:vMerge/>
            <w:tcBorders>
              <w:top w:val="nil"/>
            </w:tcBorders>
          </w:tcPr>
          <w:p>
            <w:pPr>
              <w:rPr>
                <w:sz w:val="2"/>
                <w:szCs w:val="2"/>
              </w:rPr>
            </w:pPr>
          </w:p>
        </w:tc>
        <w:tc>
          <w:tcPr>
            <w:tcW w:w="1159" w:type="dxa"/>
            <w:vMerge/>
            <w:tcBorders>
              <w:top w:val="nil"/>
            </w:tcBorders>
          </w:tcPr>
          <w:p>
            <w:pPr>
              <w:rPr>
                <w:sz w:val="2"/>
                <w:szCs w:val="2"/>
              </w:rPr>
            </w:pPr>
          </w:p>
        </w:tc>
        <w:tc>
          <w:tcPr>
            <w:tcW w:w="1277" w:type="dxa"/>
            <w:vMerge/>
            <w:tcBorders>
              <w:top w:val="nil"/>
            </w:tcBorders>
          </w:tcPr>
          <w:p>
            <w:pPr>
              <w:rPr>
                <w:sz w:val="2"/>
                <w:szCs w:val="2"/>
              </w:rPr>
            </w:pPr>
          </w:p>
        </w:tc>
        <w:tc>
          <w:tcPr>
            <w:tcW w:w="1132" w:type="dxa"/>
            <w:vMerge/>
            <w:tcBorders>
              <w:top w:val="nil"/>
            </w:tcBorders>
          </w:tcPr>
          <w:p>
            <w:pPr>
              <w:rPr>
                <w:sz w:val="2"/>
                <w:szCs w:val="2"/>
              </w:rPr>
            </w:pPr>
          </w:p>
        </w:tc>
      </w:tr>
      <w:tr>
        <w:trPr>
          <w:trHeight w:val="392" w:hRule="atLeast"/>
        </w:trPr>
        <w:tc>
          <w:tcPr>
            <w:tcW w:w="1250" w:type="dxa"/>
            <w:tcBorders>
              <w:top w:val="single" w:sz="8" w:space="0" w:color="000000"/>
              <w:left w:val="single" w:sz="8" w:space="0" w:color="000000"/>
              <w:bottom w:val="single" w:sz="8" w:space="0" w:color="000000"/>
              <w:right w:val="single" w:sz="8" w:space="0" w:color="000000"/>
            </w:tcBorders>
          </w:tcPr>
          <w:p>
            <w:pPr>
              <w:pStyle w:val="TableParagraph"/>
              <w:spacing w:before="4"/>
              <w:ind w:left="14"/>
              <w:rPr>
                <w:sz w:val="24"/>
              </w:rPr>
            </w:pPr>
            <w:r>
              <w:rPr>
                <w:sz w:val="24"/>
              </w:rPr>
              <w:t>12"X</w:t>
            </w:r>
            <w:r>
              <w:rPr>
                <w:spacing w:val="65"/>
                <w:sz w:val="24"/>
              </w:rPr>
              <w:t> </w:t>
            </w:r>
            <w:r>
              <w:rPr>
                <w:sz w:val="24"/>
              </w:rPr>
              <w:t>6"</w:t>
            </w:r>
          </w:p>
        </w:tc>
        <w:tc>
          <w:tcPr>
            <w:tcW w:w="1135" w:type="dxa"/>
            <w:tcBorders>
              <w:top w:val="single" w:sz="8" w:space="0" w:color="000000"/>
              <w:left w:val="single" w:sz="8" w:space="0" w:color="000000"/>
              <w:bottom w:val="single" w:sz="8" w:space="0" w:color="000000"/>
            </w:tcBorders>
          </w:tcPr>
          <w:p>
            <w:pPr>
              <w:pStyle w:val="TableParagraph"/>
              <w:spacing w:before="4"/>
              <w:ind w:left="14"/>
              <w:rPr>
                <w:sz w:val="24"/>
              </w:rPr>
            </w:pPr>
            <w:r>
              <w:rPr>
                <w:sz w:val="24"/>
              </w:rPr>
              <w:t>$745.00</w:t>
            </w:r>
          </w:p>
        </w:tc>
        <w:tc>
          <w:tcPr>
            <w:tcW w:w="1418" w:type="dxa"/>
            <w:vMerge/>
            <w:tcBorders>
              <w:top w:val="nil"/>
            </w:tcBorders>
          </w:tcPr>
          <w:p>
            <w:pPr>
              <w:rPr>
                <w:sz w:val="2"/>
                <w:szCs w:val="2"/>
              </w:rPr>
            </w:pPr>
          </w:p>
        </w:tc>
        <w:tc>
          <w:tcPr>
            <w:tcW w:w="1558" w:type="dxa"/>
            <w:vMerge/>
            <w:tcBorders>
              <w:top w:val="nil"/>
            </w:tcBorders>
          </w:tcPr>
          <w:p>
            <w:pPr>
              <w:rPr>
                <w:sz w:val="2"/>
                <w:szCs w:val="2"/>
              </w:rPr>
            </w:pPr>
          </w:p>
        </w:tc>
        <w:tc>
          <w:tcPr>
            <w:tcW w:w="1159" w:type="dxa"/>
            <w:vMerge/>
            <w:tcBorders>
              <w:top w:val="nil"/>
            </w:tcBorders>
          </w:tcPr>
          <w:p>
            <w:pPr>
              <w:rPr>
                <w:sz w:val="2"/>
                <w:szCs w:val="2"/>
              </w:rPr>
            </w:pPr>
          </w:p>
        </w:tc>
        <w:tc>
          <w:tcPr>
            <w:tcW w:w="1277" w:type="dxa"/>
            <w:vMerge/>
            <w:tcBorders>
              <w:top w:val="nil"/>
            </w:tcBorders>
          </w:tcPr>
          <w:p>
            <w:pPr>
              <w:rPr>
                <w:sz w:val="2"/>
                <w:szCs w:val="2"/>
              </w:rPr>
            </w:pPr>
          </w:p>
        </w:tc>
        <w:tc>
          <w:tcPr>
            <w:tcW w:w="1132" w:type="dxa"/>
            <w:vMerge/>
            <w:tcBorders>
              <w:top w:val="nil"/>
            </w:tcBorders>
          </w:tcPr>
          <w:p>
            <w:pPr>
              <w:rPr>
                <w:sz w:val="2"/>
                <w:szCs w:val="2"/>
              </w:rPr>
            </w:pPr>
          </w:p>
        </w:tc>
      </w:tr>
    </w:tbl>
    <w:p>
      <w:pPr>
        <w:spacing w:after="0"/>
        <w:rPr>
          <w:sz w:val="2"/>
          <w:szCs w:val="2"/>
        </w:rPr>
        <w:sectPr>
          <w:pgSz w:w="12250" w:h="15850"/>
          <w:pgMar w:header="730" w:footer="0" w:top="1000" w:bottom="280" w:left="860" w:right="820"/>
        </w:sectPr>
      </w:pPr>
    </w:p>
    <w:p>
      <w:pPr>
        <w:pStyle w:val="BodyText"/>
        <w:spacing w:before="1"/>
        <w:rPr>
          <w:sz w:val="9"/>
        </w:rPr>
      </w:pPr>
    </w:p>
    <w:p>
      <w:pPr>
        <w:pStyle w:val="BodyText"/>
        <w:spacing w:before="93"/>
        <w:ind w:left="400" w:right="431"/>
        <w:jc w:val="both"/>
      </w:pPr>
      <w:r>
        <w:rPr/>
        <w:t>Cuando se trate de sustitución de descarga de drenaje, el Usuario pagará solamente los materiales, que equivalen al 50% del presupuesto. El 50% restante correrá a cargo del Sistema Operador por concepto de mano de obra.</w:t>
      </w:r>
    </w:p>
    <w:p>
      <w:pPr>
        <w:pStyle w:val="BodyText"/>
      </w:pPr>
    </w:p>
    <w:p>
      <w:pPr>
        <w:pStyle w:val="Heading1"/>
        <w:numPr>
          <w:ilvl w:val="1"/>
          <w:numId w:val="55"/>
        </w:numPr>
        <w:tabs>
          <w:tab w:pos="967" w:val="left" w:leader="none"/>
        </w:tabs>
        <w:spacing w:line="240" w:lineRule="auto" w:before="0" w:after="0"/>
        <w:ind w:left="966" w:right="0" w:hanging="567"/>
        <w:jc w:val="left"/>
      </w:pPr>
      <w:r>
        <w:rPr/>
        <w:t>Instalación y cambios de toma de agua</w:t>
      </w:r>
      <w:r>
        <w:rPr>
          <w:spacing w:val="2"/>
        </w:rPr>
        <w:t> </w:t>
      </w:r>
      <w:r>
        <w:rPr/>
        <w:t>potable.</w:t>
      </w:r>
    </w:p>
    <w:p>
      <w:pPr>
        <w:pStyle w:val="BodyText"/>
        <w:rPr>
          <w:b/>
        </w:rPr>
      </w:pPr>
    </w:p>
    <w:p>
      <w:pPr>
        <w:spacing w:before="0"/>
        <w:ind w:left="400" w:right="0" w:firstLine="0"/>
        <w:jc w:val="both"/>
        <w:rPr>
          <w:b/>
          <w:sz w:val="24"/>
        </w:rPr>
      </w:pPr>
      <w:r>
        <w:rPr/>
        <w:drawing>
          <wp:anchor distT="0" distB="0" distL="0" distR="0" allowOverlap="1" layoutInCell="1" locked="0" behindDoc="1" simplePos="0" relativeHeight="227539968">
            <wp:simplePos x="0" y="0"/>
            <wp:positionH relativeFrom="page">
              <wp:posOffset>1252555</wp:posOffset>
            </wp:positionH>
            <wp:positionV relativeFrom="paragraph">
              <wp:posOffset>233373</wp:posOffset>
            </wp:positionV>
            <wp:extent cx="5022641" cy="5144769"/>
            <wp:effectExtent l="0" t="0" r="0" b="0"/>
            <wp:wrapNone/>
            <wp:docPr id="141" name="image66.png"/>
            <wp:cNvGraphicFramePr>
              <a:graphicFrameLocks noChangeAspect="1"/>
            </wp:cNvGraphicFramePr>
            <a:graphic>
              <a:graphicData uri="http://schemas.openxmlformats.org/drawingml/2006/picture">
                <pic:pic>
                  <pic:nvPicPr>
                    <pic:cNvPr id="142" name="image66.png"/>
                    <pic:cNvPicPr/>
                  </pic:nvPicPr>
                  <pic:blipFill>
                    <a:blip r:embed="rId76" cstate="print"/>
                    <a:stretch>
                      <a:fillRect/>
                    </a:stretch>
                  </pic:blipFill>
                  <pic:spPr>
                    <a:xfrm>
                      <a:off x="0" y="0"/>
                      <a:ext cx="5022641" cy="5144769"/>
                    </a:xfrm>
                    <a:prstGeom prst="rect">
                      <a:avLst/>
                    </a:prstGeom>
                  </pic:spPr>
                </pic:pic>
              </a:graphicData>
            </a:graphic>
          </wp:anchor>
        </w:drawing>
      </w:r>
      <w:r>
        <w:rPr>
          <w:b/>
          <w:sz w:val="24"/>
        </w:rPr>
        <w:t>Tabulador por diámetro de tubería y tipo de superficie.</w:t>
      </w:r>
    </w:p>
    <w:p>
      <w:pPr>
        <w:pStyle w:val="BodyText"/>
        <w:rPr>
          <w:b/>
        </w:rPr>
      </w:pPr>
    </w:p>
    <w:tbl>
      <w:tblPr>
        <w:tblW w:w="0" w:type="auto"/>
        <w:jc w:val="left"/>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
        <w:gridCol w:w="1063"/>
        <w:gridCol w:w="1112"/>
        <w:gridCol w:w="1246"/>
        <w:gridCol w:w="1275"/>
        <w:gridCol w:w="1246"/>
        <w:gridCol w:w="1355"/>
        <w:gridCol w:w="1494"/>
      </w:tblGrid>
      <w:tr>
        <w:trPr>
          <w:trHeight w:val="549" w:hRule="atLeast"/>
        </w:trPr>
        <w:tc>
          <w:tcPr>
            <w:tcW w:w="794" w:type="dxa"/>
            <w:vMerge w:val="restart"/>
            <w:tcBorders>
              <w:bottom w:val="nil"/>
            </w:tcBorders>
          </w:tcPr>
          <w:p>
            <w:pPr>
              <w:pStyle w:val="TableParagraph"/>
              <w:rPr>
                <w:rFonts w:ascii="Times New Roman"/>
                <w:sz w:val="22"/>
              </w:rPr>
            </w:pPr>
          </w:p>
        </w:tc>
        <w:tc>
          <w:tcPr>
            <w:tcW w:w="8791" w:type="dxa"/>
            <w:gridSpan w:val="7"/>
          </w:tcPr>
          <w:p>
            <w:pPr>
              <w:pStyle w:val="TableParagraph"/>
              <w:spacing w:before="137"/>
              <w:ind w:left="1837" w:right="1836"/>
              <w:jc w:val="center"/>
              <w:rPr>
                <w:b/>
                <w:sz w:val="24"/>
              </w:rPr>
            </w:pPr>
            <w:r>
              <w:rPr>
                <w:b/>
                <w:sz w:val="24"/>
              </w:rPr>
              <w:t>SUPERFICIE DE RODAMIENTO POR METRO</w:t>
            </w:r>
          </w:p>
        </w:tc>
      </w:tr>
      <w:tr>
        <w:trPr>
          <w:trHeight w:val="148" w:hRule="atLeast"/>
        </w:trPr>
        <w:tc>
          <w:tcPr>
            <w:tcW w:w="794" w:type="dxa"/>
            <w:vMerge/>
            <w:tcBorders>
              <w:top w:val="nil"/>
              <w:bottom w:val="nil"/>
            </w:tcBorders>
          </w:tcPr>
          <w:p>
            <w:pPr>
              <w:rPr>
                <w:sz w:val="2"/>
                <w:szCs w:val="2"/>
              </w:rPr>
            </w:pPr>
          </w:p>
        </w:tc>
        <w:tc>
          <w:tcPr>
            <w:tcW w:w="1063" w:type="dxa"/>
            <w:vMerge w:val="restart"/>
          </w:tcPr>
          <w:p>
            <w:pPr>
              <w:pStyle w:val="TableParagraph"/>
              <w:ind w:left="4" w:right="82"/>
              <w:rPr>
                <w:b/>
                <w:sz w:val="24"/>
              </w:rPr>
            </w:pPr>
            <w:r>
              <w:rPr>
                <w:b/>
                <w:sz w:val="24"/>
              </w:rPr>
              <w:t>Abrazad era</w:t>
            </w:r>
          </w:p>
        </w:tc>
        <w:tc>
          <w:tcPr>
            <w:tcW w:w="1112" w:type="dxa"/>
            <w:vMerge w:val="restart"/>
          </w:tcPr>
          <w:p>
            <w:pPr>
              <w:pStyle w:val="TableParagraph"/>
              <w:ind w:left="40" w:right="32"/>
              <w:jc w:val="center"/>
              <w:rPr>
                <w:b/>
                <w:sz w:val="24"/>
              </w:rPr>
            </w:pPr>
            <w:r>
              <w:rPr>
                <w:b/>
                <w:sz w:val="24"/>
              </w:rPr>
              <w:t>Cuadro de  </w:t>
            </w:r>
            <w:r>
              <w:rPr>
                <w:b/>
                <w:w w:val="95"/>
                <w:sz w:val="24"/>
              </w:rPr>
              <w:t>Medición</w:t>
            </w:r>
          </w:p>
        </w:tc>
        <w:tc>
          <w:tcPr>
            <w:tcW w:w="1246" w:type="dxa"/>
            <w:vMerge w:val="restart"/>
          </w:tcPr>
          <w:p>
            <w:pPr>
              <w:pStyle w:val="TableParagraph"/>
              <w:rPr>
                <w:b/>
                <w:sz w:val="26"/>
              </w:rPr>
            </w:pPr>
          </w:p>
          <w:p>
            <w:pPr>
              <w:pStyle w:val="TableParagraph"/>
              <w:spacing w:before="9"/>
              <w:rPr>
                <w:b/>
                <w:sz w:val="22"/>
              </w:rPr>
            </w:pPr>
          </w:p>
          <w:p>
            <w:pPr>
              <w:pStyle w:val="TableParagraph"/>
              <w:spacing w:before="1"/>
              <w:ind w:left="40"/>
              <w:rPr>
                <w:b/>
                <w:sz w:val="24"/>
              </w:rPr>
            </w:pPr>
            <w:r>
              <w:rPr>
                <w:b/>
                <w:sz w:val="24"/>
              </w:rPr>
              <w:t>Terracería</w:t>
            </w:r>
          </w:p>
        </w:tc>
        <w:tc>
          <w:tcPr>
            <w:tcW w:w="1275" w:type="dxa"/>
            <w:vMerge w:val="restart"/>
          </w:tcPr>
          <w:p>
            <w:pPr>
              <w:pStyle w:val="TableParagraph"/>
              <w:rPr>
                <w:b/>
                <w:sz w:val="26"/>
              </w:rPr>
            </w:pPr>
          </w:p>
          <w:p>
            <w:pPr>
              <w:pStyle w:val="TableParagraph"/>
              <w:spacing w:before="9"/>
              <w:rPr>
                <w:b/>
                <w:sz w:val="22"/>
              </w:rPr>
            </w:pPr>
          </w:p>
          <w:p>
            <w:pPr>
              <w:pStyle w:val="TableParagraph"/>
              <w:spacing w:before="1"/>
              <w:ind w:left="563" w:right="24" w:hanging="516"/>
              <w:rPr>
                <w:b/>
                <w:sz w:val="24"/>
              </w:rPr>
            </w:pPr>
            <w:r>
              <w:rPr>
                <w:b/>
                <w:sz w:val="24"/>
              </w:rPr>
              <w:t>Empedrad o</w:t>
            </w:r>
          </w:p>
        </w:tc>
        <w:tc>
          <w:tcPr>
            <w:tcW w:w="1246" w:type="dxa"/>
            <w:vMerge w:val="restart"/>
          </w:tcPr>
          <w:p>
            <w:pPr>
              <w:pStyle w:val="TableParagraph"/>
              <w:rPr>
                <w:b/>
                <w:sz w:val="26"/>
              </w:rPr>
            </w:pPr>
          </w:p>
          <w:p>
            <w:pPr>
              <w:pStyle w:val="TableParagraph"/>
              <w:spacing w:before="9"/>
              <w:rPr>
                <w:b/>
                <w:sz w:val="22"/>
              </w:rPr>
            </w:pPr>
          </w:p>
          <w:p>
            <w:pPr>
              <w:pStyle w:val="TableParagraph"/>
              <w:spacing w:before="1"/>
              <w:ind w:left="215"/>
              <w:rPr>
                <w:b/>
                <w:sz w:val="24"/>
              </w:rPr>
            </w:pPr>
            <w:r>
              <w:rPr>
                <w:b/>
                <w:sz w:val="24"/>
              </w:rPr>
              <w:t>Asfalto</w:t>
            </w:r>
          </w:p>
        </w:tc>
        <w:tc>
          <w:tcPr>
            <w:tcW w:w="1355" w:type="dxa"/>
            <w:vMerge w:val="restart"/>
          </w:tcPr>
          <w:p>
            <w:pPr>
              <w:pStyle w:val="TableParagraph"/>
              <w:rPr>
                <w:b/>
                <w:sz w:val="26"/>
              </w:rPr>
            </w:pPr>
          </w:p>
          <w:p>
            <w:pPr>
              <w:pStyle w:val="TableParagraph"/>
              <w:spacing w:before="9"/>
              <w:rPr>
                <w:b/>
                <w:sz w:val="22"/>
              </w:rPr>
            </w:pPr>
          </w:p>
          <w:p>
            <w:pPr>
              <w:pStyle w:val="TableParagraph"/>
              <w:spacing w:before="1"/>
              <w:ind w:left="188"/>
              <w:rPr>
                <w:b/>
                <w:sz w:val="24"/>
              </w:rPr>
            </w:pPr>
            <w:r>
              <w:rPr>
                <w:b/>
                <w:sz w:val="24"/>
              </w:rPr>
              <w:t>Adoquín</w:t>
            </w:r>
          </w:p>
        </w:tc>
        <w:tc>
          <w:tcPr>
            <w:tcW w:w="1494" w:type="dxa"/>
            <w:vMerge w:val="restart"/>
          </w:tcPr>
          <w:p>
            <w:pPr>
              <w:pStyle w:val="TableParagraph"/>
              <w:rPr>
                <w:b/>
                <w:sz w:val="26"/>
              </w:rPr>
            </w:pPr>
          </w:p>
          <w:p>
            <w:pPr>
              <w:pStyle w:val="TableParagraph"/>
              <w:spacing w:before="9"/>
              <w:rPr>
                <w:b/>
                <w:sz w:val="22"/>
              </w:rPr>
            </w:pPr>
          </w:p>
          <w:p>
            <w:pPr>
              <w:pStyle w:val="TableParagraph"/>
              <w:spacing w:before="1"/>
              <w:ind w:left="216"/>
              <w:rPr>
                <w:b/>
                <w:sz w:val="24"/>
              </w:rPr>
            </w:pPr>
            <w:r>
              <w:rPr>
                <w:b/>
                <w:sz w:val="24"/>
              </w:rPr>
              <w:t>Concreto</w:t>
            </w:r>
          </w:p>
        </w:tc>
      </w:tr>
      <w:tr>
        <w:trPr>
          <w:trHeight w:val="541" w:hRule="atLeast"/>
        </w:trPr>
        <w:tc>
          <w:tcPr>
            <w:tcW w:w="794" w:type="dxa"/>
            <w:tcBorders>
              <w:top w:val="nil"/>
              <w:bottom w:val="nil"/>
            </w:tcBorders>
            <w:shd w:val="clear" w:color="auto" w:fill="F1F1F1"/>
          </w:tcPr>
          <w:p>
            <w:pPr>
              <w:pStyle w:val="TableParagraph"/>
              <w:spacing w:before="7"/>
              <w:rPr>
                <w:b/>
                <w:sz w:val="23"/>
              </w:rPr>
            </w:pPr>
          </w:p>
          <w:p>
            <w:pPr>
              <w:pStyle w:val="TableParagraph"/>
              <w:spacing w:line="251" w:lineRule="exact"/>
              <w:ind w:left="62"/>
              <w:rPr>
                <w:sz w:val="24"/>
              </w:rPr>
            </w:pPr>
            <w:r>
              <w:rPr>
                <w:sz w:val="24"/>
              </w:rPr>
              <w:t>TUBO</w:t>
            </w:r>
          </w:p>
        </w:tc>
        <w:tc>
          <w:tcPr>
            <w:tcW w:w="1063" w:type="dxa"/>
            <w:vMerge/>
            <w:tcBorders>
              <w:top w:val="nil"/>
            </w:tcBorders>
          </w:tcPr>
          <w:p>
            <w:pPr>
              <w:rPr>
                <w:sz w:val="2"/>
                <w:szCs w:val="2"/>
              </w:rPr>
            </w:pP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r>
        <w:trPr>
          <w:trHeight w:val="710" w:hRule="atLeast"/>
        </w:trPr>
        <w:tc>
          <w:tcPr>
            <w:tcW w:w="794" w:type="dxa"/>
            <w:tcBorders>
              <w:top w:val="nil"/>
            </w:tcBorders>
          </w:tcPr>
          <w:p>
            <w:pPr>
              <w:pStyle w:val="TableParagraph"/>
              <w:rPr>
                <w:rFonts w:ascii="Times New Roman"/>
                <w:sz w:val="22"/>
              </w:rPr>
            </w:pPr>
          </w:p>
        </w:tc>
        <w:tc>
          <w:tcPr>
            <w:tcW w:w="1063" w:type="dxa"/>
            <w:vMerge/>
            <w:tcBorders>
              <w:top w:val="nil"/>
            </w:tcBorders>
          </w:tcPr>
          <w:p>
            <w:pPr>
              <w:rPr>
                <w:sz w:val="2"/>
                <w:szCs w:val="2"/>
              </w:rPr>
            </w:pP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r>
        <w:trPr>
          <w:trHeight w:val="318" w:hRule="atLeast"/>
        </w:trPr>
        <w:tc>
          <w:tcPr>
            <w:tcW w:w="794" w:type="dxa"/>
          </w:tcPr>
          <w:p>
            <w:pPr>
              <w:pStyle w:val="TableParagraph"/>
              <w:spacing w:line="251" w:lineRule="exact" w:before="48"/>
              <w:ind w:left="4"/>
              <w:rPr>
                <w:sz w:val="24"/>
              </w:rPr>
            </w:pPr>
            <w:r>
              <w:rPr>
                <w:sz w:val="24"/>
              </w:rPr>
              <w:t>3"</w:t>
            </w:r>
          </w:p>
        </w:tc>
        <w:tc>
          <w:tcPr>
            <w:tcW w:w="1063" w:type="dxa"/>
          </w:tcPr>
          <w:p>
            <w:pPr>
              <w:pStyle w:val="TableParagraph"/>
              <w:spacing w:line="251" w:lineRule="exact" w:before="48"/>
              <w:ind w:left="4"/>
              <w:rPr>
                <w:sz w:val="24"/>
              </w:rPr>
            </w:pPr>
            <w:r>
              <w:rPr>
                <w:sz w:val="24"/>
              </w:rPr>
              <w:t>$75.00</w:t>
            </w:r>
          </w:p>
        </w:tc>
        <w:tc>
          <w:tcPr>
            <w:tcW w:w="1112"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7"/>
              <w:ind w:left="5"/>
              <w:rPr>
                <w:sz w:val="24"/>
              </w:rPr>
            </w:pPr>
            <w:r>
              <w:rPr>
                <w:sz w:val="24"/>
              </w:rPr>
              <w:t>$1,718.00</w:t>
            </w:r>
          </w:p>
        </w:tc>
        <w:tc>
          <w:tcPr>
            <w:tcW w:w="124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18"/>
              </w:rPr>
            </w:pPr>
          </w:p>
          <w:p>
            <w:pPr>
              <w:pStyle w:val="TableParagraph"/>
              <w:ind w:left="4"/>
              <w:rPr>
                <w:sz w:val="22"/>
              </w:rPr>
            </w:pPr>
            <w:r>
              <w:rPr>
                <w:sz w:val="22"/>
              </w:rPr>
              <w:t>$515.00</w:t>
            </w:r>
          </w:p>
          <w:p>
            <w:pPr>
              <w:pStyle w:val="TableParagraph"/>
              <w:spacing w:before="6"/>
              <w:ind w:left="4" w:right="26" w:firstLine="4"/>
              <w:rPr>
                <w:sz w:val="22"/>
              </w:rPr>
            </w:pPr>
            <w:r>
              <w:rPr>
                <w:sz w:val="22"/>
              </w:rPr>
              <w:t>METRO ADICIONAL</w:t>
            </w:r>
          </w:p>
          <w:p>
            <w:pPr>
              <w:pStyle w:val="TableParagraph"/>
              <w:spacing w:before="1"/>
              <w:ind w:left="4"/>
              <w:rPr>
                <w:sz w:val="22"/>
              </w:rPr>
            </w:pPr>
            <w:r>
              <w:rPr>
                <w:sz w:val="22"/>
              </w:rPr>
              <w:t>$172.00</w:t>
            </w:r>
          </w:p>
        </w:tc>
        <w:tc>
          <w:tcPr>
            <w:tcW w:w="1275"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18"/>
              </w:rPr>
            </w:pPr>
          </w:p>
          <w:p>
            <w:pPr>
              <w:pStyle w:val="TableParagraph"/>
              <w:ind w:left="4"/>
              <w:rPr>
                <w:sz w:val="22"/>
              </w:rPr>
            </w:pPr>
            <w:r>
              <w:rPr>
                <w:sz w:val="22"/>
              </w:rPr>
              <w:t>$594.00</w:t>
            </w:r>
          </w:p>
          <w:p>
            <w:pPr>
              <w:pStyle w:val="TableParagraph"/>
              <w:spacing w:before="6"/>
              <w:ind w:left="4" w:right="55" w:firstLine="4"/>
              <w:rPr>
                <w:sz w:val="22"/>
              </w:rPr>
            </w:pPr>
            <w:r>
              <w:rPr>
                <w:sz w:val="22"/>
              </w:rPr>
              <w:t>METRO ADICIONAL</w:t>
            </w:r>
          </w:p>
          <w:p>
            <w:pPr>
              <w:pStyle w:val="TableParagraph"/>
              <w:spacing w:before="1"/>
              <w:ind w:left="4"/>
              <w:rPr>
                <w:sz w:val="22"/>
              </w:rPr>
            </w:pPr>
            <w:r>
              <w:rPr>
                <w:sz w:val="22"/>
              </w:rPr>
              <w:t>$254.00</w:t>
            </w:r>
          </w:p>
        </w:tc>
        <w:tc>
          <w:tcPr>
            <w:tcW w:w="1246"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18"/>
              </w:rPr>
            </w:pPr>
          </w:p>
          <w:p>
            <w:pPr>
              <w:pStyle w:val="TableParagraph"/>
              <w:ind w:left="4"/>
              <w:rPr>
                <w:sz w:val="22"/>
              </w:rPr>
            </w:pPr>
            <w:r>
              <w:rPr>
                <w:sz w:val="22"/>
              </w:rPr>
              <w:t>$894.00</w:t>
            </w:r>
          </w:p>
          <w:p>
            <w:pPr>
              <w:pStyle w:val="TableParagraph"/>
              <w:spacing w:before="6"/>
              <w:ind w:left="4" w:right="26"/>
              <w:rPr>
                <w:sz w:val="22"/>
              </w:rPr>
            </w:pPr>
            <w:r>
              <w:rPr>
                <w:sz w:val="22"/>
              </w:rPr>
              <w:t>METRO ADICIONAL</w:t>
            </w:r>
          </w:p>
          <w:p>
            <w:pPr>
              <w:pStyle w:val="TableParagraph"/>
              <w:spacing w:before="1"/>
              <w:ind w:left="4"/>
              <w:rPr>
                <w:sz w:val="22"/>
              </w:rPr>
            </w:pPr>
            <w:r>
              <w:rPr>
                <w:sz w:val="22"/>
              </w:rPr>
              <w:t>$594.00</w:t>
            </w:r>
          </w:p>
        </w:tc>
        <w:tc>
          <w:tcPr>
            <w:tcW w:w="1355"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18"/>
              </w:rPr>
            </w:pPr>
          </w:p>
          <w:p>
            <w:pPr>
              <w:pStyle w:val="TableParagraph"/>
              <w:ind w:left="3"/>
              <w:rPr>
                <w:sz w:val="22"/>
              </w:rPr>
            </w:pPr>
            <w:r>
              <w:rPr>
                <w:sz w:val="22"/>
              </w:rPr>
              <w:t>$847.00</w:t>
            </w:r>
          </w:p>
          <w:p>
            <w:pPr>
              <w:pStyle w:val="TableParagraph"/>
              <w:spacing w:before="6"/>
              <w:ind w:left="3" w:right="136"/>
              <w:rPr>
                <w:sz w:val="22"/>
              </w:rPr>
            </w:pPr>
            <w:r>
              <w:rPr>
                <w:sz w:val="22"/>
              </w:rPr>
              <w:t>METRO ADICIONAL 538.00</w:t>
            </w:r>
          </w:p>
        </w:tc>
        <w:tc>
          <w:tcPr>
            <w:tcW w:w="1494"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18"/>
              </w:rPr>
            </w:pPr>
          </w:p>
          <w:p>
            <w:pPr>
              <w:pStyle w:val="TableParagraph"/>
              <w:ind w:left="3"/>
              <w:rPr>
                <w:sz w:val="22"/>
              </w:rPr>
            </w:pPr>
            <w:r>
              <w:rPr>
                <w:sz w:val="22"/>
              </w:rPr>
              <w:t>$1,225.00</w:t>
            </w:r>
          </w:p>
          <w:p>
            <w:pPr>
              <w:pStyle w:val="TableParagraph"/>
              <w:spacing w:before="6"/>
              <w:ind w:left="3" w:right="275" w:firstLine="7"/>
              <w:rPr>
                <w:sz w:val="22"/>
              </w:rPr>
            </w:pPr>
            <w:r>
              <w:rPr>
                <w:sz w:val="22"/>
              </w:rPr>
              <w:t>METRO ADICIONAL 789.00</w:t>
            </w:r>
          </w:p>
        </w:tc>
      </w:tr>
      <w:tr>
        <w:trPr>
          <w:trHeight w:val="433" w:hRule="atLeast"/>
        </w:trPr>
        <w:tc>
          <w:tcPr>
            <w:tcW w:w="794" w:type="dxa"/>
          </w:tcPr>
          <w:p>
            <w:pPr>
              <w:pStyle w:val="TableParagraph"/>
              <w:spacing w:before="103"/>
              <w:ind w:left="4"/>
              <w:rPr>
                <w:sz w:val="24"/>
              </w:rPr>
            </w:pPr>
            <w:r>
              <w:rPr>
                <w:sz w:val="24"/>
              </w:rPr>
              <w:t>4"</w:t>
            </w:r>
          </w:p>
        </w:tc>
        <w:tc>
          <w:tcPr>
            <w:tcW w:w="1063" w:type="dxa"/>
          </w:tcPr>
          <w:p>
            <w:pPr>
              <w:pStyle w:val="TableParagraph"/>
              <w:spacing w:before="103"/>
              <w:ind w:left="4"/>
              <w:rPr>
                <w:sz w:val="24"/>
              </w:rPr>
            </w:pPr>
            <w:r>
              <w:rPr>
                <w:sz w:val="24"/>
              </w:rPr>
              <w:t>$90.00</w:t>
            </w: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r>
        <w:trPr>
          <w:trHeight w:val="407" w:hRule="atLeast"/>
        </w:trPr>
        <w:tc>
          <w:tcPr>
            <w:tcW w:w="794" w:type="dxa"/>
          </w:tcPr>
          <w:p>
            <w:pPr>
              <w:pStyle w:val="TableParagraph"/>
              <w:spacing w:before="72"/>
              <w:ind w:left="4"/>
              <w:rPr>
                <w:sz w:val="24"/>
              </w:rPr>
            </w:pPr>
            <w:r>
              <w:rPr>
                <w:sz w:val="24"/>
              </w:rPr>
              <w:t>6"</w:t>
            </w:r>
          </w:p>
        </w:tc>
        <w:tc>
          <w:tcPr>
            <w:tcW w:w="1063" w:type="dxa"/>
          </w:tcPr>
          <w:p>
            <w:pPr>
              <w:pStyle w:val="TableParagraph"/>
              <w:spacing w:before="72"/>
              <w:ind w:left="4"/>
              <w:rPr>
                <w:sz w:val="24"/>
              </w:rPr>
            </w:pPr>
            <w:r>
              <w:rPr>
                <w:sz w:val="24"/>
              </w:rPr>
              <w:t>$129.00</w:t>
            </w: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r>
        <w:trPr>
          <w:trHeight w:val="318" w:hRule="atLeast"/>
        </w:trPr>
        <w:tc>
          <w:tcPr>
            <w:tcW w:w="794" w:type="dxa"/>
          </w:tcPr>
          <w:p>
            <w:pPr>
              <w:pStyle w:val="TableParagraph"/>
              <w:spacing w:line="251" w:lineRule="exact" w:before="48"/>
              <w:ind w:left="4"/>
              <w:rPr>
                <w:sz w:val="24"/>
              </w:rPr>
            </w:pPr>
            <w:r>
              <w:rPr>
                <w:sz w:val="24"/>
              </w:rPr>
              <w:t>8"</w:t>
            </w:r>
          </w:p>
        </w:tc>
        <w:tc>
          <w:tcPr>
            <w:tcW w:w="1063" w:type="dxa"/>
          </w:tcPr>
          <w:p>
            <w:pPr>
              <w:pStyle w:val="TableParagraph"/>
              <w:spacing w:line="251" w:lineRule="exact" w:before="48"/>
              <w:ind w:left="4"/>
              <w:rPr>
                <w:sz w:val="24"/>
              </w:rPr>
            </w:pPr>
            <w:r>
              <w:rPr>
                <w:sz w:val="24"/>
              </w:rPr>
              <w:t>$370.00</w:t>
            </w: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r>
        <w:trPr>
          <w:trHeight w:val="2695" w:hRule="atLeast"/>
        </w:trPr>
        <w:tc>
          <w:tcPr>
            <w:tcW w:w="794" w:type="dxa"/>
          </w:tcPr>
          <w:p>
            <w:pPr>
              <w:pStyle w:val="TableParagraph"/>
              <w:rPr>
                <w:b/>
                <w:sz w:val="26"/>
              </w:rPr>
            </w:pPr>
          </w:p>
          <w:p>
            <w:pPr>
              <w:pStyle w:val="TableParagraph"/>
              <w:rPr>
                <w:b/>
                <w:sz w:val="26"/>
              </w:rPr>
            </w:pPr>
          </w:p>
          <w:p>
            <w:pPr>
              <w:pStyle w:val="TableParagraph"/>
              <w:rPr>
                <w:b/>
                <w:sz w:val="26"/>
              </w:rPr>
            </w:pPr>
          </w:p>
          <w:p>
            <w:pPr>
              <w:pStyle w:val="TableParagraph"/>
              <w:spacing w:before="2"/>
              <w:rPr>
                <w:b/>
                <w:sz w:val="27"/>
              </w:rPr>
            </w:pPr>
          </w:p>
          <w:p>
            <w:pPr>
              <w:pStyle w:val="TableParagraph"/>
              <w:spacing w:before="1"/>
              <w:ind w:left="4"/>
              <w:rPr>
                <w:sz w:val="24"/>
              </w:rPr>
            </w:pPr>
            <w:r>
              <w:rPr>
                <w:sz w:val="24"/>
              </w:rPr>
              <w:t>10"</w:t>
            </w:r>
          </w:p>
        </w:tc>
        <w:tc>
          <w:tcPr>
            <w:tcW w:w="1063" w:type="dxa"/>
          </w:tcPr>
          <w:p>
            <w:pPr>
              <w:pStyle w:val="TableParagraph"/>
              <w:rPr>
                <w:b/>
                <w:sz w:val="26"/>
              </w:rPr>
            </w:pPr>
          </w:p>
          <w:p>
            <w:pPr>
              <w:pStyle w:val="TableParagraph"/>
              <w:rPr>
                <w:b/>
                <w:sz w:val="26"/>
              </w:rPr>
            </w:pPr>
          </w:p>
          <w:p>
            <w:pPr>
              <w:pStyle w:val="TableParagraph"/>
              <w:rPr>
                <w:b/>
                <w:sz w:val="26"/>
              </w:rPr>
            </w:pPr>
          </w:p>
          <w:p>
            <w:pPr>
              <w:pStyle w:val="TableParagraph"/>
              <w:spacing w:before="2"/>
              <w:rPr>
                <w:b/>
                <w:sz w:val="27"/>
              </w:rPr>
            </w:pPr>
          </w:p>
          <w:p>
            <w:pPr>
              <w:pStyle w:val="TableParagraph"/>
              <w:spacing w:before="1"/>
              <w:ind w:left="4"/>
              <w:rPr>
                <w:sz w:val="24"/>
              </w:rPr>
            </w:pPr>
            <w:r>
              <w:rPr>
                <w:sz w:val="24"/>
              </w:rPr>
              <w:t>$494.00</w:t>
            </w:r>
          </w:p>
        </w:tc>
        <w:tc>
          <w:tcPr>
            <w:tcW w:w="1112" w:type="dxa"/>
            <w:vMerge/>
            <w:tcBorders>
              <w:top w:val="nil"/>
            </w:tcBorders>
          </w:tcPr>
          <w:p>
            <w:pPr>
              <w:rPr>
                <w:sz w:val="2"/>
                <w:szCs w:val="2"/>
              </w:rPr>
            </w:pPr>
          </w:p>
        </w:tc>
        <w:tc>
          <w:tcPr>
            <w:tcW w:w="1246" w:type="dxa"/>
            <w:vMerge/>
            <w:tcBorders>
              <w:top w:val="nil"/>
            </w:tcBorders>
          </w:tcPr>
          <w:p>
            <w:pPr>
              <w:rPr>
                <w:sz w:val="2"/>
                <w:szCs w:val="2"/>
              </w:rPr>
            </w:pPr>
          </w:p>
        </w:tc>
        <w:tc>
          <w:tcPr>
            <w:tcW w:w="1275" w:type="dxa"/>
            <w:vMerge/>
            <w:tcBorders>
              <w:top w:val="nil"/>
            </w:tcBorders>
          </w:tcPr>
          <w:p>
            <w:pPr>
              <w:rPr>
                <w:sz w:val="2"/>
                <w:szCs w:val="2"/>
              </w:rPr>
            </w:pPr>
          </w:p>
        </w:tc>
        <w:tc>
          <w:tcPr>
            <w:tcW w:w="1246" w:type="dxa"/>
            <w:vMerge/>
            <w:tcBorders>
              <w:top w:val="nil"/>
            </w:tcBorders>
          </w:tcPr>
          <w:p>
            <w:pPr>
              <w:rPr>
                <w:sz w:val="2"/>
                <w:szCs w:val="2"/>
              </w:rPr>
            </w:pPr>
          </w:p>
        </w:tc>
        <w:tc>
          <w:tcPr>
            <w:tcW w:w="1355" w:type="dxa"/>
            <w:vMerge/>
            <w:tcBorders>
              <w:top w:val="nil"/>
            </w:tcBorders>
          </w:tcPr>
          <w:p>
            <w:pPr>
              <w:rPr>
                <w:sz w:val="2"/>
                <w:szCs w:val="2"/>
              </w:rPr>
            </w:pPr>
          </w:p>
        </w:tc>
        <w:tc>
          <w:tcPr>
            <w:tcW w:w="1494" w:type="dxa"/>
            <w:vMerge/>
            <w:tcBorders>
              <w:top w:val="nil"/>
            </w:tcBorders>
          </w:tcPr>
          <w:p>
            <w:pPr>
              <w:rPr>
                <w:sz w:val="2"/>
                <w:szCs w:val="2"/>
              </w:rPr>
            </w:pPr>
          </w:p>
        </w:tc>
      </w:tr>
    </w:tbl>
    <w:p>
      <w:pPr>
        <w:pStyle w:val="BodyText"/>
        <w:rPr>
          <w:b/>
        </w:rPr>
      </w:pPr>
    </w:p>
    <w:p>
      <w:pPr>
        <w:pStyle w:val="BodyText"/>
        <w:ind w:left="400" w:right="433"/>
        <w:jc w:val="both"/>
      </w:pPr>
      <w:r>
        <w:rPr/>
        <w:t>Cuando se trate de sustitución de toma de agua, el Usuario pagará solamente los materiales, que equivalen al 50% del presupuesto. El 50% restante correrá a cargo del Sistema Operador por concepto de mano de obra.</w:t>
      </w:r>
    </w:p>
    <w:p>
      <w:pPr>
        <w:pStyle w:val="BodyText"/>
      </w:pPr>
    </w:p>
    <w:p>
      <w:pPr>
        <w:pStyle w:val="Heading1"/>
        <w:numPr>
          <w:ilvl w:val="1"/>
          <w:numId w:val="55"/>
        </w:numPr>
        <w:tabs>
          <w:tab w:pos="871" w:val="left" w:leader="none"/>
        </w:tabs>
        <w:spacing w:line="240" w:lineRule="auto" w:before="0" w:after="0"/>
        <w:ind w:left="870" w:right="0" w:hanging="471"/>
        <w:jc w:val="left"/>
      </w:pPr>
      <w:r>
        <w:rPr/>
        <w:t>Servicios </w:t>
      </w:r>
      <w:r>
        <w:rPr>
          <w:spacing w:val="-3"/>
        </w:rPr>
        <w:t>de </w:t>
      </w:r>
      <w:r>
        <w:rPr/>
        <w:t>desazolve con equipo</w:t>
      </w:r>
      <w:r>
        <w:rPr>
          <w:spacing w:val="3"/>
        </w:rPr>
        <w:t> </w:t>
      </w:r>
      <w:r>
        <w:rPr/>
        <w:t>Vactor.</w:t>
      </w:r>
    </w:p>
    <w:p>
      <w:pPr>
        <w:pStyle w:val="BodyText"/>
        <w:rPr>
          <w:b/>
        </w:rPr>
      </w:pPr>
    </w:p>
    <w:tbl>
      <w:tblPr>
        <w:tblW w:w="0" w:type="auto"/>
        <w:jc w:val="left"/>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65"/>
        <w:gridCol w:w="3651"/>
      </w:tblGrid>
      <w:tr>
        <w:trPr>
          <w:trHeight w:val="277" w:hRule="atLeast"/>
        </w:trPr>
        <w:tc>
          <w:tcPr>
            <w:tcW w:w="5065" w:type="dxa"/>
          </w:tcPr>
          <w:p>
            <w:pPr>
              <w:pStyle w:val="TableParagraph"/>
              <w:spacing w:line="255" w:lineRule="exact" w:before="2"/>
              <w:ind w:left="1616"/>
              <w:rPr>
                <w:b/>
                <w:sz w:val="24"/>
              </w:rPr>
            </w:pPr>
            <w:r>
              <w:rPr>
                <w:b/>
                <w:sz w:val="24"/>
              </w:rPr>
              <w:t>Tipo de servicio</w:t>
            </w:r>
          </w:p>
        </w:tc>
        <w:tc>
          <w:tcPr>
            <w:tcW w:w="3651" w:type="dxa"/>
          </w:tcPr>
          <w:p>
            <w:pPr>
              <w:pStyle w:val="TableParagraph"/>
              <w:spacing w:line="255" w:lineRule="exact" w:before="2"/>
              <w:ind w:left="32" w:right="5"/>
              <w:jc w:val="center"/>
              <w:rPr>
                <w:b/>
                <w:sz w:val="24"/>
              </w:rPr>
            </w:pPr>
            <w:r>
              <w:rPr>
                <w:b/>
                <w:sz w:val="24"/>
              </w:rPr>
              <w:t>Costos</w:t>
            </w:r>
          </w:p>
        </w:tc>
      </w:tr>
      <w:tr>
        <w:trPr>
          <w:trHeight w:val="550" w:hRule="atLeast"/>
        </w:trPr>
        <w:tc>
          <w:tcPr>
            <w:tcW w:w="5065" w:type="dxa"/>
          </w:tcPr>
          <w:p>
            <w:pPr>
              <w:pStyle w:val="TableParagraph"/>
              <w:spacing w:line="270" w:lineRule="atLeast"/>
              <w:ind w:left="1981" w:right="559" w:hanging="1380"/>
              <w:rPr>
                <w:sz w:val="24"/>
              </w:rPr>
            </w:pPr>
            <w:r>
              <w:rPr>
                <w:sz w:val="24"/>
              </w:rPr>
              <w:t>Doméstico (registro a red municipal) Zona Baja</w:t>
            </w:r>
          </w:p>
        </w:tc>
        <w:tc>
          <w:tcPr>
            <w:tcW w:w="3651" w:type="dxa"/>
          </w:tcPr>
          <w:p>
            <w:pPr>
              <w:pStyle w:val="TableParagraph"/>
              <w:spacing w:before="139"/>
              <w:ind w:left="30" w:right="5"/>
              <w:jc w:val="center"/>
              <w:rPr>
                <w:sz w:val="24"/>
              </w:rPr>
            </w:pPr>
            <w:r>
              <w:rPr>
                <w:sz w:val="24"/>
              </w:rPr>
              <w:t>$239.00</w:t>
            </w:r>
          </w:p>
        </w:tc>
      </w:tr>
      <w:tr>
        <w:trPr>
          <w:trHeight w:val="552" w:hRule="atLeast"/>
        </w:trPr>
        <w:tc>
          <w:tcPr>
            <w:tcW w:w="5065" w:type="dxa"/>
          </w:tcPr>
          <w:p>
            <w:pPr>
              <w:pStyle w:val="TableParagraph"/>
              <w:spacing w:line="270" w:lineRule="atLeast" w:before="1"/>
              <w:ind w:left="1895" w:right="559" w:hanging="1294"/>
              <w:rPr>
                <w:sz w:val="24"/>
              </w:rPr>
            </w:pPr>
            <w:r>
              <w:rPr>
                <w:sz w:val="24"/>
              </w:rPr>
              <w:t>Doméstico (registro a red municipal) Zona Media</w:t>
            </w:r>
          </w:p>
        </w:tc>
        <w:tc>
          <w:tcPr>
            <w:tcW w:w="3651" w:type="dxa"/>
          </w:tcPr>
          <w:p>
            <w:pPr>
              <w:pStyle w:val="TableParagraph"/>
              <w:spacing w:before="138"/>
              <w:ind w:left="28" w:right="5"/>
              <w:jc w:val="center"/>
              <w:rPr>
                <w:sz w:val="24"/>
              </w:rPr>
            </w:pPr>
            <w:r>
              <w:rPr>
                <w:sz w:val="24"/>
              </w:rPr>
              <w:t>$311.00</w:t>
            </w:r>
          </w:p>
        </w:tc>
      </w:tr>
      <w:tr>
        <w:trPr>
          <w:trHeight w:val="549" w:hRule="atLeast"/>
        </w:trPr>
        <w:tc>
          <w:tcPr>
            <w:tcW w:w="5065" w:type="dxa"/>
          </w:tcPr>
          <w:p>
            <w:pPr>
              <w:pStyle w:val="TableParagraph"/>
              <w:spacing w:line="276" w:lineRule="exact" w:before="3"/>
              <w:ind w:left="2015" w:right="560" w:hanging="1415"/>
              <w:rPr>
                <w:sz w:val="24"/>
              </w:rPr>
            </w:pPr>
            <w:r>
              <w:rPr>
                <w:sz w:val="24"/>
              </w:rPr>
              <w:t>Doméstico (registro a red municipal) Zona Alta</w:t>
            </w:r>
          </w:p>
        </w:tc>
        <w:tc>
          <w:tcPr>
            <w:tcW w:w="3651" w:type="dxa"/>
          </w:tcPr>
          <w:p>
            <w:pPr>
              <w:pStyle w:val="TableParagraph"/>
              <w:spacing w:before="138"/>
              <w:ind w:left="30" w:right="5"/>
              <w:jc w:val="center"/>
              <w:rPr>
                <w:sz w:val="24"/>
              </w:rPr>
            </w:pPr>
            <w:r>
              <w:rPr>
                <w:sz w:val="24"/>
              </w:rPr>
              <w:t>$404.00</w:t>
            </w:r>
          </w:p>
        </w:tc>
      </w:tr>
      <w:tr>
        <w:trPr>
          <w:trHeight w:val="272" w:hRule="atLeast"/>
        </w:trPr>
        <w:tc>
          <w:tcPr>
            <w:tcW w:w="5065" w:type="dxa"/>
          </w:tcPr>
          <w:p>
            <w:pPr>
              <w:pStyle w:val="TableParagraph"/>
              <w:spacing w:line="252" w:lineRule="exact"/>
              <w:ind w:left="13"/>
              <w:rPr>
                <w:sz w:val="24"/>
              </w:rPr>
            </w:pPr>
            <w:r>
              <w:rPr>
                <w:sz w:val="24"/>
              </w:rPr>
              <w:t>Comercial (registro a red municipal)</w:t>
            </w:r>
          </w:p>
        </w:tc>
        <w:tc>
          <w:tcPr>
            <w:tcW w:w="3651" w:type="dxa"/>
          </w:tcPr>
          <w:p>
            <w:pPr>
              <w:pStyle w:val="TableParagraph"/>
              <w:spacing w:line="252" w:lineRule="exact"/>
              <w:ind w:left="32" w:right="5"/>
              <w:jc w:val="center"/>
              <w:rPr>
                <w:sz w:val="24"/>
              </w:rPr>
            </w:pPr>
            <w:r>
              <w:rPr>
                <w:sz w:val="24"/>
              </w:rPr>
              <w:t>$2,358.00</w:t>
            </w:r>
          </w:p>
        </w:tc>
      </w:tr>
      <w:tr>
        <w:trPr>
          <w:trHeight w:val="274" w:hRule="atLeast"/>
        </w:trPr>
        <w:tc>
          <w:tcPr>
            <w:tcW w:w="5065" w:type="dxa"/>
          </w:tcPr>
          <w:p>
            <w:pPr>
              <w:pStyle w:val="TableParagraph"/>
              <w:spacing w:line="255" w:lineRule="exact"/>
              <w:ind w:left="13"/>
              <w:rPr>
                <w:sz w:val="24"/>
              </w:rPr>
            </w:pPr>
            <w:r>
              <w:rPr>
                <w:sz w:val="24"/>
              </w:rPr>
              <w:t>Fosa séptica en zona urbana</w:t>
            </w:r>
          </w:p>
        </w:tc>
        <w:tc>
          <w:tcPr>
            <w:tcW w:w="3651" w:type="dxa"/>
          </w:tcPr>
          <w:p>
            <w:pPr>
              <w:pStyle w:val="TableParagraph"/>
              <w:spacing w:line="255" w:lineRule="exact"/>
              <w:ind w:left="32" w:right="2"/>
              <w:jc w:val="center"/>
              <w:rPr>
                <w:sz w:val="24"/>
              </w:rPr>
            </w:pPr>
            <w:r>
              <w:rPr>
                <w:sz w:val="24"/>
              </w:rPr>
              <w:t>$957.00 por Servicio</w:t>
            </w:r>
          </w:p>
        </w:tc>
      </w:tr>
      <w:tr>
        <w:trPr>
          <w:trHeight w:val="551" w:hRule="atLeast"/>
        </w:trPr>
        <w:tc>
          <w:tcPr>
            <w:tcW w:w="5065" w:type="dxa"/>
          </w:tcPr>
          <w:p>
            <w:pPr>
              <w:pStyle w:val="TableParagraph"/>
              <w:spacing w:before="2"/>
              <w:ind w:left="13"/>
              <w:rPr>
                <w:sz w:val="24"/>
              </w:rPr>
            </w:pPr>
            <w:r>
              <w:rPr>
                <w:sz w:val="24"/>
              </w:rPr>
              <w:t>Fosa séptica en zona rural</w:t>
            </w:r>
          </w:p>
        </w:tc>
        <w:tc>
          <w:tcPr>
            <w:tcW w:w="3651" w:type="dxa"/>
          </w:tcPr>
          <w:p>
            <w:pPr>
              <w:pStyle w:val="TableParagraph"/>
              <w:spacing w:before="2"/>
              <w:ind w:left="32" w:right="5"/>
              <w:jc w:val="center"/>
              <w:rPr>
                <w:sz w:val="24"/>
              </w:rPr>
            </w:pPr>
            <w:r>
              <w:rPr>
                <w:sz w:val="24"/>
              </w:rPr>
              <w:t>$1,196.00 por Servicio+ Traslado</w:t>
            </w:r>
          </w:p>
        </w:tc>
      </w:tr>
    </w:tbl>
    <w:p>
      <w:pPr>
        <w:spacing w:after="0"/>
        <w:jc w:val="center"/>
        <w:rPr>
          <w:sz w:val="24"/>
        </w:rPr>
        <w:sectPr>
          <w:pgSz w:w="12250" w:h="15850"/>
          <w:pgMar w:header="730" w:footer="0" w:top="1000" w:bottom="280" w:left="860" w:right="820"/>
        </w:sectPr>
      </w:pPr>
    </w:p>
    <w:p>
      <w:pPr>
        <w:pStyle w:val="BodyText"/>
        <w:spacing w:before="183"/>
        <w:ind w:left="400"/>
      </w:pPr>
      <w:r>
        <w:rPr/>
        <w:t>Todos los conceptos anteriores que sean para uso comercial e industrial causarán IVA.</w:t>
      </w:r>
    </w:p>
    <w:p>
      <w:pPr>
        <w:pStyle w:val="BodyText"/>
      </w:pPr>
    </w:p>
    <w:p>
      <w:pPr>
        <w:pStyle w:val="Heading1"/>
        <w:numPr>
          <w:ilvl w:val="1"/>
          <w:numId w:val="55"/>
        </w:numPr>
        <w:tabs>
          <w:tab w:pos="972" w:val="left" w:leader="none"/>
        </w:tabs>
        <w:spacing w:line="240" w:lineRule="auto" w:before="0" w:after="0"/>
        <w:ind w:left="966" w:right="437" w:hanging="567"/>
        <w:jc w:val="both"/>
      </w:pPr>
      <w:r>
        <w:rPr/>
        <w:drawing>
          <wp:anchor distT="0" distB="0" distL="0" distR="0" allowOverlap="1" layoutInCell="1" locked="0" behindDoc="1" simplePos="0" relativeHeight="227540992">
            <wp:simplePos x="0" y="0"/>
            <wp:positionH relativeFrom="page">
              <wp:posOffset>1239220</wp:posOffset>
            </wp:positionH>
            <wp:positionV relativeFrom="paragraph">
              <wp:posOffset>943557</wp:posOffset>
            </wp:positionV>
            <wp:extent cx="5022641" cy="5144769"/>
            <wp:effectExtent l="0" t="0" r="0" b="0"/>
            <wp:wrapNone/>
            <wp:docPr id="143" name="image67.png"/>
            <wp:cNvGraphicFramePr>
              <a:graphicFrameLocks noChangeAspect="1"/>
            </wp:cNvGraphicFramePr>
            <a:graphic>
              <a:graphicData uri="http://schemas.openxmlformats.org/drawingml/2006/picture">
                <pic:pic>
                  <pic:nvPicPr>
                    <pic:cNvPr id="144" name="image67.png"/>
                    <pic:cNvPicPr/>
                  </pic:nvPicPr>
                  <pic:blipFill>
                    <a:blip r:embed="rId77" cstate="print"/>
                    <a:stretch>
                      <a:fillRect/>
                    </a:stretch>
                  </pic:blipFill>
                  <pic:spPr>
                    <a:xfrm>
                      <a:off x="0" y="0"/>
                      <a:ext cx="5022641" cy="5144769"/>
                    </a:xfrm>
                    <a:prstGeom prst="rect">
                      <a:avLst/>
                    </a:prstGeom>
                  </pic:spPr>
                </pic:pic>
              </a:graphicData>
            </a:graphic>
          </wp:anchor>
        </w:drawing>
      </w:r>
      <w:r>
        <w:rPr/>
        <w:t>Servicio de agua en camiones cisterna (pipas). -aumento conforme a la inflación-.</w:t>
      </w:r>
    </w:p>
    <w:p>
      <w:pPr>
        <w:pStyle w:val="BodyText"/>
        <w:rPr>
          <w:b/>
        </w:rPr>
      </w:pPr>
    </w:p>
    <w:tbl>
      <w:tblPr>
        <w:tblW w:w="0" w:type="auto"/>
        <w:jc w:val="left"/>
        <w:tblInd w:w="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89"/>
        <w:gridCol w:w="3687"/>
      </w:tblGrid>
      <w:tr>
        <w:trPr>
          <w:trHeight w:val="270" w:hRule="atLeast"/>
        </w:trPr>
        <w:tc>
          <w:tcPr>
            <w:tcW w:w="5089" w:type="dxa"/>
          </w:tcPr>
          <w:p>
            <w:pPr>
              <w:pStyle w:val="TableParagraph"/>
              <w:spacing w:line="250" w:lineRule="exact"/>
              <w:ind w:left="4"/>
              <w:rPr>
                <w:sz w:val="24"/>
              </w:rPr>
            </w:pPr>
            <w:r>
              <w:rPr>
                <w:sz w:val="24"/>
              </w:rPr>
              <w:t>Llenado a particulares de 5 a 8 mil litros</w:t>
            </w:r>
          </w:p>
        </w:tc>
        <w:tc>
          <w:tcPr>
            <w:tcW w:w="3687" w:type="dxa"/>
          </w:tcPr>
          <w:p>
            <w:pPr>
              <w:pStyle w:val="TableParagraph"/>
              <w:spacing w:line="250" w:lineRule="exact"/>
              <w:ind w:right="1322"/>
              <w:jc w:val="right"/>
              <w:rPr>
                <w:sz w:val="24"/>
              </w:rPr>
            </w:pPr>
            <w:r>
              <w:rPr>
                <w:sz w:val="24"/>
              </w:rPr>
              <w:t>$ 179.00</w:t>
            </w:r>
          </w:p>
        </w:tc>
      </w:tr>
      <w:tr>
        <w:trPr>
          <w:trHeight w:val="270" w:hRule="atLeast"/>
        </w:trPr>
        <w:tc>
          <w:tcPr>
            <w:tcW w:w="5089" w:type="dxa"/>
          </w:tcPr>
          <w:p>
            <w:pPr>
              <w:pStyle w:val="TableParagraph"/>
              <w:spacing w:line="250" w:lineRule="exact"/>
              <w:ind w:left="4"/>
              <w:rPr>
                <w:sz w:val="24"/>
              </w:rPr>
            </w:pPr>
            <w:r>
              <w:rPr>
                <w:sz w:val="24"/>
              </w:rPr>
              <w:t>Llenado a particulares de 9 a 15 mil litros</w:t>
            </w:r>
          </w:p>
        </w:tc>
        <w:tc>
          <w:tcPr>
            <w:tcW w:w="3687" w:type="dxa"/>
          </w:tcPr>
          <w:p>
            <w:pPr>
              <w:pStyle w:val="TableParagraph"/>
              <w:spacing w:line="250" w:lineRule="exact"/>
              <w:ind w:right="1322"/>
              <w:jc w:val="right"/>
              <w:rPr>
                <w:sz w:val="24"/>
              </w:rPr>
            </w:pPr>
            <w:r>
              <w:rPr>
                <w:sz w:val="24"/>
              </w:rPr>
              <w:t>$ 299.00</w:t>
            </w:r>
          </w:p>
        </w:tc>
      </w:tr>
      <w:tr>
        <w:trPr>
          <w:trHeight w:val="269" w:hRule="atLeast"/>
        </w:trPr>
        <w:tc>
          <w:tcPr>
            <w:tcW w:w="5089" w:type="dxa"/>
            <w:tcBorders>
              <w:bottom w:val="single" w:sz="6" w:space="0" w:color="000000"/>
            </w:tcBorders>
          </w:tcPr>
          <w:p>
            <w:pPr>
              <w:pStyle w:val="TableParagraph"/>
              <w:spacing w:line="249" w:lineRule="exact"/>
              <w:ind w:left="4"/>
              <w:rPr>
                <w:sz w:val="24"/>
              </w:rPr>
            </w:pPr>
            <w:r>
              <w:rPr>
                <w:sz w:val="24"/>
              </w:rPr>
              <w:t>Llenado a particulares de más15 mil litros</w:t>
            </w:r>
          </w:p>
        </w:tc>
        <w:tc>
          <w:tcPr>
            <w:tcW w:w="3687" w:type="dxa"/>
            <w:tcBorders>
              <w:bottom w:val="single" w:sz="6" w:space="0" w:color="000000"/>
            </w:tcBorders>
          </w:tcPr>
          <w:p>
            <w:pPr>
              <w:pStyle w:val="TableParagraph"/>
              <w:spacing w:line="249" w:lineRule="exact"/>
              <w:ind w:right="1322"/>
              <w:jc w:val="right"/>
              <w:rPr>
                <w:sz w:val="24"/>
              </w:rPr>
            </w:pPr>
            <w:r>
              <w:rPr>
                <w:sz w:val="24"/>
              </w:rPr>
              <w:t>$ 359.00</w:t>
            </w:r>
          </w:p>
        </w:tc>
      </w:tr>
      <w:tr>
        <w:trPr>
          <w:trHeight w:val="274" w:hRule="atLeast"/>
        </w:trPr>
        <w:tc>
          <w:tcPr>
            <w:tcW w:w="5089" w:type="dxa"/>
            <w:tcBorders>
              <w:top w:val="single" w:sz="6" w:space="0" w:color="000000"/>
            </w:tcBorders>
          </w:tcPr>
          <w:p>
            <w:pPr>
              <w:pStyle w:val="TableParagraph"/>
              <w:spacing w:line="252" w:lineRule="exact" w:before="2"/>
              <w:ind w:left="4"/>
              <w:rPr>
                <w:sz w:val="24"/>
              </w:rPr>
            </w:pPr>
            <w:r>
              <w:rPr>
                <w:sz w:val="24"/>
              </w:rPr>
              <w:t>Servicio de agua en pipas en zona urbana</w:t>
            </w:r>
          </w:p>
        </w:tc>
        <w:tc>
          <w:tcPr>
            <w:tcW w:w="3687" w:type="dxa"/>
            <w:tcBorders>
              <w:top w:val="single" w:sz="6" w:space="0" w:color="000000"/>
            </w:tcBorders>
          </w:tcPr>
          <w:p>
            <w:pPr>
              <w:pStyle w:val="TableParagraph"/>
              <w:spacing w:line="252" w:lineRule="exact" w:before="2"/>
              <w:ind w:right="1322"/>
              <w:jc w:val="right"/>
              <w:rPr>
                <w:sz w:val="24"/>
              </w:rPr>
            </w:pPr>
            <w:r>
              <w:rPr>
                <w:sz w:val="24"/>
              </w:rPr>
              <w:t>$ 359.00</w:t>
            </w:r>
          </w:p>
        </w:tc>
      </w:tr>
      <w:tr>
        <w:trPr>
          <w:trHeight w:val="272" w:hRule="atLeast"/>
        </w:trPr>
        <w:tc>
          <w:tcPr>
            <w:tcW w:w="5089" w:type="dxa"/>
          </w:tcPr>
          <w:p>
            <w:pPr>
              <w:pStyle w:val="TableParagraph"/>
              <w:spacing w:line="253" w:lineRule="exact"/>
              <w:ind w:left="4"/>
              <w:rPr>
                <w:sz w:val="24"/>
              </w:rPr>
            </w:pPr>
            <w:r>
              <w:rPr>
                <w:sz w:val="24"/>
              </w:rPr>
              <w:t>Servicio de agua en pipas en zona rural.</w:t>
            </w:r>
          </w:p>
        </w:tc>
        <w:tc>
          <w:tcPr>
            <w:tcW w:w="3687" w:type="dxa"/>
          </w:tcPr>
          <w:p>
            <w:pPr>
              <w:pStyle w:val="TableParagraph"/>
              <w:spacing w:line="253" w:lineRule="exact"/>
              <w:ind w:right="1284"/>
              <w:jc w:val="right"/>
              <w:rPr>
                <w:sz w:val="24"/>
              </w:rPr>
            </w:pPr>
            <w:r>
              <w:rPr>
                <w:sz w:val="24"/>
              </w:rPr>
              <w:t>$1,196.00</w:t>
            </w:r>
          </w:p>
        </w:tc>
      </w:tr>
    </w:tbl>
    <w:p>
      <w:pPr>
        <w:pStyle w:val="BodyText"/>
        <w:rPr>
          <w:b/>
        </w:rPr>
      </w:pPr>
    </w:p>
    <w:p>
      <w:pPr>
        <w:pStyle w:val="BodyText"/>
        <w:ind w:left="400"/>
      </w:pPr>
      <w:r>
        <w:rPr/>
        <w:t>Todos los conceptos anteriores que sean para uso comercial e industrial causarán IVA.</w:t>
      </w:r>
    </w:p>
    <w:p>
      <w:pPr>
        <w:pStyle w:val="BodyText"/>
        <w:spacing w:before="1"/>
      </w:pPr>
    </w:p>
    <w:p>
      <w:pPr>
        <w:pStyle w:val="Heading1"/>
        <w:numPr>
          <w:ilvl w:val="1"/>
          <w:numId w:val="55"/>
        </w:numPr>
        <w:tabs>
          <w:tab w:pos="967" w:val="left" w:leader="none"/>
        </w:tabs>
        <w:spacing w:line="240" w:lineRule="auto" w:before="0" w:after="0"/>
        <w:ind w:left="966" w:right="0" w:hanging="567"/>
        <w:jc w:val="left"/>
      </w:pPr>
      <w:r>
        <w:rPr/>
        <w:t>Cuotas y Derechos no</w:t>
      </w:r>
      <w:r>
        <w:rPr>
          <w:spacing w:val="2"/>
        </w:rPr>
        <w:t> </w:t>
      </w:r>
      <w:r>
        <w:rPr/>
        <w:t>fijos.</w:t>
      </w:r>
    </w:p>
    <w:p>
      <w:pPr>
        <w:pStyle w:val="BodyText"/>
        <w:rPr>
          <w:b/>
        </w:rPr>
      </w:pPr>
    </w:p>
    <w:p>
      <w:pPr>
        <w:pStyle w:val="ListParagraph"/>
        <w:numPr>
          <w:ilvl w:val="0"/>
          <w:numId w:val="63"/>
        </w:numPr>
        <w:tabs>
          <w:tab w:pos="967" w:val="left" w:leader="none"/>
        </w:tabs>
        <w:spacing w:line="240" w:lineRule="auto" w:before="0" w:after="0"/>
        <w:ind w:left="966" w:right="431" w:hanging="567"/>
        <w:jc w:val="both"/>
        <w:rPr>
          <w:sz w:val="24"/>
        </w:rPr>
      </w:pPr>
      <w:r>
        <w:rPr>
          <w:sz w:val="24"/>
        </w:rPr>
        <w:t>Las personas físicas o morales que descarguen permanente, intermitente o fortuitamente aguas residuales en las redes de drenaje, provenientes de actividades productivas </w:t>
      </w:r>
      <w:r>
        <w:rPr>
          <w:spacing w:val="-2"/>
          <w:sz w:val="24"/>
        </w:rPr>
        <w:t>y/o </w:t>
      </w:r>
      <w:r>
        <w:rPr>
          <w:sz w:val="24"/>
        </w:rPr>
        <w:t>comerciales, deberán pagar mensualmente, además de las tarifas de agua potable y alcantarillado, los costos que el Sistema Operador determine una vez hecha la medición de los contaminantes de agua descargada y deducción de las concentraciones permisibles conforme a las Normas Oficiales Mexicanas y las condiciones particulares de descarga. El pago de estos conceptos es independiente del cumplimiento a lo dispuesto en la Ley General del Equilibrio Ecológico y l a Protección al Ambiente, </w:t>
      </w:r>
      <w:r>
        <w:rPr>
          <w:spacing w:val="6"/>
          <w:sz w:val="24"/>
        </w:rPr>
        <w:t>en </w:t>
      </w:r>
      <w:r>
        <w:rPr>
          <w:sz w:val="24"/>
        </w:rPr>
        <w:t>la Ley de Aguas Nacionales y su Reglamento y </w:t>
      </w:r>
      <w:r>
        <w:rPr>
          <w:spacing w:val="7"/>
          <w:sz w:val="24"/>
        </w:rPr>
        <w:t>en </w:t>
      </w:r>
      <w:r>
        <w:rPr>
          <w:sz w:val="24"/>
        </w:rPr>
        <w:t>la legislación local</w:t>
      </w:r>
      <w:r>
        <w:rPr>
          <w:spacing w:val="-1"/>
          <w:sz w:val="24"/>
        </w:rPr>
        <w:t> </w:t>
      </w:r>
      <w:r>
        <w:rPr>
          <w:sz w:val="24"/>
        </w:rPr>
        <w:t>respectiva.</w:t>
      </w:r>
    </w:p>
    <w:p>
      <w:pPr>
        <w:pStyle w:val="BodyText"/>
      </w:pPr>
    </w:p>
    <w:p>
      <w:pPr>
        <w:pStyle w:val="ListParagraph"/>
        <w:numPr>
          <w:ilvl w:val="0"/>
          <w:numId w:val="63"/>
        </w:numPr>
        <w:tabs>
          <w:tab w:pos="967" w:val="left" w:leader="none"/>
        </w:tabs>
        <w:spacing w:line="240" w:lineRule="auto" w:before="1" w:after="0"/>
        <w:ind w:left="966" w:right="432" w:hanging="567"/>
        <w:jc w:val="both"/>
        <w:rPr>
          <w:sz w:val="24"/>
        </w:rPr>
      </w:pPr>
      <w:r>
        <w:rPr>
          <w:sz w:val="24"/>
        </w:rPr>
        <w:t>Los servicios de instalación de toma domiciliaria e instalación o compostura de medidor se cobrarán de acuerdo al presupuesto elaborado por el Sistema</w:t>
      </w:r>
      <w:r>
        <w:rPr>
          <w:spacing w:val="-9"/>
          <w:sz w:val="24"/>
        </w:rPr>
        <w:t> </w:t>
      </w:r>
      <w:r>
        <w:rPr>
          <w:spacing w:val="-3"/>
          <w:sz w:val="24"/>
        </w:rPr>
        <w:t>Operador.</w:t>
      </w:r>
    </w:p>
    <w:p>
      <w:pPr>
        <w:pStyle w:val="BodyText"/>
        <w:spacing w:before="11"/>
        <w:rPr>
          <w:sz w:val="23"/>
        </w:rPr>
      </w:pPr>
    </w:p>
    <w:p>
      <w:pPr>
        <w:pStyle w:val="Heading1"/>
        <w:numPr>
          <w:ilvl w:val="0"/>
          <w:numId w:val="55"/>
        </w:numPr>
        <w:tabs>
          <w:tab w:pos="966" w:val="left" w:leader="none"/>
          <w:tab w:pos="967" w:val="left" w:leader="none"/>
        </w:tabs>
        <w:spacing w:line="240" w:lineRule="auto" w:before="0" w:after="0"/>
        <w:ind w:left="966" w:right="0" w:hanging="567"/>
        <w:jc w:val="left"/>
      </w:pPr>
      <w:r>
        <w:rPr/>
        <w:t>DISPOSICIONES GENERALES.</w:t>
      </w:r>
    </w:p>
    <w:p>
      <w:pPr>
        <w:pStyle w:val="BodyText"/>
        <w:rPr>
          <w:b/>
        </w:rPr>
      </w:pPr>
    </w:p>
    <w:p>
      <w:pPr>
        <w:pStyle w:val="ListParagraph"/>
        <w:numPr>
          <w:ilvl w:val="0"/>
          <w:numId w:val="64"/>
        </w:numPr>
        <w:tabs>
          <w:tab w:pos="967" w:val="left" w:leader="none"/>
        </w:tabs>
        <w:spacing w:line="240" w:lineRule="auto" w:before="0" w:after="0"/>
        <w:ind w:left="966" w:right="432" w:hanging="567"/>
        <w:jc w:val="both"/>
        <w:rPr>
          <w:sz w:val="24"/>
        </w:rPr>
      </w:pPr>
      <w:r>
        <w:rPr>
          <w:b/>
          <w:sz w:val="24"/>
        </w:rPr>
        <w:t>Recargos. </w:t>
      </w:r>
      <w:r>
        <w:rPr>
          <w:sz w:val="24"/>
        </w:rPr>
        <w:t>Cuando no se cubran oportunamente los pagos por la prestación de los servicios referidos en el presente documento, los Usuarios pagarán el 1% mensual del monto total del adeudo hasta su regularización, más los gastos de cobranza que pudieran</w:t>
      </w:r>
      <w:r>
        <w:rPr>
          <w:spacing w:val="-2"/>
          <w:sz w:val="24"/>
        </w:rPr>
        <w:t> </w:t>
      </w:r>
      <w:r>
        <w:rPr>
          <w:spacing w:val="-3"/>
          <w:sz w:val="24"/>
        </w:rPr>
        <w:t>originarse.</w:t>
      </w:r>
    </w:p>
    <w:p>
      <w:pPr>
        <w:pStyle w:val="BodyText"/>
        <w:spacing w:before="1"/>
      </w:pPr>
    </w:p>
    <w:p>
      <w:pPr>
        <w:pStyle w:val="ListParagraph"/>
        <w:numPr>
          <w:ilvl w:val="0"/>
          <w:numId w:val="64"/>
        </w:numPr>
        <w:tabs>
          <w:tab w:pos="967" w:val="left" w:leader="none"/>
        </w:tabs>
        <w:spacing w:line="240" w:lineRule="auto" w:before="0" w:after="0"/>
        <w:ind w:left="966" w:right="431" w:hanging="567"/>
        <w:jc w:val="both"/>
        <w:rPr>
          <w:sz w:val="24"/>
        </w:rPr>
      </w:pPr>
      <w:r>
        <w:rPr>
          <w:b/>
          <w:sz w:val="24"/>
        </w:rPr>
        <w:t>Multas e infracciones. </w:t>
      </w:r>
      <w:r>
        <w:rPr>
          <w:sz w:val="24"/>
        </w:rPr>
        <w:t>El Sistema </w:t>
      </w:r>
      <w:r>
        <w:rPr>
          <w:spacing w:val="-4"/>
          <w:sz w:val="24"/>
        </w:rPr>
        <w:t>Operador </w:t>
      </w:r>
      <w:r>
        <w:rPr>
          <w:sz w:val="24"/>
        </w:rPr>
        <w:t>impondrá las infracciones y sanciones a los Usuarios que se ajusten a las conductas enumeradas en el artículo 114 de la Ley de Agua Potable y Alcantarillado del Estado de Nayarit y su </w:t>
      </w:r>
      <w:r>
        <w:rPr>
          <w:spacing w:val="2"/>
          <w:sz w:val="24"/>
        </w:rPr>
        <w:t>Reglamento, </w:t>
      </w:r>
      <w:r>
        <w:rPr>
          <w:sz w:val="24"/>
        </w:rPr>
        <w:t>y el propio Sistema Operador percibirá el importe de las multas </w:t>
      </w:r>
      <w:r>
        <w:rPr>
          <w:spacing w:val="-2"/>
          <w:sz w:val="24"/>
        </w:rPr>
        <w:t>que </w:t>
      </w:r>
      <w:r>
        <w:rPr>
          <w:sz w:val="24"/>
        </w:rPr>
        <w:t>establece el artículo115 de la ley en la materia. En caso de </w:t>
      </w:r>
      <w:r>
        <w:rPr>
          <w:spacing w:val="3"/>
          <w:sz w:val="24"/>
        </w:rPr>
        <w:t>aquellos </w:t>
      </w:r>
      <w:r>
        <w:rPr>
          <w:spacing w:val="2"/>
          <w:sz w:val="24"/>
        </w:rPr>
        <w:t>supuestos </w:t>
      </w:r>
      <w:r>
        <w:rPr>
          <w:sz w:val="24"/>
        </w:rPr>
        <w:t>no </w:t>
      </w:r>
      <w:r>
        <w:rPr>
          <w:spacing w:val="3"/>
          <w:sz w:val="24"/>
        </w:rPr>
        <w:t>referidos </w:t>
      </w:r>
      <w:r>
        <w:rPr>
          <w:sz w:val="24"/>
        </w:rPr>
        <w:t>en la mencionada Ley o su Reglamento, de acuerdo con la gravedad de la falta, se aplicarán </w:t>
      </w:r>
      <w:r>
        <w:rPr>
          <w:spacing w:val="5"/>
          <w:sz w:val="24"/>
        </w:rPr>
        <w:t>las </w:t>
      </w:r>
      <w:r>
        <w:rPr>
          <w:sz w:val="24"/>
        </w:rPr>
        <w:t>multas que establece el artículo115 de la ley antes</w:t>
      </w:r>
      <w:r>
        <w:rPr>
          <w:spacing w:val="-5"/>
          <w:sz w:val="24"/>
        </w:rPr>
        <w:t> </w:t>
      </w:r>
      <w:r>
        <w:rPr>
          <w:sz w:val="24"/>
        </w:rPr>
        <w:t>citada.</w:t>
      </w:r>
    </w:p>
    <w:p>
      <w:pPr>
        <w:pStyle w:val="BodyText"/>
      </w:pPr>
    </w:p>
    <w:p>
      <w:pPr>
        <w:pStyle w:val="ListParagraph"/>
        <w:numPr>
          <w:ilvl w:val="0"/>
          <w:numId w:val="64"/>
        </w:numPr>
        <w:tabs>
          <w:tab w:pos="967" w:val="left" w:leader="none"/>
        </w:tabs>
        <w:spacing w:line="240" w:lineRule="auto" w:before="0" w:after="0"/>
        <w:ind w:left="966" w:right="431" w:hanging="567"/>
        <w:jc w:val="both"/>
        <w:rPr>
          <w:sz w:val="24"/>
        </w:rPr>
      </w:pPr>
      <w:r>
        <w:rPr>
          <w:b/>
          <w:sz w:val="24"/>
        </w:rPr>
        <w:t>Convenios y estímulos. </w:t>
      </w:r>
      <w:r>
        <w:rPr>
          <w:sz w:val="24"/>
        </w:rPr>
        <w:t>Se autoriza al Sistema Operador, por medio de su Director General, y con fundamento en el artículo 61-Afracción XII de la Ley de Hacienda Municipal para el Estado de Nayarit, a suscribir los convenios y realizar los </w:t>
      </w:r>
      <w:r>
        <w:rPr>
          <w:spacing w:val="2"/>
          <w:sz w:val="24"/>
        </w:rPr>
        <w:t>estímulos </w:t>
      </w:r>
      <w:r>
        <w:rPr>
          <w:sz w:val="24"/>
        </w:rPr>
        <w:t>que </w:t>
      </w:r>
      <w:r>
        <w:rPr>
          <w:spacing w:val="3"/>
          <w:sz w:val="24"/>
        </w:rPr>
        <w:t>se </w:t>
      </w:r>
      <w:r>
        <w:rPr>
          <w:sz w:val="24"/>
        </w:rPr>
        <w:t>crean necesarios para que los Usuarios se regularicen en sus pagos, mismos que serán subsidiados por el H. Ayuntamiento con la finalidad de abatir</w:t>
      </w:r>
      <w:r>
        <w:rPr>
          <w:spacing w:val="32"/>
          <w:sz w:val="24"/>
        </w:rPr>
        <w:t> </w:t>
      </w:r>
      <w:r>
        <w:rPr>
          <w:sz w:val="24"/>
        </w:rPr>
        <w:t>tomas</w:t>
      </w:r>
    </w:p>
    <w:p>
      <w:pPr>
        <w:spacing w:after="0" w:line="240" w:lineRule="auto"/>
        <w:jc w:val="both"/>
        <w:rPr>
          <w:sz w:val="24"/>
        </w:rPr>
        <w:sectPr>
          <w:pgSz w:w="12250" w:h="15850"/>
          <w:pgMar w:header="730" w:footer="0" w:top="1000" w:bottom="280" w:left="860" w:right="820"/>
        </w:sectPr>
      </w:pPr>
    </w:p>
    <w:p>
      <w:pPr>
        <w:pStyle w:val="BodyText"/>
        <w:spacing w:before="1"/>
        <w:rPr>
          <w:sz w:val="9"/>
        </w:rPr>
      </w:pPr>
    </w:p>
    <w:p>
      <w:pPr>
        <w:pStyle w:val="BodyText"/>
        <w:spacing w:before="93"/>
        <w:ind w:left="966" w:right="432"/>
        <w:jc w:val="both"/>
      </w:pPr>
      <w:r>
        <w:rPr/>
        <w:t>irregulares y cartera vencida; para lo que se deberá tomar en consideración la condición económica de cada caso particular, procurando la mayor recuperación de recursos a favor del Sistema Operador.</w:t>
      </w:r>
    </w:p>
    <w:p>
      <w:pPr>
        <w:pStyle w:val="BodyText"/>
      </w:pPr>
    </w:p>
    <w:p>
      <w:pPr>
        <w:pStyle w:val="Heading1"/>
        <w:numPr>
          <w:ilvl w:val="1"/>
          <w:numId w:val="55"/>
        </w:numPr>
        <w:tabs>
          <w:tab w:pos="871" w:val="left" w:leader="none"/>
        </w:tabs>
        <w:spacing w:line="240" w:lineRule="auto" w:before="0" w:after="0"/>
        <w:ind w:left="870" w:right="0" w:hanging="471"/>
        <w:jc w:val="left"/>
      </w:pPr>
      <w:r>
        <w:rPr/>
        <w:t>Programa de Pagos Anuales (pagos</w:t>
      </w:r>
      <w:r>
        <w:rPr>
          <w:spacing w:val="11"/>
        </w:rPr>
        <w:t> </w:t>
      </w:r>
      <w:r>
        <w:rPr/>
        <w:t>anticipados).</w:t>
      </w:r>
    </w:p>
    <w:p>
      <w:pPr>
        <w:pStyle w:val="BodyText"/>
        <w:rPr>
          <w:b/>
        </w:rPr>
      </w:pPr>
    </w:p>
    <w:p>
      <w:pPr>
        <w:pStyle w:val="BodyText"/>
        <w:ind w:left="400" w:right="430"/>
        <w:jc w:val="both"/>
      </w:pPr>
      <w:r>
        <w:rPr/>
        <w:drawing>
          <wp:anchor distT="0" distB="0" distL="0" distR="0" allowOverlap="1" layoutInCell="1" locked="0" behindDoc="1" simplePos="0" relativeHeight="227542016">
            <wp:simplePos x="0" y="0"/>
            <wp:positionH relativeFrom="page">
              <wp:posOffset>1252555</wp:posOffset>
            </wp:positionH>
            <wp:positionV relativeFrom="paragraph">
              <wp:posOffset>233373</wp:posOffset>
            </wp:positionV>
            <wp:extent cx="5022641" cy="5144769"/>
            <wp:effectExtent l="0" t="0" r="0" b="0"/>
            <wp:wrapNone/>
            <wp:docPr id="145" name="image68.png"/>
            <wp:cNvGraphicFramePr>
              <a:graphicFrameLocks noChangeAspect="1"/>
            </wp:cNvGraphicFramePr>
            <a:graphic>
              <a:graphicData uri="http://schemas.openxmlformats.org/drawingml/2006/picture">
                <pic:pic>
                  <pic:nvPicPr>
                    <pic:cNvPr id="146" name="image68.png"/>
                    <pic:cNvPicPr/>
                  </pic:nvPicPr>
                  <pic:blipFill>
                    <a:blip r:embed="rId78" cstate="print"/>
                    <a:stretch>
                      <a:fillRect/>
                    </a:stretch>
                  </pic:blipFill>
                  <pic:spPr>
                    <a:xfrm>
                      <a:off x="0" y="0"/>
                      <a:ext cx="5022641" cy="5144769"/>
                    </a:xfrm>
                    <a:prstGeom prst="rect">
                      <a:avLst/>
                    </a:prstGeom>
                  </pic:spPr>
                </pic:pic>
              </a:graphicData>
            </a:graphic>
          </wp:anchor>
        </w:drawing>
      </w:r>
      <w:r>
        <w:rPr/>
        <w:t>Con la finalidad de una recuperación económica del Sistema Operador, se autoriza al Director General a recibir pagos de manera anticipada en el mes diciembre del 2020por los conceptos de agua potable y alcantarillado; para lo cual los Usuarios deberán cumplir con los siguientes requisitos:</w:t>
      </w:r>
    </w:p>
    <w:p>
      <w:pPr>
        <w:pStyle w:val="BodyText"/>
      </w:pPr>
    </w:p>
    <w:p>
      <w:pPr>
        <w:pStyle w:val="ListParagraph"/>
        <w:numPr>
          <w:ilvl w:val="0"/>
          <w:numId w:val="65"/>
        </w:numPr>
        <w:tabs>
          <w:tab w:pos="1121" w:val="left" w:leader="none"/>
        </w:tabs>
        <w:spacing w:line="240" w:lineRule="auto" w:before="0" w:after="0"/>
        <w:ind w:left="1120" w:right="0" w:hanging="361"/>
        <w:jc w:val="left"/>
        <w:rPr>
          <w:sz w:val="24"/>
        </w:rPr>
      </w:pPr>
      <w:r>
        <w:rPr>
          <w:sz w:val="24"/>
        </w:rPr>
        <w:t>No tener ningún tipo de adeudo con el </w:t>
      </w:r>
      <w:r>
        <w:rPr>
          <w:spacing w:val="-3"/>
          <w:sz w:val="24"/>
        </w:rPr>
        <w:t>Sistema </w:t>
      </w:r>
      <w:r>
        <w:rPr>
          <w:sz w:val="24"/>
        </w:rPr>
        <w:t>Operador,</w:t>
      </w:r>
      <w:r>
        <w:rPr>
          <w:spacing w:val="3"/>
          <w:sz w:val="24"/>
        </w:rPr>
        <w:t> </w:t>
      </w:r>
      <w:r>
        <w:rPr>
          <w:sz w:val="24"/>
        </w:rPr>
        <w:t>y</w:t>
      </w:r>
    </w:p>
    <w:p>
      <w:pPr>
        <w:pStyle w:val="BodyText"/>
        <w:spacing w:before="1"/>
      </w:pPr>
    </w:p>
    <w:p>
      <w:pPr>
        <w:pStyle w:val="ListParagraph"/>
        <w:numPr>
          <w:ilvl w:val="0"/>
          <w:numId w:val="65"/>
        </w:numPr>
        <w:tabs>
          <w:tab w:pos="1121" w:val="left" w:leader="none"/>
        </w:tabs>
        <w:spacing w:line="240" w:lineRule="auto" w:before="0" w:after="0"/>
        <w:ind w:left="1120" w:right="0" w:hanging="361"/>
        <w:jc w:val="left"/>
        <w:rPr>
          <w:sz w:val="24"/>
        </w:rPr>
      </w:pPr>
      <w:r>
        <w:rPr>
          <w:sz w:val="24"/>
        </w:rPr>
        <w:t>Contar y exhibir el recibo o número </w:t>
      </w:r>
      <w:r>
        <w:rPr>
          <w:spacing w:val="-4"/>
          <w:sz w:val="24"/>
        </w:rPr>
        <w:t>de </w:t>
      </w:r>
      <w:r>
        <w:rPr>
          <w:sz w:val="24"/>
        </w:rPr>
        <w:t>contrato para su</w:t>
      </w:r>
      <w:r>
        <w:rPr>
          <w:spacing w:val="3"/>
          <w:sz w:val="24"/>
        </w:rPr>
        <w:t> </w:t>
      </w:r>
      <w:r>
        <w:rPr>
          <w:sz w:val="24"/>
        </w:rPr>
        <w:t>identificación.</w:t>
      </w:r>
    </w:p>
    <w:p>
      <w:pPr>
        <w:pStyle w:val="BodyText"/>
      </w:pPr>
    </w:p>
    <w:p>
      <w:pPr>
        <w:pStyle w:val="BodyText"/>
        <w:ind w:left="400" w:right="431"/>
        <w:jc w:val="both"/>
      </w:pPr>
      <w:r>
        <w:rPr/>
        <w:t>El Usuario podrá anticipar el número de meses que desee pagar. La cantidad a pagar será la cuota que corresponda al mes que efectué el pago multiplicado por el número de meses que pretenda cubrir para el año 2020, si existiera algún cambio de tarifa el número de meses será ajustado por el Sistema Operador.</w:t>
      </w:r>
    </w:p>
    <w:p>
      <w:pPr>
        <w:pStyle w:val="BodyText"/>
      </w:pPr>
    </w:p>
    <w:p>
      <w:pPr>
        <w:pStyle w:val="BodyText"/>
        <w:ind w:left="400" w:right="432"/>
        <w:jc w:val="both"/>
      </w:pPr>
      <w:r>
        <w:rPr/>
        <w:t>Asimismo, en los pagos anticipados, los Usuarios obtendrán los siguientes beneficios: en enero del año 2020 se aplicará un estímulo del 7%, en el mes febrero del 2020 se aplicará un estímulo del 5%, y durante el mes de diciembre del 2020 se aplicará un estímulo del 10% para aplicación de pago anticipado del 2021.</w:t>
      </w:r>
    </w:p>
    <w:p>
      <w:pPr>
        <w:pStyle w:val="BodyText"/>
        <w:spacing w:before="1"/>
      </w:pPr>
    </w:p>
    <w:p>
      <w:pPr>
        <w:pStyle w:val="BodyText"/>
        <w:ind w:left="400" w:right="442"/>
        <w:jc w:val="both"/>
      </w:pPr>
      <w:r>
        <w:rPr/>
        <w:t>El Usuario deberá presentar su credencial de elector actualizada (INE o IFE) cuya dirección coincida con la del recibo del agua. La falta de la credencial de elector, no podrá compensarse con contratos de arrendamiento, escrituras púbicas ni algún otro documento simple u</w:t>
      </w:r>
      <w:r>
        <w:rPr>
          <w:spacing w:val="-2"/>
        </w:rPr>
        <w:t> </w:t>
      </w:r>
      <w:r>
        <w:rPr/>
        <w:t>oficial.</w:t>
      </w:r>
    </w:p>
    <w:p>
      <w:pPr>
        <w:pStyle w:val="BodyText"/>
      </w:pPr>
    </w:p>
    <w:p>
      <w:pPr>
        <w:pStyle w:val="BodyText"/>
        <w:ind w:left="400" w:right="431"/>
        <w:jc w:val="both"/>
      </w:pPr>
      <w:r>
        <w:rPr/>
        <w:t>Los beneficios anteriores, NO aplican para los Usuarios de la tercera edad, pensionados, jubilados y personas con capacidades diferentes, así como la tarifa IDR, por encontrarse en un programa o </w:t>
      </w:r>
      <w:r>
        <w:rPr>
          <w:spacing w:val="8"/>
        </w:rPr>
        <w:t>tarifa</w:t>
      </w:r>
      <w:r>
        <w:rPr>
          <w:spacing w:val="3"/>
        </w:rPr>
        <w:t> </w:t>
      </w:r>
      <w:r>
        <w:rPr/>
        <w:t>especial.</w:t>
      </w:r>
    </w:p>
    <w:p>
      <w:pPr>
        <w:pStyle w:val="BodyText"/>
        <w:spacing w:before="9"/>
        <w:rPr>
          <w:sz w:val="23"/>
        </w:rPr>
      </w:pPr>
    </w:p>
    <w:p>
      <w:pPr>
        <w:pStyle w:val="BodyText"/>
        <w:ind w:left="400" w:right="439"/>
        <w:jc w:val="both"/>
      </w:pPr>
      <w:r>
        <w:rPr/>
        <w:t>En caso de un pago anticipado en donde no exista servicio medido, queda facultado el Sistema Operador para que, una vez identificado el domicilio, se determine la instalación del aparato medidor, se lleve a cabo un prorrateo y se ajuste en lo sucesivo el monto que deberá pagar dicho Usuario, o bien, lo que, en su caso, habrá de rembolsársele a través de metros cúbicos bonificados en el ejercicio anual siguiente, en el entendido que a partir de la medición y después de la certeza de ésta el pago no devengado será efectivo en las siguientes</w:t>
      </w:r>
      <w:r>
        <w:rPr>
          <w:spacing w:val="-1"/>
        </w:rPr>
        <w:t> </w:t>
      </w:r>
      <w:r>
        <w:rPr/>
        <w:t>facturaciones</w:t>
      </w:r>
    </w:p>
    <w:p>
      <w:pPr>
        <w:spacing w:after="0"/>
        <w:jc w:val="both"/>
        <w:sectPr>
          <w:pgSz w:w="12250" w:h="15850"/>
          <w:pgMar w:header="730" w:footer="0" w:top="1000" w:bottom="280" w:left="860" w:right="820"/>
        </w:sectPr>
      </w:pPr>
    </w:p>
    <w:p>
      <w:pPr>
        <w:pStyle w:val="BodyText"/>
        <w:spacing w:before="10"/>
        <w:rPr>
          <w:sz w:val="15"/>
        </w:rPr>
      </w:pPr>
    </w:p>
    <w:tbl>
      <w:tblPr>
        <w:tblW w:w="0" w:type="auto"/>
        <w:jc w:val="left"/>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4"/>
        <w:gridCol w:w="946"/>
        <w:gridCol w:w="1195"/>
        <w:gridCol w:w="1625"/>
        <w:gridCol w:w="1363"/>
        <w:gridCol w:w="1294"/>
        <w:gridCol w:w="1497"/>
      </w:tblGrid>
      <w:tr>
        <w:trPr>
          <w:trHeight w:val="335" w:hRule="atLeast"/>
        </w:trPr>
        <w:tc>
          <w:tcPr>
            <w:tcW w:w="9564" w:type="dxa"/>
            <w:gridSpan w:val="7"/>
          </w:tcPr>
          <w:p>
            <w:pPr>
              <w:pStyle w:val="TableParagraph"/>
              <w:spacing w:before="31"/>
              <w:ind w:left="791"/>
              <w:rPr>
                <w:b/>
                <w:sz w:val="24"/>
              </w:rPr>
            </w:pPr>
            <w:r>
              <w:rPr>
                <w:b/>
                <w:sz w:val="24"/>
              </w:rPr>
              <w:t>PAGOS ANUALES PARA EL EJERCICIO 2020 (PAGOS ANTICIPADOS)</w:t>
            </w:r>
          </w:p>
        </w:tc>
      </w:tr>
      <w:tr>
        <w:trPr>
          <w:trHeight w:val="278" w:hRule="atLeast"/>
        </w:trPr>
        <w:tc>
          <w:tcPr>
            <w:tcW w:w="9564" w:type="dxa"/>
            <w:gridSpan w:val="7"/>
            <w:tcBorders>
              <w:bottom w:val="single" w:sz="8" w:space="0" w:color="000000"/>
            </w:tcBorders>
          </w:tcPr>
          <w:p>
            <w:pPr>
              <w:pStyle w:val="TableParagraph"/>
              <w:rPr>
                <w:rFonts w:ascii="Times New Roman"/>
                <w:sz w:val="20"/>
              </w:rPr>
            </w:pPr>
          </w:p>
        </w:tc>
      </w:tr>
      <w:tr>
        <w:trPr>
          <w:trHeight w:val="1307" w:hRule="atLeast"/>
        </w:trPr>
        <w:tc>
          <w:tcPr>
            <w:tcW w:w="164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578" w:lineRule="auto" w:before="175"/>
              <w:ind w:left="69" w:right="187"/>
              <w:rPr>
                <w:b/>
                <w:sz w:val="24"/>
              </w:rPr>
            </w:pPr>
            <w:r>
              <w:rPr>
                <w:b/>
                <w:sz w:val="24"/>
              </w:rPr>
              <w:t>Tarifas Domesticas</w:t>
            </w:r>
          </w:p>
        </w:tc>
        <w:tc>
          <w:tcPr>
            <w:tcW w:w="946"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26"/>
              </w:rPr>
            </w:pPr>
          </w:p>
          <w:p>
            <w:pPr>
              <w:pStyle w:val="TableParagraph"/>
              <w:spacing w:before="3"/>
              <w:rPr>
                <w:sz w:val="34"/>
              </w:rPr>
            </w:pPr>
          </w:p>
          <w:p>
            <w:pPr>
              <w:pStyle w:val="TableParagraph"/>
              <w:ind w:left="69"/>
              <w:rPr>
                <w:b/>
                <w:sz w:val="24"/>
              </w:rPr>
            </w:pPr>
            <w:r>
              <w:rPr>
                <w:b/>
                <w:sz w:val="24"/>
              </w:rPr>
              <w:t>Zona</w:t>
            </w:r>
          </w:p>
        </w:tc>
        <w:tc>
          <w:tcPr>
            <w:tcW w:w="1195"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8"/>
              <w:ind w:left="66" w:right="155"/>
              <w:rPr>
                <w:b/>
                <w:sz w:val="24"/>
              </w:rPr>
            </w:pPr>
            <w:r>
              <w:rPr>
                <w:b/>
                <w:sz w:val="24"/>
              </w:rPr>
              <w:t>Tarifa por mes</w:t>
            </w:r>
          </w:p>
          <w:p>
            <w:pPr>
              <w:pStyle w:val="TableParagraph"/>
              <w:spacing w:before="8"/>
              <w:rPr>
                <w:sz w:val="21"/>
              </w:rPr>
            </w:pPr>
          </w:p>
          <w:p>
            <w:pPr>
              <w:pStyle w:val="TableParagraph"/>
              <w:ind w:left="66"/>
              <w:rPr>
                <w:b/>
                <w:sz w:val="24"/>
              </w:rPr>
            </w:pPr>
            <w:r>
              <w:rPr>
                <w:b/>
                <w:sz w:val="24"/>
              </w:rPr>
              <w:t>2020</w:t>
            </w:r>
          </w:p>
        </w:tc>
        <w:tc>
          <w:tcPr>
            <w:tcW w:w="162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578" w:lineRule="auto" w:before="175"/>
              <w:ind w:left="69" w:right="142"/>
              <w:rPr>
                <w:b/>
                <w:sz w:val="24"/>
              </w:rPr>
            </w:pPr>
            <w:r>
              <w:rPr>
                <w:b/>
                <w:sz w:val="24"/>
              </w:rPr>
              <w:t>Costo anual 2020</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175"/>
              <w:ind w:left="69"/>
              <w:rPr>
                <w:b/>
                <w:sz w:val="24"/>
              </w:rPr>
            </w:pPr>
            <w:r>
              <w:rPr>
                <w:b/>
                <w:sz w:val="24"/>
              </w:rPr>
              <w:t>Enero</w:t>
            </w:r>
          </w:p>
          <w:p>
            <w:pPr>
              <w:pStyle w:val="TableParagraph"/>
              <w:spacing w:before="9"/>
              <w:rPr>
                <w:sz w:val="33"/>
              </w:rPr>
            </w:pPr>
          </w:p>
          <w:p>
            <w:pPr>
              <w:pStyle w:val="TableParagraph"/>
              <w:ind w:left="69"/>
              <w:rPr>
                <w:b/>
                <w:sz w:val="24"/>
              </w:rPr>
            </w:pPr>
            <w:r>
              <w:rPr>
                <w:b/>
                <w:sz w:val="24"/>
              </w:rPr>
              <w:t>2020</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175"/>
              <w:ind w:left="67"/>
              <w:rPr>
                <w:b/>
                <w:sz w:val="24"/>
              </w:rPr>
            </w:pPr>
            <w:r>
              <w:rPr>
                <w:b/>
                <w:sz w:val="24"/>
              </w:rPr>
              <w:t>Febrero</w:t>
            </w:r>
          </w:p>
          <w:p>
            <w:pPr>
              <w:pStyle w:val="TableParagraph"/>
              <w:spacing w:before="9"/>
              <w:rPr>
                <w:sz w:val="33"/>
              </w:rPr>
            </w:pPr>
          </w:p>
          <w:p>
            <w:pPr>
              <w:pStyle w:val="TableParagraph"/>
              <w:ind w:left="67"/>
              <w:rPr>
                <w:b/>
                <w:sz w:val="24"/>
              </w:rPr>
            </w:pPr>
            <w:r>
              <w:rPr>
                <w:b/>
                <w:sz w:val="24"/>
              </w:rPr>
              <w:t>2020</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175"/>
              <w:ind w:left="70"/>
              <w:rPr>
                <w:b/>
                <w:sz w:val="24"/>
              </w:rPr>
            </w:pPr>
            <w:r>
              <w:rPr>
                <w:b/>
                <w:sz w:val="24"/>
              </w:rPr>
              <w:t>Diciembre</w:t>
            </w:r>
          </w:p>
          <w:p>
            <w:pPr>
              <w:pStyle w:val="TableParagraph"/>
              <w:spacing w:before="9"/>
              <w:rPr>
                <w:sz w:val="33"/>
              </w:rPr>
            </w:pPr>
          </w:p>
          <w:p>
            <w:pPr>
              <w:pStyle w:val="TableParagraph"/>
              <w:ind w:left="70"/>
              <w:rPr>
                <w:b/>
                <w:sz w:val="24"/>
              </w:rPr>
            </w:pPr>
            <w:r>
              <w:rPr>
                <w:b/>
                <w:sz w:val="24"/>
              </w:rPr>
              <w:t>2020</w:t>
            </w:r>
          </w:p>
        </w:tc>
      </w:tr>
      <w:tr>
        <w:trPr>
          <w:trHeight w:val="337" w:hRule="atLeast"/>
        </w:trPr>
        <w:tc>
          <w:tcPr>
            <w:tcW w:w="1644" w:type="dxa"/>
            <w:vMerge/>
            <w:tcBorders>
              <w:top w:val="nil"/>
              <w:left w:val="single" w:sz="8" w:space="0" w:color="000000"/>
              <w:bottom w:val="single" w:sz="8" w:space="0" w:color="000000"/>
              <w:right w:val="single" w:sz="8" w:space="0" w:color="000000"/>
            </w:tcBorders>
          </w:tcPr>
          <w:p>
            <w:pPr>
              <w:rPr>
                <w:sz w:val="2"/>
                <w:szCs w:val="2"/>
              </w:rPr>
            </w:pPr>
          </w:p>
        </w:tc>
        <w:tc>
          <w:tcPr>
            <w:tcW w:w="946" w:type="dxa"/>
            <w:vMerge/>
            <w:tcBorders>
              <w:top w:val="nil"/>
              <w:left w:val="single" w:sz="8" w:space="0" w:color="000000"/>
              <w:bottom w:val="single" w:sz="8" w:space="0" w:color="000000"/>
              <w:right w:val="single" w:sz="8" w:space="0" w:color="000000"/>
            </w:tcBorders>
          </w:tcPr>
          <w:p>
            <w:pPr>
              <w:rPr>
                <w:sz w:val="2"/>
                <w:szCs w:val="2"/>
              </w:rPr>
            </w:pPr>
          </w:p>
        </w:tc>
        <w:tc>
          <w:tcPr>
            <w:tcW w:w="1195" w:type="dxa"/>
            <w:vMerge/>
            <w:tcBorders>
              <w:top w:val="nil"/>
              <w:left w:val="single" w:sz="8" w:space="0" w:color="000000"/>
              <w:bottom w:val="single" w:sz="8" w:space="0" w:color="000000"/>
              <w:right w:val="single" w:sz="8" w:space="0" w:color="000000"/>
            </w:tcBorders>
          </w:tcPr>
          <w:p>
            <w:pPr>
              <w:rPr>
                <w:sz w:val="2"/>
                <w:szCs w:val="2"/>
              </w:rPr>
            </w:pPr>
          </w:p>
        </w:tc>
        <w:tc>
          <w:tcPr>
            <w:tcW w:w="1625" w:type="dxa"/>
            <w:vMerge/>
            <w:tcBorders>
              <w:top w:val="nil"/>
              <w:left w:val="single" w:sz="8" w:space="0" w:color="000000"/>
              <w:bottom w:val="single" w:sz="8" w:space="0" w:color="000000"/>
              <w:right w:val="single" w:sz="8" w:space="0" w:color="000000"/>
            </w:tcBorders>
          </w:tcPr>
          <w:p>
            <w:pPr>
              <w:rPr>
                <w:sz w:val="2"/>
                <w:szCs w:val="2"/>
              </w:rPr>
            </w:pP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31"/>
              <w:ind w:left="69"/>
              <w:rPr>
                <w:b/>
                <w:sz w:val="24"/>
              </w:rPr>
            </w:pPr>
            <w:r>
              <w:rPr>
                <w:b/>
                <w:sz w:val="24"/>
              </w:rPr>
              <w:t>7%</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31"/>
              <w:ind w:left="67"/>
              <w:rPr>
                <w:b/>
                <w:sz w:val="24"/>
              </w:rPr>
            </w:pPr>
            <w:r>
              <w:rPr>
                <w:b/>
                <w:sz w:val="24"/>
              </w:rPr>
              <w:t>5%</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31"/>
              <w:ind w:left="70"/>
              <w:rPr>
                <w:b/>
                <w:sz w:val="24"/>
              </w:rPr>
            </w:pPr>
            <w:r>
              <w:rPr>
                <w:b/>
                <w:sz w:val="24"/>
              </w:rPr>
              <w:t>10%</w:t>
            </w:r>
          </w:p>
        </w:tc>
      </w:tr>
      <w:tr>
        <w:trPr>
          <w:trHeight w:val="635"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left="69"/>
              <w:rPr>
                <w:sz w:val="24"/>
              </w:rPr>
            </w:pPr>
            <w:r>
              <w:rPr>
                <w:sz w:val="24"/>
              </w:rPr>
              <w:t>1A</w:t>
            </w:r>
          </w:p>
        </w:tc>
        <w:tc>
          <w:tcPr>
            <w:tcW w:w="946" w:type="dxa"/>
            <w:tcBorders>
              <w:top w:val="single" w:sz="8" w:space="0" w:color="000000"/>
              <w:left w:val="single" w:sz="8" w:space="0" w:color="000000"/>
              <w:bottom w:val="single" w:sz="8" w:space="0" w:color="000000"/>
              <w:right w:val="single" w:sz="8" w:space="0" w:color="000000"/>
            </w:tcBorders>
          </w:tcPr>
          <w:p>
            <w:pPr>
              <w:pStyle w:val="TableParagraph"/>
              <w:spacing w:before="41"/>
              <w:ind w:left="69" w:right="183"/>
              <w:rPr>
                <w:sz w:val="24"/>
              </w:rPr>
            </w:pPr>
            <w:r>
              <w:rPr>
                <w:sz w:val="24"/>
              </w:rPr>
              <w:t>Lote baldío</w:t>
            </w: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right="49"/>
              <w:jc w:val="right"/>
              <w:rPr>
                <w:sz w:val="24"/>
              </w:rPr>
            </w:pPr>
            <w:r>
              <w:rPr>
                <w:sz w:val="24"/>
              </w:rPr>
              <w:t>$47.00</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right="47"/>
              <w:jc w:val="right"/>
              <w:rPr>
                <w:sz w:val="24"/>
              </w:rPr>
            </w:pPr>
            <w:r>
              <w:rPr>
                <w:sz w:val="24"/>
              </w:rPr>
              <w:t>No Aplica</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right="48"/>
              <w:jc w:val="right"/>
              <w:rPr>
                <w:sz w:val="24"/>
              </w:rPr>
            </w:pPr>
            <w:r>
              <w:rPr>
                <w:sz w:val="24"/>
              </w:rPr>
              <w:t>No Aplica</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right="49"/>
              <w:jc w:val="right"/>
              <w:rPr>
                <w:sz w:val="24"/>
              </w:rPr>
            </w:pPr>
            <w:r>
              <w:rPr>
                <w:sz w:val="24"/>
              </w:rPr>
              <w:t>No Aplica</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2"/>
              <w:rPr>
                <w:sz w:val="29"/>
              </w:rPr>
            </w:pPr>
          </w:p>
          <w:p>
            <w:pPr>
              <w:pStyle w:val="TableParagraph"/>
              <w:ind w:right="48"/>
              <w:jc w:val="right"/>
              <w:rPr>
                <w:sz w:val="24"/>
              </w:rPr>
            </w:pPr>
            <w:r>
              <w:rPr>
                <w:sz w:val="24"/>
              </w:rPr>
              <w:t>No Aplica</w:t>
            </w:r>
          </w:p>
        </w:tc>
      </w:tr>
      <w:tr>
        <w:trPr>
          <w:trHeight w:val="303"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left="69"/>
              <w:rPr>
                <w:sz w:val="24"/>
              </w:rPr>
            </w:pPr>
            <w:r>
              <w:rPr>
                <w:sz w:val="24"/>
              </w:rPr>
              <w:t>1B</w:t>
            </w:r>
          </w:p>
        </w:tc>
        <w:tc>
          <w:tcPr>
            <w:tcW w:w="946"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left="69"/>
              <w:rPr>
                <w:sz w:val="24"/>
              </w:rPr>
            </w:pPr>
            <w:r>
              <w:rPr>
                <w:sz w:val="24"/>
              </w:rPr>
              <w:t>Baja</w:t>
            </w: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right="49"/>
              <w:jc w:val="right"/>
              <w:rPr>
                <w:sz w:val="24"/>
              </w:rPr>
            </w:pPr>
            <w:r>
              <w:rPr>
                <w:sz w:val="24"/>
              </w:rPr>
              <w:t>$131.06</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right="47"/>
              <w:jc w:val="right"/>
              <w:rPr>
                <w:sz w:val="24"/>
              </w:rPr>
            </w:pPr>
            <w:r>
              <w:rPr>
                <w:sz w:val="24"/>
              </w:rPr>
              <w:t>$1,572.76</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right="49"/>
              <w:jc w:val="right"/>
              <w:rPr>
                <w:sz w:val="24"/>
              </w:rPr>
            </w:pPr>
            <w:r>
              <w:rPr>
                <w:sz w:val="24"/>
              </w:rPr>
              <w:t>$1,462.67</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right="49"/>
              <w:jc w:val="right"/>
              <w:rPr>
                <w:sz w:val="24"/>
              </w:rPr>
            </w:pPr>
            <w:r>
              <w:rPr>
                <w:sz w:val="24"/>
              </w:rPr>
              <w:t>$1,494.13</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line="270" w:lineRule="exact" w:before="14"/>
              <w:ind w:right="48"/>
              <w:jc w:val="right"/>
              <w:rPr>
                <w:sz w:val="24"/>
              </w:rPr>
            </w:pPr>
            <w:r>
              <w:rPr>
                <w:sz w:val="24"/>
              </w:rPr>
              <w:t>$1,415.49</w:t>
            </w:r>
          </w:p>
        </w:tc>
      </w:tr>
      <w:tr>
        <w:trPr>
          <w:trHeight w:val="304" w:hRule="atLeast"/>
        </w:trPr>
        <w:tc>
          <w:tcPr>
            <w:tcW w:w="1644"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left="69"/>
              <w:rPr>
                <w:sz w:val="24"/>
              </w:rPr>
            </w:pPr>
            <w:r>
              <w:rPr>
                <w:sz w:val="24"/>
              </w:rPr>
              <w:t>1C</w:t>
            </w:r>
          </w:p>
        </w:tc>
        <w:tc>
          <w:tcPr>
            <w:tcW w:w="946"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left="69"/>
              <w:rPr>
                <w:sz w:val="24"/>
              </w:rPr>
            </w:pPr>
            <w:r>
              <w:rPr>
                <w:sz w:val="24"/>
              </w:rPr>
              <w:t>Media</w:t>
            </w:r>
          </w:p>
        </w:tc>
        <w:tc>
          <w:tcPr>
            <w:tcW w:w="1195"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right="49"/>
              <w:jc w:val="right"/>
              <w:rPr>
                <w:sz w:val="24"/>
              </w:rPr>
            </w:pPr>
            <w:r>
              <w:rPr>
                <w:sz w:val="24"/>
              </w:rPr>
              <w:t>$215.68</w:t>
            </w:r>
          </w:p>
        </w:tc>
        <w:tc>
          <w:tcPr>
            <w:tcW w:w="1625"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right="47"/>
              <w:jc w:val="right"/>
              <w:rPr>
                <w:sz w:val="24"/>
              </w:rPr>
            </w:pPr>
            <w:r>
              <w:rPr>
                <w:sz w:val="24"/>
              </w:rPr>
              <w:t>$2,588.16</w:t>
            </w:r>
          </w:p>
        </w:tc>
        <w:tc>
          <w:tcPr>
            <w:tcW w:w="1363"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right="49"/>
              <w:jc w:val="right"/>
              <w:rPr>
                <w:sz w:val="24"/>
              </w:rPr>
            </w:pPr>
            <w:r>
              <w:rPr>
                <w:sz w:val="24"/>
              </w:rPr>
              <w:t>$2,406.99</w:t>
            </w:r>
          </w:p>
        </w:tc>
        <w:tc>
          <w:tcPr>
            <w:tcW w:w="1294"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right="49"/>
              <w:jc w:val="right"/>
              <w:rPr>
                <w:sz w:val="24"/>
              </w:rPr>
            </w:pPr>
            <w:r>
              <w:rPr>
                <w:sz w:val="24"/>
              </w:rPr>
              <w:t>$2,458.75</w:t>
            </w:r>
          </w:p>
        </w:tc>
        <w:tc>
          <w:tcPr>
            <w:tcW w:w="1497" w:type="dxa"/>
            <w:tcBorders>
              <w:top w:val="single" w:sz="8" w:space="0" w:color="000000"/>
              <w:left w:val="single" w:sz="8" w:space="0" w:color="000000"/>
              <w:bottom w:val="single" w:sz="6" w:space="0" w:color="000000"/>
              <w:right w:val="single" w:sz="8" w:space="0" w:color="000000"/>
            </w:tcBorders>
          </w:tcPr>
          <w:p>
            <w:pPr>
              <w:pStyle w:val="TableParagraph"/>
              <w:spacing w:line="270" w:lineRule="exact" w:before="14"/>
              <w:ind w:right="48"/>
              <w:jc w:val="right"/>
              <w:rPr>
                <w:sz w:val="24"/>
              </w:rPr>
            </w:pPr>
            <w:r>
              <w:rPr>
                <w:sz w:val="24"/>
              </w:rPr>
              <w:t>$2,329.34</w:t>
            </w:r>
          </w:p>
        </w:tc>
      </w:tr>
      <w:tr>
        <w:trPr>
          <w:trHeight w:val="309" w:hRule="atLeast"/>
        </w:trPr>
        <w:tc>
          <w:tcPr>
            <w:tcW w:w="1644"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left="69"/>
              <w:rPr>
                <w:sz w:val="24"/>
              </w:rPr>
            </w:pPr>
            <w:r>
              <w:rPr>
                <w:sz w:val="24"/>
              </w:rPr>
              <w:t>1D</w:t>
            </w:r>
          </w:p>
        </w:tc>
        <w:tc>
          <w:tcPr>
            <w:tcW w:w="946"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left="69"/>
              <w:rPr>
                <w:sz w:val="24"/>
              </w:rPr>
            </w:pPr>
            <w:r>
              <w:rPr>
                <w:sz w:val="24"/>
              </w:rPr>
              <w:t>Alta</w:t>
            </w:r>
          </w:p>
        </w:tc>
        <w:tc>
          <w:tcPr>
            <w:tcW w:w="1195"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right="49"/>
              <w:jc w:val="right"/>
              <w:rPr>
                <w:sz w:val="24"/>
              </w:rPr>
            </w:pPr>
            <w:r>
              <w:rPr>
                <w:sz w:val="24"/>
              </w:rPr>
              <w:t>$269.35</w:t>
            </w:r>
          </w:p>
        </w:tc>
        <w:tc>
          <w:tcPr>
            <w:tcW w:w="1625"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right="47"/>
              <w:jc w:val="right"/>
              <w:rPr>
                <w:sz w:val="24"/>
              </w:rPr>
            </w:pPr>
            <w:r>
              <w:rPr>
                <w:sz w:val="24"/>
              </w:rPr>
              <w:t>$3,232.20</w:t>
            </w:r>
          </w:p>
        </w:tc>
        <w:tc>
          <w:tcPr>
            <w:tcW w:w="1363"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right="49"/>
              <w:jc w:val="right"/>
              <w:rPr>
                <w:sz w:val="24"/>
              </w:rPr>
            </w:pPr>
            <w:r>
              <w:rPr>
                <w:sz w:val="24"/>
              </w:rPr>
              <w:t>$3,005.94</w:t>
            </w:r>
          </w:p>
        </w:tc>
        <w:tc>
          <w:tcPr>
            <w:tcW w:w="1294"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right="49"/>
              <w:jc w:val="right"/>
              <w:rPr>
                <w:sz w:val="24"/>
              </w:rPr>
            </w:pPr>
            <w:r>
              <w:rPr>
                <w:sz w:val="24"/>
              </w:rPr>
              <w:t>$3,70.59</w:t>
            </w:r>
          </w:p>
        </w:tc>
        <w:tc>
          <w:tcPr>
            <w:tcW w:w="1497" w:type="dxa"/>
            <w:tcBorders>
              <w:top w:val="single" w:sz="6" w:space="0" w:color="000000"/>
              <w:left w:val="single" w:sz="8" w:space="0" w:color="000000"/>
              <w:bottom w:val="single" w:sz="8" w:space="0" w:color="000000"/>
              <w:right w:val="single" w:sz="8" w:space="0" w:color="000000"/>
            </w:tcBorders>
          </w:tcPr>
          <w:p>
            <w:pPr>
              <w:pStyle w:val="TableParagraph"/>
              <w:spacing w:line="272" w:lineRule="exact" w:before="17"/>
              <w:ind w:right="48"/>
              <w:jc w:val="right"/>
              <w:rPr>
                <w:sz w:val="24"/>
              </w:rPr>
            </w:pPr>
            <w:r>
              <w:rPr>
                <w:sz w:val="24"/>
              </w:rPr>
              <w:t>$2,908.98</w:t>
            </w:r>
          </w:p>
        </w:tc>
      </w:tr>
      <w:tr>
        <w:trPr>
          <w:trHeight w:val="632"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before="180"/>
              <w:ind w:left="69"/>
              <w:rPr>
                <w:sz w:val="24"/>
              </w:rPr>
            </w:pPr>
            <w:r>
              <w:rPr>
                <w:sz w:val="24"/>
              </w:rPr>
              <w:t>2B2</w:t>
            </w:r>
          </w:p>
        </w:tc>
        <w:tc>
          <w:tcPr>
            <w:tcW w:w="946"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auto"/>
              <w:ind w:left="69" w:right="116"/>
              <w:rPr>
                <w:sz w:val="24"/>
              </w:rPr>
            </w:pPr>
            <w:r>
              <w:rPr>
                <w:sz w:val="24"/>
              </w:rPr>
              <w:t>Desde hasta3</w:t>
            </w:r>
          </w:p>
          <w:p>
            <w:pPr>
              <w:pStyle w:val="TableParagraph"/>
              <w:spacing w:line="267" w:lineRule="exact" w:before="2"/>
              <w:ind w:left="69"/>
              <w:rPr>
                <w:sz w:val="24"/>
              </w:rPr>
            </w:pPr>
            <w:r>
              <w:rPr>
                <w:sz w:val="24"/>
              </w:rPr>
              <w:t>casas</w:t>
            </w: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before="180"/>
              <w:ind w:right="49"/>
              <w:jc w:val="right"/>
              <w:rPr>
                <w:sz w:val="24"/>
              </w:rPr>
            </w:pPr>
            <w:r>
              <w:rPr>
                <w:sz w:val="24"/>
              </w:rPr>
              <w:t>$263.16</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before="180"/>
              <w:ind w:right="47"/>
              <w:jc w:val="right"/>
              <w:rPr>
                <w:sz w:val="24"/>
              </w:rPr>
            </w:pPr>
            <w:r>
              <w:rPr>
                <w:sz w:val="24"/>
              </w:rPr>
              <w:t>$3,157.92</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180"/>
              <w:ind w:right="49"/>
              <w:jc w:val="right"/>
              <w:rPr>
                <w:sz w:val="24"/>
              </w:rPr>
            </w:pPr>
            <w:r>
              <w:rPr>
                <w:sz w:val="24"/>
              </w:rPr>
              <w:t>$ 2,936.86</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180"/>
              <w:ind w:right="49"/>
              <w:jc w:val="right"/>
              <w:rPr>
                <w:sz w:val="24"/>
              </w:rPr>
            </w:pPr>
            <w:r>
              <w:rPr>
                <w:sz w:val="24"/>
              </w:rPr>
              <w:t>$3,000.02</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180"/>
              <w:ind w:right="48"/>
              <w:jc w:val="right"/>
              <w:rPr>
                <w:sz w:val="24"/>
              </w:rPr>
            </w:pPr>
            <w:r>
              <w:rPr>
                <w:sz w:val="24"/>
              </w:rPr>
              <w:t>$ 2,842.12</w:t>
            </w:r>
          </w:p>
        </w:tc>
      </w:tr>
      <w:tr>
        <w:trPr>
          <w:trHeight w:val="303"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left="69"/>
              <w:rPr>
                <w:sz w:val="24"/>
              </w:rPr>
            </w:pPr>
            <w:r>
              <w:rPr>
                <w:sz w:val="24"/>
              </w:rPr>
              <w:t>2B3</w:t>
            </w:r>
          </w:p>
        </w:tc>
        <w:tc>
          <w:tcPr>
            <w:tcW w:w="946" w:type="dxa"/>
            <w:vMerge/>
            <w:tcBorders>
              <w:top w:val="nil"/>
              <w:left w:val="single" w:sz="8" w:space="0" w:color="000000"/>
              <w:bottom w:val="single" w:sz="8" w:space="0" w:color="000000"/>
              <w:right w:val="single" w:sz="8" w:space="0" w:color="000000"/>
            </w:tcBorders>
          </w:tcPr>
          <w:p>
            <w:pPr>
              <w:rPr>
                <w:sz w:val="2"/>
                <w:szCs w:val="2"/>
              </w:rPr>
            </w:pP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$394.22</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7"/>
              <w:jc w:val="right"/>
              <w:rPr>
                <w:sz w:val="24"/>
              </w:rPr>
            </w:pPr>
            <w:r>
              <w:rPr>
                <w:sz w:val="24"/>
              </w:rPr>
              <w:t>$4730.64</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$4,399.49</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$4,494.10</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8"/>
              <w:jc w:val="right"/>
              <w:rPr>
                <w:sz w:val="24"/>
              </w:rPr>
            </w:pPr>
            <w:r>
              <w:rPr>
                <w:sz w:val="24"/>
              </w:rPr>
              <w:t>$4,257.57</w:t>
            </w:r>
          </w:p>
        </w:tc>
      </w:tr>
      <w:tr>
        <w:trPr>
          <w:trHeight w:val="635"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before="182"/>
              <w:ind w:left="69"/>
              <w:rPr>
                <w:sz w:val="24"/>
              </w:rPr>
            </w:pPr>
            <w:r>
              <w:rPr>
                <w:sz w:val="24"/>
              </w:rPr>
              <w:t>2C2</w:t>
            </w:r>
          </w:p>
        </w:tc>
        <w:tc>
          <w:tcPr>
            <w:tcW w:w="946"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90" w:lineRule="auto" w:before="2"/>
              <w:ind w:left="69" w:right="116"/>
              <w:rPr>
                <w:sz w:val="24"/>
              </w:rPr>
            </w:pPr>
            <w:r>
              <w:rPr>
                <w:sz w:val="24"/>
              </w:rPr>
              <w:t>Desde hasta3</w:t>
            </w:r>
          </w:p>
          <w:p>
            <w:pPr>
              <w:pStyle w:val="TableParagraph"/>
              <w:spacing w:line="267" w:lineRule="exact" w:before="2"/>
              <w:ind w:left="69"/>
              <w:rPr>
                <w:sz w:val="24"/>
              </w:rPr>
            </w:pPr>
            <w:r>
              <w:rPr>
                <w:sz w:val="24"/>
              </w:rPr>
              <w:t>casas</w:t>
            </w: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$430.00</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before="182"/>
              <w:ind w:right="47"/>
              <w:jc w:val="right"/>
              <w:rPr>
                <w:sz w:val="24"/>
              </w:rPr>
            </w:pPr>
            <w:r>
              <w:rPr>
                <w:sz w:val="24"/>
              </w:rPr>
              <w:t>$5,160</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$4,798.8</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$4,902</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182"/>
              <w:ind w:right="48"/>
              <w:jc w:val="right"/>
              <w:rPr>
                <w:sz w:val="24"/>
              </w:rPr>
            </w:pPr>
            <w:r>
              <w:rPr>
                <w:sz w:val="24"/>
              </w:rPr>
              <w:t>$4,644</w:t>
            </w:r>
          </w:p>
        </w:tc>
      </w:tr>
      <w:tr>
        <w:trPr>
          <w:trHeight w:val="304"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left="69"/>
              <w:rPr>
                <w:sz w:val="24"/>
              </w:rPr>
            </w:pPr>
            <w:r>
              <w:rPr>
                <w:sz w:val="24"/>
              </w:rPr>
              <w:t>2C3</w:t>
            </w:r>
          </w:p>
        </w:tc>
        <w:tc>
          <w:tcPr>
            <w:tcW w:w="946" w:type="dxa"/>
            <w:vMerge/>
            <w:tcBorders>
              <w:top w:val="nil"/>
              <w:left w:val="single" w:sz="8" w:space="0" w:color="000000"/>
              <w:bottom w:val="single" w:sz="8" w:space="0" w:color="000000"/>
              <w:right w:val="single" w:sz="8" w:space="0" w:color="000000"/>
            </w:tcBorders>
          </w:tcPr>
          <w:p>
            <w:pPr>
              <w:rPr>
                <w:sz w:val="2"/>
                <w:szCs w:val="2"/>
              </w:rPr>
            </w:pP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$645</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6"/>
              <w:jc w:val="right"/>
              <w:rPr>
                <w:sz w:val="24"/>
              </w:rPr>
            </w:pPr>
            <w:r>
              <w:rPr>
                <w:sz w:val="24"/>
              </w:rPr>
              <w:t>$7,740</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$7,198.20</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9"/>
              <w:jc w:val="right"/>
              <w:rPr>
                <w:sz w:val="24"/>
              </w:rPr>
            </w:pPr>
            <w:r>
              <w:rPr>
                <w:sz w:val="24"/>
              </w:rPr>
              <w:t>$7,353</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line="267" w:lineRule="exact" w:before="17"/>
              <w:ind w:right="48"/>
              <w:jc w:val="right"/>
              <w:rPr>
                <w:sz w:val="24"/>
              </w:rPr>
            </w:pPr>
            <w:r>
              <w:rPr>
                <w:sz w:val="24"/>
              </w:rPr>
              <w:t>$6,966</w:t>
            </w:r>
          </w:p>
        </w:tc>
      </w:tr>
      <w:tr>
        <w:trPr>
          <w:trHeight w:val="635"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before="182"/>
              <w:ind w:left="69"/>
              <w:rPr>
                <w:sz w:val="24"/>
              </w:rPr>
            </w:pPr>
            <w:r>
              <w:rPr>
                <w:sz w:val="24"/>
              </w:rPr>
              <w:t>2D2</w:t>
            </w:r>
          </w:p>
        </w:tc>
        <w:tc>
          <w:tcPr>
            <w:tcW w:w="94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2"/>
              <w:ind w:left="69"/>
              <w:rPr>
                <w:sz w:val="24"/>
              </w:rPr>
            </w:pPr>
            <w:r>
              <w:rPr>
                <w:sz w:val="24"/>
              </w:rPr>
              <w:t>Desde</w:t>
            </w:r>
          </w:p>
          <w:p>
            <w:pPr>
              <w:pStyle w:val="TableParagraph"/>
              <w:spacing w:line="330" w:lineRule="atLeast" w:before="4"/>
              <w:ind w:left="69" w:right="116"/>
              <w:rPr>
                <w:sz w:val="24"/>
              </w:rPr>
            </w:pPr>
            <w:r>
              <w:rPr>
                <w:sz w:val="24"/>
              </w:rPr>
              <w:t>hasta3 casas</w:t>
            </w: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$537.67</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before="182"/>
              <w:ind w:right="47"/>
              <w:jc w:val="right"/>
              <w:rPr>
                <w:sz w:val="24"/>
              </w:rPr>
            </w:pPr>
            <w:r>
              <w:rPr>
                <w:sz w:val="24"/>
              </w:rPr>
              <w:t>$6,452.04</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$6,000.39</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before="182"/>
              <w:ind w:right="49"/>
              <w:jc w:val="right"/>
              <w:rPr>
                <w:sz w:val="24"/>
              </w:rPr>
            </w:pPr>
            <w:r>
              <w:rPr>
                <w:sz w:val="24"/>
              </w:rPr>
              <w:t>$6,129.43</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before="182"/>
              <w:ind w:right="48"/>
              <w:jc w:val="right"/>
              <w:rPr>
                <w:sz w:val="24"/>
              </w:rPr>
            </w:pPr>
            <w:r>
              <w:rPr>
                <w:sz w:val="24"/>
              </w:rPr>
              <w:t>$ 5,806.83</w:t>
            </w:r>
          </w:p>
        </w:tc>
      </w:tr>
      <w:tr>
        <w:trPr>
          <w:trHeight w:val="306" w:hRule="atLeast"/>
        </w:trPr>
        <w:tc>
          <w:tcPr>
            <w:tcW w:w="1644"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left="69"/>
              <w:rPr>
                <w:sz w:val="24"/>
              </w:rPr>
            </w:pPr>
            <w:r>
              <w:rPr>
                <w:sz w:val="24"/>
              </w:rPr>
              <w:t>2D3</w:t>
            </w:r>
          </w:p>
        </w:tc>
        <w:tc>
          <w:tcPr>
            <w:tcW w:w="946" w:type="dxa"/>
            <w:vMerge/>
            <w:tcBorders>
              <w:top w:val="nil"/>
              <w:left w:val="single" w:sz="8" w:space="0" w:color="000000"/>
              <w:bottom w:val="single" w:sz="8" w:space="0" w:color="000000"/>
              <w:right w:val="single" w:sz="8" w:space="0" w:color="000000"/>
            </w:tcBorders>
          </w:tcPr>
          <w:p>
            <w:pPr>
              <w:rPr>
                <w:sz w:val="2"/>
                <w:szCs w:val="2"/>
              </w:rPr>
            </w:pPr>
          </w:p>
        </w:tc>
        <w:tc>
          <w:tcPr>
            <w:tcW w:w="1195"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right="49"/>
              <w:jc w:val="right"/>
              <w:rPr>
                <w:sz w:val="24"/>
              </w:rPr>
            </w:pPr>
            <w:r>
              <w:rPr>
                <w:sz w:val="24"/>
              </w:rPr>
              <w:t>$807.02</w:t>
            </w:r>
          </w:p>
        </w:tc>
        <w:tc>
          <w:tcPr>
            <w:tcW w:w="1625"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right="47"/>
              <w:jc w:val="right"/>
              <w:rPr>
                <w:sz w:val="24"/>
              </w:rPr>
            </w:pPr>
            <w:r>
              <w:rPr>
                <w:sz w:val="24"/>
              </w:rPr>
              <w:t>$9,684.24</w:t>
            </w:r>
          </w:p>
        </w:tc>
        <w:tc>
          <w:tcPr>
            <w:tcW w:w="1363"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right="49"/>
              <w:jc w:val="right"/>
              <w:rPr>
                <w:sz w:val="24"/>
              </w:rPr>
            </w:pPr>
            <w:r>
              <w:rPr>
                <w:sz w:val="24"/>
              </w:rPr>
              <w:t>$9,006.34</w:t>
            </w:r>
          </w:p>
        </w:tc>
        <w:tc>
          <w:tcPr>
            <w:tcW w:w="1294"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right="49"/>
              <w:jc w:val="right"/>
              <w:rPr>
                <w:sz w:val="24"/>
              </w:rPr>
            </w:pPr>
            <w:r>
              <w:rPr>
                <w:sz w:val="24"/>
              </w:rPr>
              <w:t>$9,200.02</w:t>
            </w:r>
          </w:p>
        </w:tc>
        <w:tc>
          <w:tcPr>
            <w:tcW w:w="1497" w:type="dxa"/>
            <w:tcBorders>
              <w:top w:val="single" w:sz="8" w:space="0" w:color="000000"/>
              <w:left w:val="single" w:sz="8" w:space="0" w:color="000000"/>
              <w:bottom w:val="single" w:sz="8" w:space="0" w:color="000000"/>
              <w:right w:val="single" w:sz="8" w:space="0" w:color="000000"/>
            </w:tcBorders>
          </w:tcPr>
          <w:p>
            <w:pPr>
              <w:pStyle w:val="TableParagraph"/>
              <w:spacing w:line="272" w:lineRule="exact" w:before="14"/>
              <w:ind w:right="48"/>
              <w:jc w:val="right"/>
              <w:rPr>
                <w:sz w:val="24"/>
              </w:rPr>
            </w:pPr>
            <w:r>
              <w:rPr>
                <w:sz w:val="24"/>
              </w:rPr>
              <w:t>$8,715.81</w:t>
            </w:r>
          </w:p>
        </w:tc>
      </w:tr>
    </w:tbl>
    <w:p>
      <w:pPr>
        <w:pStyle w:val="BodyText"/>
        <w:rPr>
          <w:sz w:val="16"/>
        </w:rPr>
      </w:pPr>
    </w:p>
    <w:p>
      <w:pPr>
        <w:pStyle w:val="BodyText"/>
        <w:spacing w:before="93"/>
        <w:ind w:left="400" w:right="437"/>
        <w:jc w:val="both"/>
      </w:pPr>
      <w:r>
        <w:rPr/>
        <w:drawing>
          <wp:anchor distT="0" distB="0" distL="0" distR="0" allowOverlap="1" layoutInCell="1" locked="0" behindDoc="1" simplePos="0" relativeHeight="227543040">
            <wp:simplePos x="0" y="0"/>
            <wp:positionH relativeFrom="page">
              <wp:posOffset>1239220</wp:posOffset>
            </wp:positionH>
            <wp:positionV relativeFrom="paragraph">
              <wp:posOffset>-3205786</wp:posOffset>
            </wp:positionV>
            <wp:extent cx="5022641" cy="5144769"/>
            <wp:effectExtent l="0" t="0" r="0" b="0"/>
            <wp:wrapNone/>
            <wp:docPr id="147" name="image69.png"/>
            <wp:cNvGraphicFramePr>
              <a:graphicFrameLocks noChangeAspect="1"/>
            </wp:cNvGraphicFramePr>
            <a:graphic>
              <a:graphicData uri="http://schemas.openxmlformats.org/drawingml/2006/picture">
                <pic:pic>
                  <pic:nvPicPr>
                    <pic:cNvPr id="148" name="image69.png"/>
                    <pic:cNvPicPr/>
                  </pic:nvPicPr>
                  <pic:blipFill>
                    <a:blip r:embed="rId79" cstate="print"/>
                    <a:stretch>
                      <a:fillRect/>
                    </a:stretch>
                  </pic:blipFill>
                  <pic:spPr>
                    <a:xfrm>
                      <a:off x="0" y="0"/>
                      <a:ext cx="5022641" cy="5144769"/>
                    </a:xfrm>
                    <a:prstGeom prst="rect">
                      <a:avLst/>
                    </a:prstGeom>
                  </pic:spPr>
                </pic:pic>
              </a:graphicData>
            </a:graphic>
          </wp:anchor>
        </w:drawing>
      </w:r>
      <w:r>
        <w:rPr/>
        <w:t>A su vez, se aplicará el respectivo estímulo anticipado anual autorizado para las tarifas comerciales e industriales.</w:t>
      </w:r>
    </w:p>
    <w:p>
      <w:pPr>
        <w:pStyle w:val="BodyText"/>
        <w:spacing w:before="11"/>
        <w:rPr>
          <w:sz w:val="23"/>
        </w:rPr>
      </w:pPr>
    </w:p>
    <w:p>
      <w:pPr>
        <w:pStyle w:val="BodyText"/>
        <w:ind w:left="400" w:right="432"/>
        <w:jc w:val="both"/>
      </w:pPr>
      <w:r>
        <w:rPr/>
        <w:t>El Sistema Operador podrá realizar convenios colectivos con organizaciones o gremios sindicales y empresariales, entre otros, dentro de los dos primeros meses del ejercicio fiscal, en los cuales se podrá aplicar hasta un 20% de estímulo en sus pagos anualizados.</w:t>
      </w:r>
    </w:p>
    <w:p>
      <w:pPr>
        <w:pStyle w:val="BodyText"/>
      </w:pPr>
    </w:p>
    <w:p>
      <w:pPr>
        <w:pStyle w:val="Heading1"/>
        <w:numPr>
          <w:ilvl w:val="1"/>
          <w:numId w:val="55"/>
        </w:numPr>
        <w:tabs>
          <w:tab w:pos="967" w:val="left" w:leader="none"/>
        </w:tabs>
        <w:spacing w:line="240" w:lineRule="auto" w:before="0" w:after="0"/>
        <w:ind w:left="966" w:right="434" w:hanging="567"/>
        <w:jc w:val="left"/>
      </w:pPr>
      <w:r>
        <w:rPr/>
        <w:t>Estímulos a personas de la tercera edad, pensionadas, jubiladas y personas con capacidades</w:t>
      </w:r>
      <w:r>
        <w:rPr>
          <w:spacing w:val="-1"/>
        </w:rPr>
        <w:t> </w:t>
      </w:r>
      <w:r>
        <w:rPr/>
        <w:t>diferentes.</w:t>
      </w:r>
    </w:p>
    <w:p>
      <w:pPr>
        <w:pStyle w:val="BodyText"/>
        <w:rPr>
          <w:b/>
        </w:rPr>
      </w:pPr>
    </w:p>
    <w:p>
      <w:pPr>
        <w:pStyle w:val="BodyText"/>
        <w:ind w:left="400" w:right="441"/>
        <w:jc w:val="both"/>
      </w:pPr>
      <w:r>
        <w:rPr/>
        <w:t>Las personas pensionadas, jubiladas, discapacitadas y de la tercera edad podrán obtener hasta un 50% de estímulo en el pago de su recibo mensual o anual, aplicándose sólo en el domicilio en que habite el usuario. En caso de derivación de hasta tres casas el estímulo será equivalente al correspondiente al domicilio donde habite el usuario.</w:t>
      </w:r>
    </w:p>
    <w:p>
      <w:pPr>
        <w:pStyle w:val="BodyText"/>
        <w:spacing w:before="10"/>
        <w:rPr>
          <w:sz w:val="23"/>
        </w:rPr>
      </w:pPr>
    </w:p>
    <w:p>
      <w:pPr>
        <w:pStyle w:val="BodyText"/>
        <w:ind w:left="400" w:right="442"/>
        <w:jc w:val="both"/>
      </w:pPr>
      <w:r>
        <w:rPr/>
        <w:t>Cuando el servicio Doméstico Medido sea igual o inferior al costo correspondiente a O m3 no será aplicable el beneficio del 50% al igual que las tarifas IDR.</w:t>
      </w:r>
    </w:p>
    <w:p>
      <w:pPr>
        <w:pStyle w:val="BodyText"/>
      </w:pPr>
    </w:p>
    <w:p>
      <w:pPr>
        <w:pStyle w:val="BodyText"/>
        <w:ind w:left="400" w:right="435"/>
        <w:jc w:val="both"/>
      </w:pPr>
      <w:r>
        <w:rPr/>
        <w:t>Para obtener el beneficio, </w:t>
      </w:r>
      <w:r>
        <w:rPr>
          <w:b/>
        </w:rPr>
        <w:t>el solicitante de tercera edad </w:t>
      </w:r>
      <w:r>
        <w:rPr/>
        <w:t>deberá presentar: Copia de la credencial de elector actualizada, coincidiendo el domicilio con el del recibo de agua.</w:t>
      </w:r>
    </w:p>
    <w:p>
      <w:pPr>
        <w:pStyle w:val="BodyText"/>
      </w:pPr>
    </w:p>
    <w:p>
      <w:pPr>
        <w:spacing w:before="0"/>
        <w:ind w:left="400" w:right="437" w:firstLine="0"/>
        <w:jc w:val="both"/>
        <w:rPr>
          <w:sz w:val="24"/>
        </w:rPr>
      </w:pPr>
      <w:r>
        <w:rPr>
          <w:sz w:val="24"/>
        </w:rPr>
        <w:t>Para el caso de </w:t>
      </w:r>
      <w:r>
        <w:rPr>
          <w:b/>
          <w:sz w:val="24"/>
        </w:rPr>
        <w:t>pensionados, jubilados y discapacitados, </w:t>
      </w:r>
      <w:r>
        <w:rPr>
          <w:sz w:val="24"/>
        </w:rPr>
        <w:t>se les aplicará un 50%, siempre y cuando:</w:t>
      </w:r>
    </w:p>
    <w:p>
      <w:pPr>
        <w:spacing w:after="0"/>
        <w:jc w:val="both"/>
        <w:rPr>
          <w:sz w:val="24"/>
        </w:rPr>
        <w:sectPr>
          <w:pgSz w:w="12250" w:h="15850"/>
          <w:pgMar w:header="730" w:footer="0" w:top="1000" w:bottom="280" w:left="860" w:right="820"/>
        </w:sectPr>
      </w:pPr>
    </w:p>
    <w:p>
      <w:pPr>
        <w:pStyle w:val="BodyText"/>
        <w:spacing w:before="1"/>
        <w:rPr>
          <w:sz w:val="9"/>
        </w:rPr>
      </w:pPr>
    </w:p>
    <w:p>
      <w:pPr>
        <w:pStyle w:val="BodyText"/>
        <w:spacing w:before="93"/>
        <w:ind w:left="400" w:right="445"/>
        <w:jc w:val="both"/>
      </w:pPr>
      <w:r>
        <w:rPr/>
        <w:t>Coincidan los datos del recibo de agua con los de la credencial de elector actualizada, acredite que habita el inmueble, y presente copia de su credencial de pensionado, jubilado y/o discapacitado. Dicho beneficio no será aplicado con retroactividad.</w:t>
      </w:r>
    </w:p>
    <w:p>
      <w:pPr>
        <w:pStyle w:val="BodyText"/>
      </w:pPr>
    </w:p>
    <w:p>
      <w:pPr>
        <w:pStyle w:val="BodyText"/>
        <w:ind w:left="400" w:right="445"/>
        <w:jc w:val="both"/>
      </w:pPr>
      <w:r>
        <w:rPr/>
        <w:t>Si su credencial de elector no trae el domicilio, el usuario deberá adicionar copia de la credencial de INAPAM que tenga el domicilio del recibo de agua.</w:t>
      </w:r>
    </w:p>
    <w:p>
      <w:pPr>
        <w:pStyle w:val="BodyText"/>
      </w:pPr>
    </w:p>
    <w:p>
      <w:pPr>
        <w:pStyle w:val="BodyText"/>
        <w:ind w:left="400" w:right="445"/>
        <w:jc w:val="both"/>
      </w:pPr>
      <w:r>
        <w:rPr/>
        <w:drawing>
          <wp:anchor distT="0" distB="0" distL="0" distR="0" allowOverlap="1" layoutInCell="1" locked="0" behindDoc="1" simplePos="0" relativeHeight="227544064">
            <wp:simplePos x="0" y="0"/>
            <wp:positionH relativeFrom="page">
              <wp:posOffset>1252555</wp:posOffset>
            </wp:positionH>
            <wp:positionV relativeFrom="paragraph">
              <wp:posOffset>58113</wp:posOffset>
            </wp:positionV>
            <wp:extent cx="5022641" cy="5144769"/>
            <wp:effectExtent l="0" t="0" r="0" b="0"/>
            <wp:wrapNone/>
            <wp:docPr id="149" name="image70.png"/>
            <wp:cNvGraphicFramePr>
              <a:graphicFrameLocks noChangeAspect="1"/>
            </wp:cNvGraphicFramePr>
            <a:graphic>
              <a:graphicData uri="http://schemas.openxmlformats.org/drawingml/2006/picture">
                <pic:pic>
                  <pic:nvPicPr>
                    <pic:cNvPr id="150" name="image70.png"/>
                    <pic:cNvPicPr/>
                  </pic:nvPicPr>
                  <pic:blipFill>
                    <a:blip r:embed="rId80" cstate="print"/>
                    <a:stretch>
                      <a:fillRect/>
                    </a:stretch>
                  </pic:blipFill>
                  <pic:spPr>
                    <a:xfrm>
                      <a:off x="0" y="0"/>
                      <a:ext cx="5022641" cy="5144769"/>
                    </a:xfrm>
                    <a:prstGeom prst="rect">
                      <a:avLst/>
                    </a:prstGeom>
                  </pic:spPr>
                </pic:pic>
              </a:graphicData>
            </a:graphic>
          </wp:anchor>
        </w:drawing>
      </w:r>
      <w:r>
        <w:rPr/>
        <w:t>Cuando el predio se encuentre en esquina se podrá aplicar el beneficio siempre que coincidan su clave catastral y su número oficial.</w:t>
      </w:r>
    </w:p>
    <w:p>
      <w:pPr>
        <w:pStyle w:val="BodyText"/>
      </w:pPr>
    </w:p>
    <w:p>
      <w:pPr>
        <w:pStyle w:val="BodyText"/>
        <w:ind w:left="400" w:right="433"/>
        <w:jc w:val="both"/>
      </w:pPr>
      <w:r>
        <w:rPr/>
        <w:t>Las personas con este beneficio no obtendrán ningún otro tipo de ajuste o estímulo provenientes de cualquier tipo de programa o normativa interna.</w:t>
      </w:r>
    </w:p>
    <w:p>
      <w:pPr>
        <w:pStyle w:val="BodyText"/>
        <w:spacing w:before="1"/>
      </w:pPr>
    </w:p>
    <w:p>
      <w:pPr>
        <w:pStyle w:val="Heading1"/>
        <w:numPr>
          <w:ilvl w:val="1"/>
          <w:numId w:val="55"/>
        </w:numPr>
        <w:tabs>
          <w:tab w:pos="967" w:val="left" w:leader="none"/>
        </w:tabs>
        <w:spacing w:line="240" w:lineRule="auto" w:before="0" w:after="0"/>
        <w:ind w:left="966" w:right="0" w:hanging="567"/>
        <w:jc w:val="left"/>
      </w:pPr>
      <w:r>
        <w:rPr/>
        <w:t>Programa Pobreza Patrimonial Tasa</w:t>
      </w:r>
      <w:r>
        <w:rPr>
          <w:spacing w:val="-4"/>
        </w:rPr>
        <w:t> </w:t>
      </w:r>
      <w:r>
        <w:rPr/>
        <w:t>Cero.</w:t>
      </w:r>
    </w:p>
    <w:p>
      <w:pPr>
        <w:pStyle w:val="BodyText"/>
        <w:rPr>
          <w:b/>
        </w:rPr>
      </w:pPr>
    </w:p>
    <w:p>
      <w:pPr>
        <w:pStyle w:val="BodyText"/>
        <w:ind w:left="400" w:right="432"/>
        <w:jc w:val="both"/>
      </w:pPr>
      <w:r>
        <w:rPr/>
        <w:t>Todos los Usuarios domésticos podrán obtener un beneficio máximo del 100% cuando cumplan con lo especificado en el formato de estudio socioeconómico previamente establecido por el Sistema Operador y su dictamen justifique el beneficio.</w:t>
      </w:r>
    </w:p>
    <w:p>
      <w:pPr>
        <w:pStyle w:val="BodyText"/>
      </w:pPr>
    </w:p>
    <w:p>
      <w:pPr>
        <w:pStyle w:val="BodyText"/>
        <w:ind w:left="400" w:right="437"/>
        <w:jc w:val="both"/>
      </w:pPr>
      <w:r>
        <w:rPr/>
        <w:t>El Usuario que sea sujeto del beneficio anterior deberá presentar credencial de elector actualizada (INE o IFE) con el domicilio en el cual se va a realizar dicho estudio socioeconómico y deberá habilitar el inmueble.</w:t>
      </w:r>
    </w:p>
    <w:p>
      <w:pPr>
        <w:pStyle w:val="BodyText"/>
      </w:pPr>
    </w:p>
    <w:p>
      <w:pPr>
        <w:pStyle w:val="Heading1"/>
        <w:ind w:left="3876" w:right="3908"/>
        <w:jc w:val="center"/>
      </w:pPr>
      <w:r>
        <w:rPr/>
        <w:t>Capítulo Décimo Octavo Otros Derechos</w:t>
      </w:r>
    </w:p>
    <w:p>
      <w:pPr>
        <w:pStyle w:val="BodyText"/>
        <w:spacing w:before="1"/>
        <w:rPr>
          <w:b/>
        </w:rPr>
      </w:pPr>
    </w:p>
    <w:p>
      <w:pPr>
        <w:pStyle w:val="BodyText"/>
        <w:ind w:left="400" w:right="441"/>
        <w:jc w:val="both"/>
      </w:pPr>
      <w:r>
        <w:rPr>
          <w:b/>
        </w:rPr>
        <w:t>Artículo 37.- </w:t>
      </w:r>
      <w:r>
        <w:rPr/>
        <w:t>El registro de proveedores o contratistas al padrón de proveedores, deberá efectuarse ante la dependencia facultada, y se regirá conforme al siguiente tabulador:</w:t>
      </w:r>
    </w:p>
    <w:p>
      <w:pPr>
        <w:pStyle w:val="BodyText"/>
      </w:pPr>
    </w:p>
    <w:p>
      <w:pPr>
        <w:pStyle w:val="BodyText"/>
        <w:tabs>
          <w:tab w:pos="9281" w:val="left" w:leader="none"/>
        </w:tabs>
        <w:ind w:left="3629"/>
      </w:pPr>
      <w:r>
        <w:rPr/>
        <w:t>Concepto</w:t>
        <w:tab/>
        <w:t>Pesos</w:t>
      </w:r>
    </w:p>
    <w:p>
      <w:pPr>
        <w:spacing w:after="0"/>
        <w:sectPr>
          <w:pgSz w:w="12250" w:h="15850"/>
          <w:pgMar w:header="730" w:footer="0" w:top="1000" w:bottom="280" w:left="860" w:right="820"/>
        </w:sectPr>
      </w:pPr>
    </w:p>
    <w:p>
      <w:pPr>
        <w:pStyle w:val="BodyText"/>
        <w:ind w:left="858"/>
      </w:pPr>
      <w:r>
        <w:rPr>
          <w:b/>
        </w:rPr>
        <w:t>I.- </w:t>
      </w:r>
      <w:r>
        <w:rPr/>
        <w:t>Acreditación de directores y peritos responsables de obra</w:t>
      </w:r>
    </w:p>
    <w:p>
      <w:pPr>
        <w:pStyle w:val="BodyText"/>
        <w:tabs>
          <w:tab w:pos="1405" w:val="left" w:leader="none"/>
          <w:tab w:pos="2657" w:val="left" w:leader="none"/>
          <w:tab w:pos="3187" w:val="left" w:leader="none"/>
          <w:tab w:pos="4749" w:val="left" w:leader="none"/>
          <w:tab w:pos="5281" w:val="left" w:leader="none"/>
          <w:tab w:pos="6600" w:val="left" w:leader="none"/>
          <w:tab w:pos="6984" w:val="left" w:leader="none"/>
        </w:tabs>
        <w:ind w:left="858" w:right="38"/>
      </w:pPr>
      <w:r>
        <w:rPr>
          <w:b/>
        </w:rPr>
        <w:t>II.-</w:t>
        <w:tab/>
      </w:r>
      <w:r>
        <w:rPr/>
        <w:t>Refrendo</w:t>
        <w:tab/>
        <w:t>de</w:t>
        <w:tab/>
        <w:t>acreditación</w:t>
        <w:tab/>
        <w:t>de</w:t>
        <w:tab/>
        <w:t>directores</w:t>
        <w:tab/>
        <w:t>y</w:t>
        <w:tab/>
      </w:r>
      <w:r>
        <w:rPr>
          <w:spacing w:val="-4"/>
        </w:rPr>
        <w:t>peritos </w:t>
      </w:r>
      <w:r>
        <w:rPr/>
        <w:t>responsables de</w:t>
      </w:r>
      <w:r>
        <w:rPr>
          <w:spacing w:val="-5"/>
        </w:rPr>
        <w:t> </w:t>
      </w:r>
      <w:r>
        <w:rPr/>
        <w:t>obra</w:t>
      </w:r>
    </w:p>
    <w:p>
      <w:pPr>
        <w:pStyle w:val="BodyText"/>
        <w:spacing w:line="274" w:lineRule="exact"/>
        <w:ind w:left="858"/>
      </w:pPr>
      <w:r>
        <w:rPr>
          <w:b/>
        </w:rPr>
        <w:t>III.- </w:t>
      </w:r>
      <w:r>
        <w:rPr/>
        <w:t>Inscripción de proveedores de bienes o servicios</w:t>
      </w:r>
    </w:p>
    <w:p>
      <w:pPr>
        <w:pStyle w:val="BodyText"/>
        <w:ind w:left="858"/>
      </w:pPr>
      <w:r>
        <w:rPr>
          <w:b/>
        </w:rPr>
        <w:t>IV.- </w:t>
      </w:r>
      <w:r>
        <w:rPr/>
        <w:t>Inscripción de contratistas de obra pública</w:t>
      </w:r>
    </w:p>
    <w:p>
      <w:pPr>
        <w:pStyle w:val="BodyText"/>
        <w:ind w:left="858"/>
      </w:pPr>
      <w:r>
        <w:rPr>
          <w:b/>
        </w:rPr>
        <w:t>V.- </w:t>
      </w:r>
      <w:r>
        <w:rPr/>
        <w:t>Acreditación de corresponsables de obra (pago único al ingreso al padrón de perito)</w:t>
      </w:r>
    </w:p>
    <w:p>
      <w:pPr>
        <w:pStyle w:val="BodyText"/>
        <w:spacing w:before="1"/>
        <w:ind w:left="858"/>
      </w:pPr>
      <w:r>
        <w:rPr>
          <w:b/>
        </w:rPr>
        <w:t>VI.- </w:t>
      </w:r>
      <w:r>
        <w:rPr/>
        <w:t>Refrendo de corresponsables de obra</w:t>
      </w:r>
    </w:p>
    <w:p>
      <w:pPr>
        <w:pStyle w:val="BodyText"/>
        <w:ind w:left="858"/>
      </w:pPr>
      <w:r>
        <w:rPr/>
        <w:br w:type="column"/>
      </w:r>
      <w:r>
        <w:rPr/>
        <w:t>1,134.82</w:t>
      </w:r>
    </w:p>
    <w:p>
      <w:pPr>
        <w:pStyle w:val="BodyText"/>
        <w:ind w:left="858"/>
      </w:pPr>
      <w:r>
        <w:rPr/>
        <w:t>1,134.82</w:t>
      </w:r>
    </w:p>
    <w:p>
      <w:pPr>
        <w:pStyle w:val="BodyText"/>
        <w:spacing w:before="9"/>
        <w:rPr>
          <w:sz w:val="23"/>
        </w:rPr>
      </w:pPr>
    </w:p>
    <w:p>
      <w:pPr>
        <w:pStyle w:val="BodyText"/>
        <w:ind w:left="858"/>
      </w:pPr>
      <w:r>
        <w:rPr/>
        <w:t>1,134.82</w:t>
      </w:r>
    </w:p>
    <w:p>
      <w:pPr>
        <w:pStyle w:val="BodyText"/>
        <w:ind w:left="858"/>
      </w:pPr>
      <w:r>
        <w:rPr/>
        <w:t>1,134.82</w:t>
      </w:r>
    </w:p>
    <w:p>
      <w:pPr>
        <w:pStyle w:val="BodyText"/>
      </w:pPr>
    </w:p>
    <w:p>
      <w:pPr>
        <w:pStyle w:val="BodyText"/>
        <w:ind w:right="610"/>
        <w:jc w:val="right"/>
      </w:pPr>
      <w:r>
        <w:rPr>
          <w:spacing w:val="-1"/>
        </w:rPr>
        <w:t>1,134.82</w:t>
      </w:r>
    </w:p>
    <w:p>
      <w:pPr>
        <w:pStyle w:val="BodyText"/>
        <w:spacing w:before="1"/>
        <w:ind w:right="610"/>
        <w:jc w:val="right"/>
      </w:pPr>
      <w:r>
        <w:rPr>
          <w:spacing w:val="-1"/>
        </w:rPr>
        <w:t>680.36</w:t>
      </w:r>
    </w:p>
    <w:p>
      <w:pPr>
        <w:spacing w:after="0"/>
        <w:jc w:val="right"/>
        <w:sectPr>
          <w:type w:val="continuous"/>
          <w:pgSz w:w="12250" w:h="15850"/>
          <w:pgMar w:top="840" w:bottom="280" w:left="860" w:right="820"/>
          <w:cols w:num="2" w:equalWidth="0">
            <w:col w:w="7747" w:space="410"/>
            <w:col w:w="2413"/>
          </w:cols>
        </w:sectPr>
      </w:pPr>
    </w:p>
    <w:p>
      <w:pPr>
        <w:pStyle w:val="BodyText"/>
        <w:spacing w:before="11"/>
        <w:rPr>
          <w:sz w:val="15"/>
        </w:rPr>
      </w:pPr>
    </w:p>
    <w:p>
      <w:pPr>
        <w:pStyle w:val="BodyText"/>
        <w:spacing w:before="92"/>
        <w:ind w:left="400" w:right="444"/>
        <w:jc w:val="both"/>
      </w:pPr>
      <w:r>
        <w:rPr>
          <w:b/>
        </w:rPr>
        <w:t>Artículo 38.- </w:t>
      </w:r>
      <w:r>
        <w:rPr/>
        <w:t>Los demás servicios que preste la administración municipal, y que no se encuentren expresamente enunciados en este capítulo, se cobrarán de conformidad con el costo que le represente al Municipio prestarlos.</w:t>
      </w:r>
    </w:p>
    <w:p>
      <w:pPr>
        <w:spacing w:after="0"/>
        <w:jc w:val="both"/>
        <w:sectPr>
          <w:type w:val="continuous"/>
          <w:pgSz w:w="12250" w:h="15850"/>
          <w:pgMar w:top="840" w:bottom="280" w:left="860" w:right="820"/>
        </w:sectPr>
      </w:pPr>
    </w:p>
    <w:p>
      <w:pPr>
        <w:pStyle w:val="Heading1"/>
        <w:spacing w:before="183"/>
        <w:ind w:left="3873" w:right="3908"/>
        <w:jc w:val="center"/>
      </w:pPr>
      <w:r>
        <w:rPr/>
        <w:t>TITULO CUARTO PRODUCTOS</w:t>
      </w:r>
    </w:p>
    <w:p>
      <w:pPr>
        <w:pStyle w:val="BodyText"/>
        <w:rPr>
          <w:b/>
        </w:rPr>
      </w:pPr>
    </w:p>
    <w:p>
      <w:pPr>
        <w:spacing w:before="0"/>
        <w:ind w:left="3962" w:right="3997" w:firstLine="3"/>
        <w:jc w:val="center"/>
        <w:rPr>
          <w:b/>
          <w:sz w:val="24"/>
        </w:rPr>
      </w:pPr>
      <w:r>
        <w:rPr>
          <w:b/>
          <w:sz w:val="24"/>
        </w:rPr>
        <w:t>Capítulo Primero Productos Financieros</w:t>
      </w:r>
    </w:p>
    <w:p>
      <w:pPr>
        <w:pStyle w:val="BodyText"/>
        <w:rPr>
          <w:b/>
        </w:rPr>
      </w:pPr>
    </w:p>
    <w:p>
      <w:pPr>
        <w:pStyle w:val="BodyText"/>
        <w:ind w:left="400" w:right="440"/>
        <w:jc w:val="both"/>
      </w:pPr>
      <w:r>
        <w:rPr/>
        <w:drawing>
          <wp:anchor distT="0" distB="0" distL="0" distR="0" allowOverlap="1" layoutInCell="1" locked="0" behindDoc="1" simplePos="0" relativeHeight="227545088">
            <wp:simplePos x="0" y="0"/>
            <wp:positionH relativeFrom="page">
              <wp:posOffset>1239220</wp:posOffset>
            </wp:positionH>
            <wp:positionV relativeFrom="paragraph">
              <wp:posOffset>242517</wp:posOffset>
            </wp:positionV>
            <wp:extent cx="5022641" cy="5144769"/>
            <wp:effectExtent l="0" t="0" r="0" b="0"/>
            <wp:wrapNone/>
            <wp:docPr id="151" name="image71.png"/>
            <wp:cNvGraphicFramePr>
              <a:graphicFrameLocks noChangeAspect="1"/>
            </wp:cNvGraphicFramePr>
            <a:graphic>
              <a:graphicData uri="http://schemas.openxmlformats.org/drawingml/2006/picture">
                <pic:pic>
                  <pic:nvPicPr>
                    <pic:cNvPr id="152" name="image71.png"/>
                    <pic:cNvPicPr/>
                  </pic:nvPicPr>
                  <pic:blipFill>
                    <a:blip r:embed="rId81" cstate="print"/>
                    <a:stretch>
                      <a:fillRect/>
                    </a:stretch>
                  </pic:blipFill>
                  <pic:spPr>
                    <a:xfrm>
                      <a:off x="0" y="0"/>
                      <a:ext cx="5022641" cy="5144769"/>
                    </a:xfrm>
                    <a:prstGeom prst="rect">
                      <a:avLst/>
                    </a:prstGeom>
                  </pic:spPr>
                </pic:pic>
              </a:graphicData>
            </a:graphic>
          </wp:anchor>
        </w:drawing>
      </w:r>
      <w:r>
        <w:rPr>
          <w:b/>
        </w:rPr>
        <w:t>Artículo 39.- </w:t>
      </w:r>
      <w:r>
        <w:rPr/>
        <w:t>Se considera al importe de los intereses que reciba el municipio por las inversiones en valores, créditos y bonos.</w:t>
      </w:r>
    </w:p>
    <w:p>
      <w:pPr>
        <w:pStyle w:val="BodyText"/>
      </w:pPr>
    </w:p>
    <w:p>
      <w:pPr>
        <w:pStyle w:val="Heading1"/>
        <w:ind w:left="4128" w:right="4163" w:firstLine="1"/>
        <w:jc w:val="center"/>
      </w:pPr>
      <w:r>
        <w:rPr/>
        <w:t>Capítulo Segundo Productos Diversos</w:t>
      </w:r>
    </w:p>
    <w:p>
      <w:pPr>
        <w:pStyle w:val="BodyText"/>
        <w:rPr>
          <w:b/>
        </w:rPr>
      </w:pPr>
    </w:p>
    <w:p>
      <w:pPr>
        <w:pStyle w:val="BodyText"/>
        <w:spacing w:before="1"/>
        <w:ind w:left="400" w:right="439"/>
        <w:jc w:val="both"/>
      </w:pPr>
      <w:r>
        <w:rPr>
          <w:b/>
        </w:rPr>
        <w:t>Artículo 40.- </w:t>
      </w:r>
      <w:r>
        <w:rPr/>
        <w:t>Por la venta de plantas, composta y fertilizantes orgánicos con base en microorganismos de los viveros municipales, se aplicará según el siguiente tabulador diferencial de tarifas.</w:t>
      </w:r>
    </w:p>
    <w:p>
      <w:pPr>
        <w:pStyle w:val="BodyText"/>
      </w:pPr>
    </w:p>
    <w:p>
      <w:pPr>
        <w:pStyle w:val="BodyText"/>
        <w:ind w:left="467"/>
        <w:jc w:val="both"/>
      </w:pPr>
      <w:r>
        <w:rPr/>
        <w:t>Plantas producidas en el vivero municipal de parques y jardines:</w:t>
      </w:r>
    </w:p>
    <w:p>
      <w:pPr>
        <w:pStyle w:val="BodyText"/>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0"/>
        <w:gridCol w:w="1486"/>
        <w:gridCol w:w="1332"/>
        <w:gridCol w:w="1335"/>
        <w:gridCol w:w="1388"/>
      </w:tblGrid>
      <w:tr>
        <w:trPr>
          <w:trHeight w:val="551" w:hRule="atLeast"/>
        </w:trPr>
        <w:tc>
          <w:tcPr>
            <w:tcW w:w="3500" w:type="dxa"/>
          </w:tcPr>
          <w:p>
            <w:pPr>
              <w:pStyle w:val="TableParagraph"/>
              <w:ind w:left="1098"/>
              <w:rPr>
                <w:b/>
                <w:sz w:val="24"/>
              </w:rPr>
            </w:pPr>
            <w:r>
              <w:rPr>
                <w:b/>
                <w:sz w:val="24"/>
              </w:rPr>
              <w:t>Nombre</w:t>
            </w:r>
          </w:p>
        </w:tc>
        <w:tc>
          <w:tcPr>
            <w:tcW w:w="1486" w:type="dxa"/>
          </w:tcPr>
          <w:p>
            <w:pPr>
              <w:pStyle w:val="TableParagraph"/>
              <w:ind w:left="105"/>
              <w:rPr>
                <w:b/>
                <w:sz w:val="24"/>
              </w:rPr>
            </w:pPr>
            <w:r>
              <w:rPr>
                <w:b/>
                <w:sz w:val="24"/>
              </w:rPr>
              <w:t>Tamaño</w:t>
            </w:r>
          </w:p>
        </w:tc>
        <w:tc>
          <w:tcPr>
            <w:tcW w:w="1332" w:type="dxa"/>
          </w:tcPr>
          <w:p>
            <w:pPr>
              <w:pStyle w:val="TableParagraph"/>
              <w:spacing w:line="270" w:lineRule="atLeast"/>
              <w:ind w:left="148" w:right="167"/>
              <w:rPr>
                <w:b/>
                <w:sz w:val="24"/>
              </w:rPr>
            </w:pPr>
            <w:r>
              <w:rPr>
                <w:b/>
                <w:sz w:val="24"/>
              </w:rPr>
              <w:t>Precio Mayoreo</w:t>
            </w:r>
          </w:p>
        </w:tc>
        <w:tc>
          <w:tcPr>
            <w:tcW w:w="1335" w:type="dxa"/>
          </w:tcPr>
          <w:p>
            <w:pPr>
              <w:pStyle w:val="TableParagraph"/>
              <w:ind w:left="57"/>
              <w:rPr>
                <w:b/>
                <w:sz w:val="24"/>
              </w:rPr>
            </w:pPr>
            <w:r>
              <w:rPr>
                <w:b/>
                <w:sz w:val="24"/>
              </w:rPr>
              <w:t>Tamaño</w:t>
            </w:r>
          </w:p>
        </w:tc>
        <w:tc>
          <w:tcPr>
            <w:tcW w:w="1388" w:type="dxa"/>
          </w:tcPr>
          <w:p>
            <w:pPr>
              <w:pStyle w:val="TableParagraph"/>
              <w:spacing w:line="270" w:lineRule="atLeast"/>
              <w:ind w:left="167" w:right="137"/>
              <w:rPr>
                <w:b/>
                <w:sz w:val="24"/>
              </w:rPr>
            </w:pPr>
            <w:r>
              <w:rPr>
                <w:b/>
                <w:sz w:val="24"/>
              </w:rPr>
              <w:t>Precio Menudeo</w:t>
            </w:r>
          </w:p>
        </w:tc>
      </w:tr>
      <w:tr>
        <w:trPr>
          <w:trHeight w:val="275" w:hRule="atLeast"/>
        </w:trPr>
        <w:tc>
          <w:tcPr>
            <w:tcW w:w="3500" w:type="dxa"/>
          </w:tcPr>
          <w:p>
            <w:pPr>
              <w:pStyle w:val="TableParagraph"/>
              <w:spacing w:line="255" w:lineRule="exact"/>
              <w:ind w:left="74"/>
              <w:rPr>
                <w:sz w:val="24"/>
              </w:rPr>
            </w:pPr>
            <w:r>
              <w:rPr>
                <w:sz w:val="24"/>
              </w:rPr>
              <w:t>Amaranto</w:t>
            </w:r>
          </w:p>
        </w:tc>
        <w:tc>
          <w:tcPr>
            <w:tcW w:w="1486" w:type="dxa"/>
          </w:tcPr>
          <w:p>
            <w:pPr>
              <w:pStyle w:val="TableParagraph"/>
              <w:spacing w:line="255" w:lineRule="exact"/>
              <w:ind w:left="105"/>
              <w:rPr>
                <w:sz w:val="24"/>
              </w:rPr>
            </w:pPr>
            <w:r>
              <w:rPr>
                <w:sz w:val="24"/>
              </w:rPr>
              <w:t>10 cm. Alt.</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20 cm. Alt.</w:t>
            </w:r>
          </w:p>
        </w:tc>
        <w:tc>
          <w:tcPr>
            <w:tcW w:w="1388" w:type="dxa"/>
          </w:tcPr>
          <w:p>
            <w:pPr>
              <w:pStyle w:val="TableParagraph"/>
              <w:spacing w:line="255" w:lineRule="exact"/>
              <w:ind w:right="-15"/>
              <w:jc w:val="right"/>
              <w:rPr>
                <w:sz w:val="24"/>
              </w:rPr>
            </w:pPr>
            <w:r>
              <w:rPr>
                <w:sz w:val="24"/>
              </w:rPr>
              <w:t>17.00</w:t>
            </w:r>
          </w:p>
        </w:tc>
      </w:tr>
      <w:tr>
        <w:trPr>
          <w:trHeight w:val="277" w:hRule="atLeast"/>
        </w:trPr>
        <w:tc>
          <w:tcPr>
            <w:tcW w:w="3500" w:type="dxa"/>
          </w:tcPr>
          <w:p>
            <w:pPr>
              <w:pStyle w:val="TableParagraph"/>
              <w:spacing w:line="255" w:lineRule="exact" w:before="2"/>
              <w:ind w:left="74"/>
              <w:rPr>
                <w:sz w:val="24"/>
              </w:rPr>
            </w:pPr>
            <w:r>
              <w:rPr>
                <w:sz w:val="24"/>
              </w:rPr>
              <w:t>Aralea</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22.00</w:t>
            </w:r>
          </w:p>
        </w:tc>
        <w:tc>
          <w:tcPr>
            <w:tcW w:w="1335" w:type="dxa"/>
          </w:tcPr>
          <w:p>
            <w:pPr>
              <w:pStyle w:val="TableParagraph"/>
              <w:spacing w:line="255" w:lineRule="exact" w:before="2"/>
              <w:ind w:left="57"/>
              <w:rPr>
                <w:sz w:val="24"/>
              </w:rPr>
            </w:pPr>
            <w:r>
              <w:rPr>
                <w:sz w:val="24"/>
              </w:rPr>
              <w:t>.51-1-00 M.</w:t>
            </w:r>
          </w:p>
        </w:tc>
        <w:tc>
          <w:tcPr>
            <w:tcW w:w="1388" w:type="dxa"/>
          </w:tcPr>
          <w:p>
            <w:pPr>
              <w:pStyle w:val="TableParagraph"/>
              <w:spacing w:line="255" w:lineRule="exact" w:before="2"/>
              <w:ind w:right="-15"/>
              <w:jc w:val="right"/>
              <w:rPr>
                <w:sz w:val="24"/>
              </w:rPr>
            </w:pPr>
            <w:r>
              <w:rPr>
                <w:sz w:val="24"/>
              </w:rPr>
              <w:t>33.00</w:t>
            </w:r>
          </w:p>
        </w:tc>
      </w:tr>
      <w:tr>
        <w:trPr>
          <w:trHeight w:val="275" w:hRule="atLeast"/>
        </w:trPr>
        <w:tc>
          <w:tcPr>
            <w:tcW w:w="3500" w:type="dxa"/>
          </w:tcPr>
          <w:p>
            <w:pPr>
              <w:pStyle w:val="TableParagraph"/>
              <w:spacing w:line="255" w:lineRule="exact"/>
              <w:ind w:left="74"/>
              <w:rPr>
                <w:sz w:val="24"/>
              </w:rPr>
            </w:pPr>
            <w:r>
              <w:rPr>
                <w:sz w:val="24"/>
              </w:rPr>
              <w:t>Belén Nva. Guinea</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16.00</w:t>
            </w:r>
          </w:p>
        </w:tc>
        <w:tc>
          <w:tcPr>
            <w:tcW w:w="1335" w:type="dxa"/>
          </w:tcPr>
          <w:p>
            <w:pPr>
              <w:pStyle w:val="TableParagraph"/>
              <w:spacing w:line="255" w:lineRule="exact"/>
              <w:ind w:left="57"/>
              <w:rPr>
                <w:sz w:val="24"/>
              </w:rPr>
            </w:pPr>
            <w:r>
              <w:rPr>
                <w:sz w:val="24"/>
              </w:rPr>
              <w:t>Menudeo</w:t>
            </w:r>
          </w:p>
        </w:tc>
        <w:tc>
          <w:tcPr>
            <w:tcW w:w="1388" w:type="dxa"/>
          </w:tcPr>
          <w:p>
            <w:pPr>
              <w:pStyle w:val="TableParagraph"/>
              <w:spacing w:line="255" w:lineRule="exact"/>
              <w:ind w:right="-15"/>
              <w:jc w:val="right"/>
              <w:rPr>
                <w:sz w:val="24"/>
              </w:rPr>
            </w:pPr>
            <w:r>
              <w:rPr>
                <w:sz w:val="24"/>
              </w:rPr>
              <w:t>22.00</w:t>
            </w:r>
          </w:p>
        </w:tc>
      </w:tr>
      <w:tr>
        <w:trPr>
          <w:trHeight w:val="275" w:hRule="atLeast"/>
        </w:trPr>
        <w:tc>
          <w:tcPr>
            <w:tcW w:w="3500" w:type="dxa"/>
          </w:tcPr>
          <w:p>
            <w:pPr>
              <w:pStyle w:val="TableParagraph"/>
              <w:spacing w:line="255" w:lineRule="exact"/>
              <w:ind w:left="74"/>
              <w:rPr>
                <w:sz w:val="24"/>
              </w:rPr>
            </w:pPr>
            <w:r>
              <w:rPr>
                <w:sz w:val="24"/>
              </w:rPr>
              <w:t>Bugambilia</w:t>
            </w:r>
          </w:p>
        </w:tc>
        <w:tc>
          <w:tcPr>
            <w:tcW w:w="1486" w:type="dxa"/>
          </w:tcPr>
          <w:p>
            <w:pPr>
              <w:pStyle w:val="TableParagraph"/>
              <w:spacing w:line="255" w:lineRule="exact"/>
              <w:ind w:left="102"/>
              <w:rPr>
                <w:sz w:val="24"/>
              </w:rPr>
            </w:pPr>
            <w:r>
              <w:rPr>
                <w:sz w:val="24"/>
              </w:rPr>
              <w:t>10-50cm.</w:t>
            </w:r>
          </w:p>
        </w:tc>
        <w:tc>
          <w:tcPr>
            <w:tcW w:w="1332" w:type="dxa"/>
          </w:tcPr>
          <w:p>
            <w:pPr>
              <w:pStyle w:val="TableParagraph"/>
              <w:spacing w:line="255" w:lineRule="exact"/>
              <w:ind w:left="148"/>
              <w:rPr>
                <w:sz w:val="24"/>
              </w:rPr>
            </w:pPr>
            <w:r>
              <w:rPr>
                <w:sz w:val="24"/>
              </w:rPr>
              <w:t>22.00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6" w:hRule="atLeast"/>
        </w:trPr>
        <w:tc>
          <w:tcPr>
            <w:tcW w:w="3500" w:type="dxa"/>
          </w:tcPr>
          <w:p>
            <w:pPr>
              <w:pStyle w:val="TableParagraph"/>
              <w:spacing w:line="256" w:lineRule="exact"/>
              <w:ind w:left="74"/>
              <w:rPr>
                <w:sz w:val="24"/>
              </w:rPr>
            </w:pPr>
            <w:r>
              <w:rPr>
                <w:sz w:val="24"/>
              </w:rPr>
              <w:t>Charly</w:t>
            </w:r>
          </w:p>
        </w:tc>
        <w:tc>
          <w:tcPr>
            <w:tcW w:w="1486" w:type="dxa"/>
          </w:tcPr>
          <w:p>
            <w:pPr>
              <w:pStyle w:val="TableParagraph"/>
              <w:spacing w:line="256" w:lineRule="exact"/>
              <w:ind w:left="102"/>
              <w:rPr>
                <w:sz w:val="24"/>
              </w:rPr>
            </w:pPr>
            <w:r>
              <w:rPr>
                <w:sz w:val="24"/>
              </w:rPr>
              <w:t>Único</w:t>
            </w:r>
          </w:p>
        </w:tc>
        <w:tc>
          <w:tcPr>
            <w:tcW w:w="1332" w:type="dxa"/>
          </w:tcPr>
          <w:p>
            <w:pPr>
              <w:pStyle w:val="TableParagraph"/>
              <w:spacing w:line="256" w:lineRule="exact"/>
              <w:ind w:left="148"/>
              <w:rPr>
                <w:sz w:val="24"/>
              </w:rPr>
            </w:pPr>
            <w:r>
              <w:rPr>
                <w:sz w:val="24"/>
              </w:rPr>
              <w:t>16.00</w:t>
            </w:r>
          </w:p>
        </w:tc>
        <w:tc>
          <w:tcPr>
            <w:tcW w:w="1335" w:type="dxa"/>
          </w:tcPr>
          <w:p>
            <w:pPr>
              <w:pStyle w:val="TableParagraph"/>
              <w:rPr>
                <w:rFonts w:ascii="Times New Roman"/>
                <w:sz w:val="20"/>
              </w:rPr>
            </w:pPr>
          </w:p>
        </w:tc>
        <w:tc>
          <w:tcPr>
            <w:tcW w:w="1388" w:type="dxa"/>
          </w:tcPr>
          <w:p>
            <w:pPr>
              <w:pStyle w:val="TableParagraph"/>
              <w:rPr>
                <w:rFonts w:ascii="Times New Roman"/>
                <w:sz w:val="20"/>
              </w:rPr>
            </w:pPr>
          </w:p>
        </w:tc>
      </w:tr>
      <w:tr>
        <w:trPr>
          <w:trHeight w:val="275" w:hRule="atLeast"/>
        </w:trPr>
        <w:tc>
          <w:tcPr>
            <w:tcW w:w="3500" w:type="dxa"/>
          </w:tcPr>
          <w:p>
            <w:pPr>
              <w:pStyle w:val="TableParagraph"/>
              <w:spacing w:line="255" w:lineRule="exact"/>
              <w:ind w:left="74"/>
              <w:rPr>
                <w:sz w:val="24"/>
              </w:rPr>
            </w:pPr>
            <w:r>
              <w:rPr>
                <w:sz w:val="24"/>
              </w:rPr>
              <w:t>Chisme</w:t>
            </w:r>
          </w:p>
        </w:tc>
        <w:tc>
          <w:tcPr>
            <w:tcW w:w="1486" w:type="dxa"/>
          </w:tcPr>
          <w:p>
            <w:pPr>
              <w:pStyle w:val="TableParagraph"/>
              <w:spacing w:line="255" w:lineRule="exact"/>
              <w:ind w:left="105"/>
              <w:rPr>
                <w:sz w:val="24"/>
              </w:rPr>
            </w:pPr>
            <w:r>
              <w:rPr>
                <w:sz w:val="24"/>
              </w:rPr>
              <w:t>10 cm. Alt.</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20 cm. Alt.</w:t>
            </w:r>
          </w:p>
        </w:tc>
        <w:tc>
          <w:tcPr>
            <w:tcW w:w="1388" w:type="dxa"/>
          </w:tcPr>
          <w:p>
            <w:pPr>
              <w:pStyle w:val="TableParagraph"/>
              <w:spacing w:line="255" w:lineRule="exact"/>
              <w:ind w:right="-15"/>
              <w:jc w:val="right"/>
              <w:rPr>
                <w:sz w:val="24"/>
              </w:rPr>
            </w:pPr>
            <w:r>
              <w:rPr>
                <w:sz w:val="24"/>
              </w:rPr>
              <w:t>17.00</w:t>
            </w:r>
          </w:p>
        </w:tc>
      </w:tr>
      <w:tr>
        <w:trPr>
          <w:trHeight w:val="275" w:hRule="atLeast"/>
        </w:trPr>
        <w:tc>
          <w:tcPr>
            <w:tcW w:w="3500" w:type="dxa"/>
          </w:tcPr>
          <w:p>
            <w:pPr>
              <w:pStyle w:val="TableParagraph"/>
              <w:spacing w:line="255" w:lineRule="exact"/>
              <w:ind w:left="74"/>
              <w:rPr>
                <w:sz w:val="24"/>
              </w:rPr>
            </w:pPr>
            <w:r>
              <w:rPr>
                <w:sz w:val="24"/>
              </w:rPr>
              <w:t>Clavellina</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13.00</w:t>
            </w:r>
          </w:p>
        </w:tc>
        <w:tc>
          <w:tcPr>
            <w:tcW w:w="1335" w:type="dxa"/>
          </w:tcPr>
          <w:p>
            <w:pPr>
              <w:pStyle w:val="TableParagraph"/>
              <w:spacing w:line="255" w:lineRule="exact"/>
              <w:ind w:left="57"/>
              <w:rPr>
                <w:sz w:val="24"/>
              </w:rPr>
            </w:pPr>
            <w:r>
              <w:rPr>
                <w:sz w:val="24"/>
              </w:rPr>
              <w:t>Menudeo</w:t>
            </w:r>
          </w:p>
        </w:tc>
        <w:tc>
          <w:tcPr>
            <w:tcW w:w="1388" w:type="dxa"/>
          </w:tcPr>
          <w:p>
            <w:pPr>
              <w:pStyle w:val="TableParagraph"/>
              <w:spacing w:line="255" w:lineRule="exact"/>
              <w:ind w:right="-15"/>
              <w:jc w:val="right"/>
              <w:rPr>
                <w:sz w:val="24"/>
              </w:rPr>
            </w:pPr>
            <w:r>
              <w:rPr>
                <w:sz w:val="24"/>
              </w:rPr>
              <w:t>16.00</w:t>
            </w:r>
          </w:p>
        </w:tc>
      </w:tr>
      <w:tr>
        <w:trPr>
          <w:trHeight w:val="275" w:hRule="atLeast"/>
        </w:trPr>
        <w:tc>
          <w:tcPr>
            <w:tcW w:w="3500" w:type="dxa"/>
          </w:tcPr>
          <w:p>
            <w:pPr>
              <w:pStyle w:val="TableParagraph"/>
              <w:spacing w:line="255" w:lineRule="exact"/>
              <w:ind w:left="74"/>
              <w:rPr>
                <w:sz w:val="24"/>
              </w:rPr>
            </w:pPr>
            <w:r>
              <w:rPr>
                <w:sz w:val="24"/>
              </w:rPr>
              <w:t>Cempazuchitl</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13.00</w:t>
            </w:r>
          </w:p>
        </w:tc>
        <w:tc>
          <w:tcPr>
            <w:tcW w:w="1335" w:type="dxa"/>
          </w:tcPr>
          <w:p>
            <w:pPr>
              <w:pStyle w:val="TableParagraph"/>
              <w:spacing w:line="255" w:lineRule="exact"/>
              <w:ind w:left="57"/>
              <w:rPr>
                <w:sz w:val="24"/>
              </w:rPr>
            </w:pPr>
            <w:r>
              <w:rPr>
                <w:sz w:val="24"/>
              </w:rPr>
              <w:t>Menudeo</w:t>
            </w:r>
          </w:p>
        </w:tc>
        <w:tc>
          <w:tcPr>
            <w:tcW w:w="1388" w:type="dxa"/>
          </w:tcPr>
          <w:p>
            <w:pPr>
              <w:pStyle w:val="TableParagraph"/>
              <w:spacing w:line="255" w:lineRule="exact"/>
              <w:ind w:right="-15"/>
              <w:jc w:val="right"/>
              <w:rPr>
                <w:sz w:val="24"/>
              </w:rPr>
            </w:pPr>
            <w:r>
              <w:rPr>
                <w:sz w:val="24"/>
              </w:rPr>
              <w:t>16.00</w:t>
            </w:r>
          </w:p>
        </w:tc>
      </w:tr>
      <w:tr>
        <w:trPr>
          <w:trHeight w:val="277" w:hRule="atLeast"/>
        </w:trPr>
        <w:tc>
          <w:tcPr>
            <w:tcW w:w="3500" w:type="dxa"/>
          </w:tcPr>
          <w:p>
            <w:pPr>
              <w:pStyle w:val="TableParagraph"/>
              <w:spacing w:line="255" w:lineRule="exact" w:before="2"/>
              <w:ind w:left="74"/>
              <w:rPr>
                <w:sz w:val="24"/>
              </w:rPr>
            </w:pPr>
            <w:r>
              <w:rPr>
                <w:sz w:val="24"/>
              </w:rPr>
              <w:t>Coleo/brocado</w:t>
            </w:r>
          </w:p>
        </w:tc>
        <w:tc>
          <w:tcPr>
            <w:tcW w:w="1486" w:type="dxa"/>
          </w:tcPr>
          <w:p>
            <w:pPr>
              <w:pStyle w:val="TableParagraph"/>
              <w:spacing w:line="255" w:lineRule="exact" w:before="2"/>
              <w:ind w:left="102"/>
              <w:rPr>
                <w:sz w:val="24"/>
              </w:rPr>
            </w:pPr>
            <w:r>
              <w:rPr>
                <w:sz w:val="24"/>
              </w:rPr>
              <w:t>Único</w:t>
            </w:r>
          </w:p>
        </w:tc>
        <w:tc>
          <w:tcPr>
            <w:tcW w:w="1332" w:type="dxa"/>
          </w:tcPr>
          <w:p>
            <w:pPr>
              <w:pStyle w:val="TableParagraph"/>
              <w:spacing w:line="255" w:lineRule="exact" w:before="2"/>
              <w:ind w:left="148"/>
              <w:rPr>
                <w:sz w:val="24"/>
              </w:rPr>
            </w:pPr>
            <w:r>
              <w:rPr>
                <w:sz w:val="24"/>
              </w:rPr>
              <w:t>17.00</w:t>
            </w:r>
          </w:p>
        </w:tc>
        <w:tc>
          <w:tcPr>
            <w:tcW w:w="1335" w:type="dxa"/>
          </w:tcPr>
          <w:p>
            <w:pPr>
              <w:pStyle w:val="TableParagraph"/>
              <w:rPr>
                <w:rFonts w:ascii="Times New Roman"/>
                <w:sz w:val="20"/>
              </w:rPr>
            </w:pPr>
          </w:p>
        </w:tc>
        <w:tc>
          <w:tcPr>
            <w:tcW w:w="1388" w:type="dxa"/>
          </w:tcPr>
          <w:p>
            <w:pPr>
              <w:pStyle w:val="TableParagraph"/>
              <w:rPr>
                <w:rFonts w:ascii="Times New Roman"/>
                <w:sz w:val="20"/>
              </w:rPr>
            </w:pPr>
          </w:p>
        </w:tc>
      </w:tr>
      <w:tr>
        <w:trPr>
          <w:trHeight w:val="275" w:hRule="atLeast"/>
        </w:trPr>
        <w:tc>
          <w:tcPr>
            <w:tcW w:w="3500" w:type="dxa"/>
          </w:tcPr>
          <w:p>
            <w:pPr>
              <w:pStyle w:val="TableParagraph"/>
              <w:spacing w:line="255" w:lineRule="exact"/>
              <w:ind w:left="74"/>
              <w:rPr>
                <w:sz w:val="24"/>
              </w:rPr>
            </w:pPr>
            <w:r>
              <w:rPr>
                <w:sz w:val="24"/>
              </w:rPr>
              <w:t>Copa de oro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74"/>
              <w:rPr>
                <w:sz w:val="24"/>
              </w:rPr>
            </w:pPr>
            <w:r>
              <w:rPr>
                <w:sz w:val="24"/>
              </w:rPr>
              <w:t>Corona de cristo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.51 -1.00M</w:t>
            </w:r>
          </w:p>
        </w:tc>
        <w:tc>
          <w:tcPr>
            <w:tcW w:w="1388" w:type="dxa"/>
          </w:tcPr>
          <w:p>
            <w:pPr>
              <w:pStyle w:val="TableParagraph"/>
              <w:spacing w:line="255" w:lineRule="exact"/>
              <w:ind w:right="-15"/>
              <w:jc w:val="right"/>
              <w:rPr>
                <w:sz w:val="24"/>
              </w:rPr>
            </w:pPr>
            <w:r>
              <w:rPr>
                <w:sz w:val="24"/>
              </w:rPr>
              <w:t>22.00</w:t>
            </w:r>
          </w:p>
        </w:tc>
      </w:tr>
      <w:tr>
        <w:trPr>
          <w:trHeight w:val="275" w:hRule="atLeast"/>
        </w:trPr>
        <w:tc>
          <w:tcPr>
            <w:tcW w:w="3500" w:type="dxa"/>
          </w:tcPr>
          <w:p>
            <w:pPr>
              <w:pStyle w:val="TableParagraph"/>
              <w:spacing w:line="255" w:lineRule="exact"/>
              <w:ind w:left="74"/>
              <w:rPr>
                <w:sz w:val="24"/>
              </w:rPr>
            </w:pPr>
            <w:r>
              <w:rPr>
                <w:sz w:val="24"/>
              </w:rPr>
              <w:t>Croto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74"/>
              <w:rPr>
                <w:sz w:val="24"/>
              </w:rPr>
            </w:pPr>
            <w:r>
              <w:rPr>
                <w:sz w:val="24"/>
              </w:rPr>
              <w:t>Dracaenahawai</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22.00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74"/>
              <w:rPr>
                <w:sz w:val="24"/>
              </w:rPr>
            </w:pPr>
            <w:r>
              <w:rPr>
                <w:sz w:val="24"/>
              </w:rPr>
              <w:t>Dracaena roja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22.00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8" w:hRule="atLeast"/>
        </w:trPr>
        <w:tc>
          <w:tcPr>
            <w:tcW w:w="3500" w:type="dxa"/>
          </w:tcPr>
          <w:p>
            <w:pPr>
              <w:pStyle w:val="TableParagraph"/>
              <w:spacing w:line="255" w:lineRule="exact" w:before="2"/>
              <w:ind w:left="74"/>
              <w:rPr>
                <w:sz w:val="24"/>
              </w:rPr>
            </w:pPr>
            <w:r>
              <w:rPr>
                <w:sz w:val="24"/>
              </w:rPr>
              <w:t>Duranta</w:t>
            </w:r>
          </w:p>
        </w:tc>
        <w:tc>
          <w:tcPr>
            <w:tcW w:w="1486" w:type="dxa"/>
          </w:tcPr>
          <w:p>
            <w:pPr>
              <w:pStyle w:val="TableParagraph"/>
              <w:spacing w:line="255" w:lineRule="exact" w:before="2"/>
              <w:ind w:left="105"/>
              <w:rPr>
                <w:sz w:val="24"/>
              </w:rPr>
            </w:pPr>
            <w:r>
              <w:rPr>
                <w:sz w:val="24"/>
              </w:rPr>
              <w:t>10 cm. Alt.</w:t>
            </w:r>
          </w:p>
        </w:tc>
        <w:tc>
          <w:tcPr>
            <w:tcW w:w="1332" w:type="dxa"/>
          </w:tcPr>
          <w:p>
            <w:pPr>
              <w:pStyle w:val="TableParagraph"/>
              <w:spacing w:line="255" w:lineRule="exact" w:before="2"/>
              <w:ind w:left="148"/>
              <w:rPr>
                <w:sz w:val="24"/>
              </w:rPr>
            </w:pPr>
            <w:r>
              <w:rPr>
                <w:sz w:val="24"/>
              </w:rPr>
              <w:t>11.00</w:t>
            </w:r>
          </w:p>
        </w:tc>
        <w:tc>
          <w:tcPr>
            <w:tcW w:w="1335" w:type="dxa"/>
          </w:tcPr>
          <w:p>
            <w:pPr>
              <w:pStyle w:val="TableParagraph"/>
              <w:spacing w:line="255" w:lineRule="exact" w:before="2"/>
              <w:ind w:left="57"/>
              <w:rPr>
                <w:sz w:val="24"/>
              </w:rPr>
            </w:pPr>
            <w:r>
              <w:rPr>
                <w:sz w:val="24"/>
              </w:rPr>
              <w:t>20 cm. Alt.</w:t>
            </w:r>
          </w:p>
        </w:tc>
        <w:tc>
          <w:tcPr>
            <w:tcW w:w="1388" w:type="dxa"/>
          </w:tcPr>
          <w:p>
            <w:pPr>
              <w:pStyle w:val="TableParagraph"/>
              <w:spacing w:line="255" w:lineRule="exact" w:before="2"/>
              <w:ind w:right="-15"/>
              <w:jc w:val="right"/>
              <w:rPr>
                <w:sz w:val="24"/>
              </w:rPr>
            </w:pPr>
            <w:r>
              <w:rPr>
                <w:sz w:val="24"/>
              </w:rPr>
              <w:t>22.00</w:t>
            </w:r>
          </w:p>
        </w:tc>
      </w:tr>
      <w:tr>
        <w:trPr>
          <w:trHeight w:val="275" w:hRule="atLeast"/>
        </w:trPr>
        <w:tc>
          <w:tcPr>
            <w:tcW w:w="3500" w:type="dxa"/>
          </w:tcPr>
          <w:p>
            <w:pPr>
              <w:pStyle w:val="TableParagraph"/>
              <w:spacing w:line="255" w:lineRule="exact"/>
              <w:ind w:left="74"/>
              <w:rPr>
                <w:sz w:val="24"/>
              </w:rPr>
            </w:pPr>
            <w:r>
              <w:rPr>
                <w:sz w:val="24"/>
              </w:rPr>
              <w:t>Forneo</w:t>
            </w:r>
          </w:p>
        </w:tc>
        <w:tc>
          <w:tcPr>
            <w:tcW w:w="1486" w:type="dxa"/>
          </w:tcPr>
          <w:p>
            <w:pPr>
              <w:pStyle w:val="TableParagraph"/>
              <w:spacing w:line="255" w:lineRule="exact"/>
              <w:ind w:left="102"/>
              <w:rPr>
                <w:sz w:val="24"/>
              </w:rPr>
            </w:pPr>
            <w:r>
              <w:rPr>
                <w:sz w:val="24"/>
              </w:rPr>
              <w:t>50 cm.Alt.</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552" w:hRule="atLeast"/>
        </w:trPr>
        <w:tc>
          <w:tcPr>
            <w:tcW w:w="3500" w:type="dxa"/>
          </w:tcPr>
          <w:p>
            <w:pPr>
              <w:pStyle w:val="TableParagraph"/>
              <w:spacing w:before="1"/>
              <w:ind w:left="1065"/>
              <w:rPr>
                <w:sz w:val="24"/>
              </w:rPr>
            </w:pPr>
            <w:r>
              <w:rPr>
                <w:sz w:val="24"/>
              </w:rPr>
              <w:t>Nombre</w:t>
            </w:r>
          </w:p>
        </w:tc>
        <w:tc>
          <w:tcPr>
            <w:tcW w:w="1486" w:type="dxa"/>
          </w:tcPr>
          <w:p>
            <w:pPr>
              <w:pStyle w:val="TableParagraph"/>
              <w:spacing w:before="1"/>
              <w:ind w:left="105"/>
              <w:rPr>
                <w:sz w:val="24"/>
              </w:rPr>
            </w:pPr>
            <w:r>
              <w:rPr>
                <w:sz w:val="24"/>
              </w:rPr>
              <w:t>Tamaño</w:t>
            </w:r>
          </w:p>
        </w:tc>
        <w:tc>
          <w:tcPr>
            <w:tcW w:w="1332" w:type="dxa"/>
          </w:tcPr>
          <w:p>
            <w:pPr>
              <w:pStyle w:val="TableParagraph"/>
              <w:spacing w:line="270" w:lineRule="atLeast" w:before="1"/>
              <w:ind w:left="148" w:right="220"/>
              <w:rPr>
                <w:sz w:val="24"/>
              </w:rPr>
            </w:pPr>
            <w:r>
              <w:rPr>
                <w:sz w:val="24"/>
              </w:rPr>
              <w:t>Precio Mayoreo</w:t>
            </w:r>
          </w:p>
        </w:tc>
        <w:tc>
          <w:tcPr>
            <w:tcW w:w="1335" w:type="dxa"/>
          </w:tcPr>
          <w:p>
            <w:pPr>
              <w:pStyle w:val="TableParagraph"/>
              <w:spacing w:before="1"/>
              <w:ind w:left="57"/>
              <w:rPr>
                <w:sz w:val="24"/>
              </w:rPr>
            </w:pPr>
            <w:r>
              <w:rPr>
                <w:sz w:val="24"/>
              </w:rPr>
              <w:t>Tamaño</w:t>
            </w:r>
          </w:p>
        </w:tc>
        <w:tc>
          <w:tcPr>
            <w:tcW w:w="1388" w:type="dxa"/>
          </w:tcPr>
          <w:p>
            <w:pPr>
              <w:pStyle w:val="TableParagraph"/>
              <w:spacing w:line="270" w:lineRule="atLeast" w:before="1"/>
              <w:ind w:left="167" w:right="190"/>
              <w:rPr>
                <w:sz w:val="24"/>
              </w:rPr>
            </w:pPr>
            <w:r>
              <w:rPr>
                <w:sz w:val="24"/>
              </w:rPr>
              <w:t>Precio Menudeo</w:t>
            </w:r>
          </w:p>
        </w:tc>
      </w:tr>
      <w:tr>
        <w:trPr>
          <w:trHeight w:val="274" w:hRule="atLeast"/>
        </w:trPr>
        <w:tc>
          <w:tcPr>
            <w:tcW w:w="3500" w:type="dxa"/>
          </w:tcPr>
          <w:p>
            <w:pPr>
              <w:pStyle w:val="TableParagraph"/>
              <w:spacing w:line="255" w:lineRule="exact"/>
              <w:ind w:left="38"/>
              <w:rPr>
                <w:sz w:val="24"/>
              </w:rPr>
            </w:pPr>
            <w:r>
              <w:rPr>
                <w:sz w:val="24"/>
              </w:rPr>
              <w:t>Gazania</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13.00</w:t>
            </w:r>
          </w:p>
        </w:tc>
        <w:tc>
          <w:tcPr>
            <w:tcW w:w="1335" w:type="dxa"/>
          </w:tcPr>
          <w:p>
            <w:pPr>
              <w:pStyle w:val="TableParagraph"/>
              <w:spacing w:line="255" w:lineRule="exact"/>
              <w:ind w:left="57"/>
              <w:rPr>
                <w:sz w:val="24"/>
              </w:rPr>
            </w:pPr>
            <w:r>
              <w:rPr>
                <w:sz w:val="24"/>
              </w:rPr>
              <w:t>Menudeo</w:t>
            </w:r>
          </w:p>
        </w:tc>
        <w:tc>
          <w:tcPr>
            <w:tcW w:w="1388" w:type="dxa"/>
          </w:tcPr>
          <w:p>
            <w:pPr>
              <w:pStyle w:val="TableParagraph"/>
              <w:spacing w:line="255" w:lineRule="exact"/>
              <w:ind w:right="-15"/>
              <w:jc w:val="right"/>
              <w:rPr>
                <w:sz w:val="24"/>
              </w:rPr>
            </w:pPr>
            <w:r>
              <w:rPr>
                <w:sz w:val="24"/>
              </w:rPr>
              <w:t>16.00</w:t>
            </w:r>
          </w:p>
        </w:tc>
      </w:tr>
      <w:tr>
        <w:trPr>
          <w:trHeight w:val="275" w:hRule="atLeast"/>
        </w:trPr>
        <w:tc>
          <w:tcPr>
            <w:tcW w:w="3500" w:type="dxa"/>
          </w:tcPr>
          <w:p>
            <w:pPr>
              <w:pStyle w:val="TableParagraph"/>
              <w:spacing w:line="255" w:lineRule="exact"/>
              <w:ind w:left="38"/>
              <w:rPr>
                <w:sz w:val="24"/>
              </w:rPr>
            </w:pPr>
            <w:r>
              <w:rPr>
                <w:sz w:val="24"/>
              </w:rPr>
              <w:t>Heliconia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22.00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Hemerocalis</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17.00</w:t>
            </w:r>
          </w:p>
        </w:tc>
        <w:tc>
          <w:tcPr>
            <w:tcW w:w="1335" w:type="dxa"/>
          </w:tcPr>
          <w:p>
            <w:pPr>
              <w:pStyle w:val="TableParagraph"/>
              <w:rPr>
                <w:rFonts w:ascii="Times New Roman"/>
                <w:sz w:val="20"/>
              </w:rPr>
            </w:pPr>
          </w:p>
        </w:tc>
        <w:tc>
          <w:tcPr>
            <w:tcW w:w="1388" w:type="dxa"/>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Hoja de lata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28.00</w:t>
            </w:r>
          </w:p>
        </w:tc>
      </w:tr>
      <w:tr>
        <w:trPr>
          <w:trHeight w:val="277" w:hRule="atLeast"/>
        </w:trPr>
        <w:tc>
          <w:tcPr>
            <w:tcW w:w="3500" w:type="dxa"/>
          </w:tcPr>
          <w:p>
            <w:pPr>
              <w:pStyle w:val="TableParagraph"/>
              <w:spacing w:line="255" w:lineRule="exact" w:before="2"/>
              <w:ind w:left="38"/>
              <w:rPr>
                <w:sz w:val="24"/>
              </w:rPr>
            </w:pPr>
            <w:r>
              <w:rPr>
                <w:sz w:val="24"/>
              </w:rPr>
              <w:t>Hoja elegante</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33.00</w:t>
            </w:r>
          </w:p>
        </w:tc>
        <w:tc>
          <w:tcPr>
            <w:tcW w:w="1335" w:type="dxa"/>
          </w:tcPr>
          <w:p>
            <w:pPr>
              <w:pStyle w:val="TableParagraph"/>
              <w:spacing w:line="255" w:lineRule="exact" w:before="2"/>
              <w:ind w:left="57"/>
              <w:rPr>
                <w:sz w:val="24"/>
              </w:rPr>
            </w:pPr>
            <w:r>
              <w:rPr>
                <w:sz w:val="24"/>
              </w:rPr>
              <w:t>.51-1.00 M.</w:t>
            </w:r>
          </w:p>
        </w:tc>
        <w:tc>
          <w:tcPr>
            <w:tcW w:w="1388" w:type="dxa"/>
          </w:tcPr>
          <w:p>
            <w:pPr>
              <w:pStyle w:val="TableParagraph"/>
              <w:spacing w:line="255" w:lineRule="exact" w:before="2"/>
              <w:ind w:right="-15"/>
              <w:jc w:val="right"/>
              <w:rPr>
                <w:sz w:val="24"/>
              </w:rPr>
            </w:pPr>
            <w:r>
              <w:rPr>
                <w:sz w:val="24"/>
              </w:rPr>
              <w:t>55.00</w:t>
            </w:r>
          </w:p>
        </w:tc>
      </w:tr>
      <w:tr>
        <w:trPr>
          <w:trHeight w:val="275" w:hRule="atLeast"/>
        </w:trPr>
        <w:tc>
          <w:tcPr>
            <w:tcW w:w="3500" w:type="dxa"/>
          </w:tcPr>
          <w:p>
            <w:pPr>
              <w:pStyle w:val="TableParagraph"/>
              <w:spacing w:line="255" w:lineRule="exact"/>
              <w:ind w:left="38"/>
              <w:rPr>
                <w:sz w:val="24"/>
              </w:rPr>
            </w:pPr>
            <w:r>
              <w:rPr>
                <w:sz w:val="24"/>
              </w:rPr>
              <w:t>Hortensia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88" w:type="dxa"/>
          </w:tcPr>
          <w:p>
            <w:pPr>
              <w:pStyle w:val="TableParagraph"/>
              <w:spacing w:line="255" w:lineRule="exact"/>
              <w:ind w:right="-15"/>
              <w:jc w:val="right"/>
              <w:rPr>
                <w:sz w:val="24"/>
              </w:rPr>
            </w:pPr>
            <w:r>
              <w:rPr>
                <w:sz w:val="24"/>
              </w:rPr>
              <w:t>33.00</w:t>
            </w:r>
          </w:p>
        </w:tc>
      </w:tr>
      <w:tr>
        <w:trPr>
          <w:trHeight w:val="551" w:hRule="atLeast"/>
        </w:trPr>
        <w:tc>
          <w:tcPr>
            <w:tcW w:w="3500" w:type="dxa"/>
          </w:tcPr>
          <w:p>
            <w:pPr>
              <w:pStyle w:val="TableParagraph"/>
              <w:ind w:left="38"/>
              <w:rPr>
                <w:sz w:val="24"/>
              </w:rPr>
            </w:pPr>
            <w:r>
              <w:rPr>
                <w:sz w:val="24"/>
              </w:rPr>
              <w:t>Ixora</w:t>
            </w:r>
          </w:p>
        </w:tc>
        <w:tc>
          <w:tcPr>
            <w:tcW w:w="1486" w:type="dxa"/>
          </w:tcPr>
          <w:p>
            <w:pPr>
              <w:pStyle w:val="TableParagraph"/>
              <w:ind w:left="107"/>
              <w:rPr>
                <w:sz w:val="24"/>
              </w:rPr>
            </w:pPr>
            <w:r>
              <w:rPr>
                <w:sz w:val="24"/>
              </w:rPr>
              <w:t>10- 30 cm.</w:t>
            </w:r>
          </w:p>
        </w:tc>
        <w:tc>
          <w:tcPr>
            <w:tcW w:w="1332" w:type="dxa"/>
          </w:tcPr>
          <w:p>
            <w:pPr>
              <w:pStyle w:val="TableParagraph"/>
              <w:ind w:left="148"/>
              <w:rPr>
                <w:sz w:val="24"/>
              </w:rPr>
            </w:pPr>
            <w:r>
              <w:rPr>
                <w:sz w:val="24"/>
              </w:rPr>
              <w:t>17.00</w:t>
            </w:r>
          </w:p>
        </w:tc>
        <w:tc>
          <w:tcPr>
            <w:tcW w:w="1335" w:type="dxa"/>
          </w:tcPr>
          <w:p>
            <w:pPr>
              <w:pStyle w:val="TableParagraph"/>
              <w:spacing w:line="270" w:lineRule="atLeast"/>
              <w:ind w:left="57"/>
              <w:rPr>
                <w:sz w:val="24"/>
              </w:rPr>
            </w:pPr>
            <w:r>
              <w:rPr>
                <w:sz w:val="24"/>
              </w:rPr>
              <w:t>Más de 30 cm.</w:t>
            </w:r>
          </w:p>
        </w:tc>
        <w:tc>
          <w:tcPr>
            <w:tcW w:w="1388" w:type="dxa"/>
          </w:tcPr>
          <w:p>
            <w:pPr>
              <w:pStyle w:val="TableParagraph"/>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Kalanchoe</w:t>
            </w:r>
          </w:p>
        </w:tc>
        <w:tc>
          <w:tcPr>
            <w:tcW w:w="1486" w:type="dxa"/>
          </w:tcPr>
          <w:p>
            <w:pPr>
              <w:pStyle w:val="TableParagraph"/>
              <w:rPr>
                <w:rFonts w:ascii="Times New Roman"/>
                <w:sz w:val="20"/>
              </w:rPr>
            </w:pPr>
          </w:p>
        </w:tc>
        <w:tc>
          <w:tcPr>
            <w:tcW w:w="1332" w:type="dxa"/>
          </w:tcPr>
          <w:p>
            <w:pPr>
              <w:pStyle w:val="TableParagraph"/>
              <w:spacing w:line="255" w:lineRule="exact"/>
              <w:ind w:left="148"/>
              <w:rPr>
                <w:sz w:val="24"/>
              </w:rPr>
            </w:pPr>
            <w:r>
              <w:rPr>
                <w:sz w:val="24"/>
              </w:rPr>
              <w:t>17.00</w:t>
            </w:r>
          </w:p>
        </w:tc>
        <w:tc>
          <w:tcPr>
            <w:tcW w:w="1335" w:type="dxa"/>
          </w:tcPr>
          <w:p>
            <w:pPr>
              <w:pStyle w:val="TableParagraph"/>
              <w:rPr>
                <w:rFonts w:ascii="Times New Roman"/>
                <w:sz w:val="20"/>
              </w:rPr>
            </w:pPr>
          </w:p>
        </w:tc>
        <w:tc>
          <w:tcPr>
            <w:tcW w:w="1388" w:type="dxa"/>
          </w:tcPr>
          <w:p>
            <w:pPr>
              <w:pStyle w:val="TableParagraph"/>
              <w:spacing w:line="255" w:lineRule="exact"/>
              <w:ind w:right="-15"/>
              <w:jc w:val="right"/>
              <w:rPr>
                <w:sz w:val="24"/>
              </w:rPr>
            </w:pPr>
            <w:r>
              <w:rPr>
                <w:sz w:val="24"/>
              </w:rPr>
              <w:t>22.00</w:t>
            </w:r>
          </w:p>
        </w:tc>
      </w:tr>
      <w:tr>
        <w:trPr>
          <w:trHeight w:val="276" w:hRule="atLeast"/>
        </w:trPr>
        <w:tc>
          <w:tcPr>
            <w:tcW w:w="3500" w:type="dxa"/>
          </w:tcPr>
          <w:p>
            <w:pPr>
              <w:pStyle w:val="TableParagraph"/>
              <w:spacing w:line="256" w:lineRule="exact"/>
              <w:ind w:left="38"/>
              <w:rPr>
                <w:sz w:val="24"/>
              </w:rPr>
            </w:pPr>
            <w:r>
              <w:rPr>
                <w:sz w:val="24"/>
              </w:rPr>
              <w:t>Lirio africano</w:t>
            </w:r>
          </w:p>
        </w:tc>
        <w:tc>
          <w:tcPr>
            <w:tcW w:w="1486" w:type="dxa"/>
          </w:tcPr>
          <w:p>
            <w:pPr>
              <w:pStyle w:val="TableParagraph"/>
              <w:spacing w:line="256" w:lineRule="exact"/>
              <w:ind w:left="105"/>
              <w:rPr>
                <w:sz w:val="24"/>
              </w:rPr>
            </w:pPr>
            <w:r>
              <w:rPr>
                <w:sz w:val="24"/>
              </w:rPr>
              <w:t>30 cm. Alt.</w:t>
            </w:r>
          </w:p>
        </w:tc>
        <w:tc>
          <w:tcPr>
            <w:tcW w:w="1332" w:type="dxa"/>
          </w:tcPr>
          <w:p>
            <w:pPr>
              <w:pStyle w:val="TableParagraph"/>
              <w:spacing w:line="256" w:lineRule="exact"/>
              <w:ind w:left="148"/>
              <w:rPr>
                <w:sz w:val="24"/>
              </w:rPr>
            </w:pPr>
            <w:r>
              <w:rPr>
                <w:sz w:val="24"/>
              </w:rPr>
              <w:t>17.00</w:t>
            </w:r>
          </w:p>
        </w:tc>
        <w:tc>
          <w:tcPr>
            <w:tcW w:w="1335" w:type="dxa"/>
          </w:tcPr>
          <w:p>
            <w:pPr>
              <w:pStyle w:val="TableParagraph"/>
              <w:spacing w:line="256" w:lineRule="exact"/>
              <w:ind w:left="57"/>
              <w:rPr>
                <w:sz w:val="24"/>
              </w:rPr>
            </w:pPr>
            <w:r>
              <w:rPr>
                <w:sz w:val="24"/>
              </w:rPr>
              <w:t>.31-60 cm.</w:t>
            </w:r>
          </w:p>
        </w:tc>
        <w:tc>
          <w:tcPr>
            <w:tcW w:w="1388" w:type="dxa"/>
          </w:tcPr>
          <w:p>
            <w:pPr>
              <w:pStyle w:val="TableParagraph"/>
              <w:spacing w:line="256" w:lineRule="exact"/>
              <w:ind w:right="-15"/>
              <w:jc w:val="right"/>
              <w:rPr>
                <w:sz w:val="24"/>
              </w:rPr>
            </w:pPr>
            <w:r>
              <w:rPr>
                <w:sz w:val="24"/>
              </w:rPr>
              <w:t>33.00</w:t>
            </w:r>
          </w:p>
        </w:tc>
      </w:tr>
    </w:tbl>
    <w:p>
      <w:pPr>
        <w:spacing w:after="0" w:line="256" w:lineRule="exact"/>
        <w:jc w:val="right"/>
        <w:rPr>
          <w:sz w:val="24"/>
        </w:rPr>
        <w:sectPr>
          <w:pgSz w:w="12250" w:h="15850"/>
          <w:pgMar w:header="730" w:footer="0" w:top="1000" w:bottom="280" w:left="860" w:right="820"/>
        </w:sectPr>
      </w:pPr>
    </w:p>
    <w:p>
      <w:pPr>
        <w:pStyle w:val="BodyText"/>
        <w:spacing w:before="1"/>
        <w:rPr>
          <w:sz w:val="17"/>
        </w:rPr>
      </w:pPr>
      <w:r>
        <w:rPr/>
        <w:drawing>
          <wp:anchor distT="0" distB="0" distL="0" distR="0" allowOverlap="1" layoutInCell="1" locked="0" behindDoc="1" simplePos="0" relativeHeight="227546112">
            <wp:simplePos x="0" y="0"/>
            <wp:positionH relativeFrom="page">
              <wp:posOffset>1252555</wp:posOffset>
            </wp:positionH>
            <wp:positionV relativeFrom="page">
              <wp:posOffset>2058161</wp:posOffset>
            </wp:positionV>
            <wp:extent cx="5021401" cy="5143500"/>
            <wp:effectExtent l="0" t="0" r="0" b="0"/>
            <wp:wrapNone/>
            <wp:docPr id="153" name="image72.png"/>
            <wp:cNvGraphicFramePr>
              <a:graphicFrameLocks noChangeAspect="1"/>
            </wp:cNvGraphicFramePr>
            <a:graphic>
              <a:graphicData uri="http://schemas.openxmlformats.org/drawingml/2006/picture">
                <pic:pic>
                  <pic:nvPicPr>
                    <pic:cNvPr id="154" name="image72.png"/>
                    <pic:cNvPicPr/>
                  </pic:nvPicPr>
                  <pic:blipFill>
                    <a:blip r:embed="rId82" cstate="print"/>
                    <a:stretch>
                      <a:fillRect/>
                    </a:stretch>
                  </pic:blipFill>
                  <pic:spPr>
                    <a:xfrm>
                      <a:off x="0" y="0"/>
                      <a:ext cx="5021401" cy="5143500"/>
                    </a:xfrm>
                    <a:prstGeom prst="rect">
                      <a:avLst/>
                    </a:prstGeom>
                  </pic:spPr>
                </pic:pic>
              </a:graphicData>
            </a:graphic>
          </wp:anchor>
        </w:drawing>
      </w: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0"/>
        <w:gridCol w:w="1486"/>
        <w:gridCol w:w="1332"/>
        <w:gridCol w:w="1335"/>
        <w:gridCol w:w="1393"/>
      </w:tblGrid>
      <w:tr>
        <w:trPr>
          <w:trHeight w:val="551" w:hRule="atLeast"/>
        </w:trPr>
        <w:tc>
          <w:tcPr>
            <w:tcW w:w="3500" w:type="dxa"/>
          </w:tcPr>
          <w:p>
            <w:pPr>
              <w:pStyle w:val="TableParagraph"/>
              <w:ind w:left="1098"/>
              <w:rPr>
                <w:b/>
                <w:sz w:val="24"/>
              </w:rPr>
            </w:pPr>
            <w:r>
              <w:rPr>
                <w:b/>
                <w:sz w:val="24"/>
              </w:rPr>
              <w:t>Nombre</w:t>
            </w:r>
          </w:p>
        </w:tc>
        <w:tc>
          <w:tcPr>
            <w:tcW w:w="1486" w:type="dxa"/>
          </w:tcPr>
          <w:p>
            <w:pPr>
              <w:pStyle w:val="TableParagraph"/>
              <w:ind w:left="105"/>
              <w:rPr>
                <w:b/>
                <w:sz w:val="24"/>
              </w:rPr>
            </w:pPr>
            <w:r>
              <w:rPr>
                <w:b/>
                <w:sz w:val="24"/>
              </w:rPr>
              <w:t>Tamaño</w:t>
            </w:r>
          </w:p>
        </w:tc>
        <w:tc>
          <w:tcPr>
            <w:tcW w:w="1332" w:type="dxa"/>
          </w:tcPr>
          <w:p>
            <w:pPr>
              <w:pStyle w:val="TableParagraph"/>
              <w:spacing w:line="270" w:lineRule="atLeast"/>
              <w:ind w:left="148" w:right="167"/>
              <w:rPr>
                <w:b/>
                <w:sz w:val="24"/>
              </w:rPr>
            </w:pPr>
            <w:r>
              <w:rPr>
                <w:b/>
                <w:sz w:val="24"/>
              </w:rPr>
              <w:t>Precio Mayoreo</w:t>
            </w:r>
          </w:p>
        </w:tc>
        <w:tc>
          <w:tcPr>
            <w:tcW w:w="1335" w:type="dxa"/>
          </w:tcPr>
          <w:p>
            <w:pPr>
              <w:pStyle w:val="TableParagraph"/>
              <w:ind w:left="57"/>
              <w:rPr>
                <w:b/>
                <w:sz w:val="24"/>
              </w:rPr>
            </w:pPr>
            <w:r>
              <w:rPr>
                <w:b/>
                <w:sz w:val="24"/>
              </w:rPr>
              <w:t>Tamaño</w:t>
            </w:r>
          </w:p>
        </w:tc>
        <w:tc>
          <w:tcPr>
            <w:tcW w:w="1393" w:type="dxa"/>
          </w:tcPr>
          <w:p>
            <w:pPr>
              <w:pStyle w:val="TableParagraph"/>
              <w:spacing w:line="270" w:lineRule="atLeast"/>
              <w:ind w:left="167" w:right="142"/>
              <w:rPr>
                <w:b/>
                <w:sz w:val="24"/>
              </w:rPr>
            </w:pPr>
            <w:r>
              <w:rPr>
                <w:b/>
                <w:sz w:val="24"/>
              </w:rPr>
              <w:t>Precio Menudeo</w:t>
            </w:r>
          </w:p>
        </w:tc>
      </w:tr>
      <w:tr>
        <w:trPr>
          <w:trHeight w:val="275" w:hRule="atLeast"/>
        </w:trPr>
        <w:tc>
          <w:tcPr>
            <w:tcW w:w="3500" w:type="dxa"/>
          </w:tcPr>
          <w:p>
            <w:pPr>
              <w:pStyle w:val="TableParagraph"/>
              <w:spacing w:line="255" w:lineRule="exact"/>
              <w:ind w:left="38"/>
              <w:rPr>
                <w:sz w:val="24"/>
              </w:rPr>
            </w:pPr>
            <w:r>
              <w:rPr>
                <w:sz w:val="24"/>
              </w:rPr>
              <w:t>Liston</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11.00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Maguey rojo</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11.00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Malva</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16.00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8" w:hRule="atLeast"/>
        </w:trPr>
        <w:tc>
          <w:tcPr>
            <w:tcW w:w="3500" w:type="dxa"/>
          </w:tcPr>
          <w:p>
            <w:pPr>
              <w:pStyle w:val="TableParagraph"/>
              <w:spacing w:line="255" w:lineRule="exact" w:before="2"/>
              <w:ind w:left="38"/>
              <w:rPr>
                <w:sz w:val="24"/>
              </w:rPr>
            </w:pPr>
            <w:r>
              <w:rPr>
                <w:sz w:val="24"/>
              </w:rPr>
              <w:t>Nevado de parís</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22.00</w:t>
            </w:r>
          </w:p>
        </w:tc>
        <w:tc>
          <w:tcPr>
            <w:tcW w:w="1335" w:type="dxa"/>
          </w:tcPr>
          <w:p>
            <w:pPr>
              <w:pStyle w:val="TableParagraph"/>
              <w:spacing w:line="255" w:lineRule="exact" w:before="2"/>
              <w:ind w:left="57"/>
              <w:rPr>
                <w:sz w:val="24"/>
              </w:rPr>
            </w:pPr>
            <w:r>
              <w:rPr>
                <w:sz w:val="24"/>
              </w:rPr>
              <w:t>.51.-1.00M</w:t>
            </w:r>
          </w:p>
        </w:tc>
        <w:tc>
          <w:tcPr>
            <w:tcW w:w="1393" w:type="dxa"/>
            <w:tcBorders>
              <w:right w:val="single" w:sz="6" w:space="0" w:color="000000"/>
            </w:tcBorders>
          </w:tcPr>
          <w:p>
            <w:pPr>
              <w:pStyle w:val="TableParagraph"/>
              <w:spacing w:line="255" w:lineRule="exact" w:before="2"/>
              <w:ind w:right="-15"/>
              <w:jc w:val="right"/>
              <w:rPr>
                <w:sz w:val="24"/>
              </w:rPr>
            </w:pPr>
            <w:r>
              <w:rPr>
                <w:sz w:val="24"/>
              </w:rPr>
              <w:t>44.00</w:t>
            </w:r>
          </w:p>
        </w:tc>
      </w:tr>
      <w:tr>
        <w:trPr>
          <w:trHeight w:val="275" w:hRule="atLeast"/>
        </w:trPr>
        <w:tc>
          <w:tcPr>
            <w:tcW w:w="3500" w:type="dxa"/>
          </w:tcPr>
          <w:p>
            <w:pPr>
              <w:pStyle w:val="TableParagraph"/>
              <w:spacing w:line="255" w:lineRule="exact"/>
              <w:ind w:left="38"/>
              <w:rPr>
                <w:sz w:val="24"/>
              </w:rPr>
            </w:pPr>
            <w:r>
              <w:rPr>
                <w:sz w:val="24"/>
              </w:rPr>
              <w:t>Nido de ave</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22.00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Nochebuena</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29.00</w:t>
            </w:r>
          </w:p>
        </w:tc>
        <w:tc>
          <w:tcPr>
            <w:tcW w:w="1335" w:type="dxa"/>
          </w:tcPr>
          <w:p>
            <w:pPr>
              <w:pStyle w:val="TableParagraph"/>
              <w:spacing w:line="255" w:lineRule="exact"/>
              <w:ind w:left="57"/>
              <w:rPr>
                <w:sz w:val="24"/>
              </w:rPr>
            </w:pPr>
            <w:r>
              <w:rPr>
                <w:sz w:val="24"/>
              </w:rPr>
              <w:t>Menudeo</w:t>
            </w:r>
          </w:p>
        </w:tc>
        <w:tc>
          <w:tcPr>
            <w:tcW w:w="1393" w:type="dxa"/>
            <w:tcBorders>
              <w:right w:val="single" w:sz="6" w:space="0" w:color="000000"/>
            </w:tcBorders>
          </w:tcPr>
          <w:p>
            <w:pPr>
              <w:pStyle w:val="TableParagraph"/>
              <w:spacing w:line="255" w:lineRule="exact"/>
              <w:ind w:right="-15"/>
              <w:jc w:val="right"/>
              <w:rPr>
                <w:sz w:val="24"/>
              </w:rPr>
            </w:pPr>
            <w:r>
              <w:rPr>
                <w:sz w:val="24"/>
              </w:rPr>
              <w:t>39.00</w:t>
            </w:r>
          </w:p>
        </w:tc>
      </w:tr>
      <w:tr>
        <w:trPr>
          <w:trHeight w:val="275" w:hRule="atLeast"/>
        </w:trPr>
        <w:tc>
          <w:tcPr>
            <w:tcW w:w="3500" w:type="dxa"/>
          </w:tcPr>
          <w:p>
            <w:pPr>
              <w:pStyle w:val="TableParagraph"/>
              <w:spacing w:line="255" w:lineRule="exact"/>
              <w:ind w:left="38"/>
              <w:rPr>
                <w:sz w:val="24"/>
              </w:rPr>
            </w:pPr>
            <w:r>
              <w:rPr>
                <w:sz w:val="24"/>
              </w:rPr>
              <w:t>Oveliscos</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22.00</w:t>
            </w:r>
          </w:p>
        </w:tc>
      </w:tr>
      <w:tr>
        <w:trPr>
          <w:trHeight w:val="275" w:hRule="atLeast"/>
        </w:trPr>
        <w:tc>
          <w:tcPr>
            <w:tcW w:w="3500" w:type="dxa"/>
          </w:tcPr>
          <w:p>
            <w:pPr>
              <w:pStyle w:val="TableParagraph"/>
              <w:spacing w:line="255" w:lineRule="exact"/>
              <w:ind w:left="38"/>
              <w:rPr>
                <w:sz w:val="24"/>
              </w:rPr>
            </w:pPr>
            <w:r>
              <w:rPr>
                <w:sz w:val="24"/>
              </w:rPr>
              <w:t>Pachistachis</w:t>
            </w:r>
          </w:p>
        </w:tc>
        <w:tc>
          <w:tcPr>
            <w:tcW w:w="1486" w:type="dxa"/>
          </w:tcPr>
          <w:p>
            <w:pPr>
              <w:pStyle w:val="TableParagraph"/>
              <w:spacing w:line="255" w:lineRule="exact"/>
              <w:ind w:left="107"/>
              <w:rPr>
                <w:sz w:val="24"/>
              </w:rPr>
            </w:pPr>
            <w:r>
              <w:rPr>
                <w:sz w:val="24"/>
              </w:rPr>
              <w:t>10- 50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spacing w:line="255" w:lineRule="exact"/>
              <w:ind w:right="-15"/>
              <w:jc w:val="right"/>
              <w:rPr>
                <w:sz w:val="24"/>
              </w:rPr>
            </w:pPr>
            <w:r>
              <w:rPr>
                <w:sz w:val="24"/>
              </w:rPr>
              <w:t>32.00</w:t>
            </w:r>
          </w:p>
        </w:tc>
      </w:tr>
      <w:tr>
        <w:trPr>
          <w:trHeight w:val="551" w:hRule="atLeast"/>
        </w:trPr>
        <w:tc>
          <w:tcPr>
            <w:tcW w:w="3500" w:type="dxa"/>
          </w:tcPr>
          <w:p>
            <w:pPr>
              <w:pStyle w:val="TableParagraph"/>
              <w:ind w:left="38"/>
              <w:rPr>
                <w:sz w:val="24"/>
              </w:rPr>
            </w:pPr>
            <w:r>
              <w:rPr>
                <w:sz w:val="24"/>
              </w:rPr>
              <w:t>Papiro</w:t>
            </w:r>
          </w:p>
        </w:tc>
        <w:tc>
          <w:tcPr>
            <w:tcW w:w="1486" w:type="dxa"/>
          </w:tcPr>
          <w:p>
            <w:pPr>
              <w:pStyle w:val="TableParagraph"/>
              <w:ind w:left="105"/>
              <w:rPr>
                <w:sz w:val="24"/>
              </w:rPr>
            </w:pPr>
            <w:r>
              <w:rPr>
                <w:sz w:val="24"/>
              </w:rPr>
              <w:t>50 cm. Alt.</w:t>
            </w:r>
          </w:p>
        </w:tc>
        <w:tc>
          <w:tcPr>
            <w:tcW w:w="1332" w:type="dxa"/>
          </w:tcPr>
          <w:p>
            <w:pPr>
              <w:pStyle w:val="TableParagraph"/>
              <w:ind w:left="148"/>
              <w:rPr>
                <w:sz w:val="24"/>
              </w:rPr>
            </w:pPr>
            <w:r>
              <w:rPr>
                <w:sz w:val="24"/>
              </w:rPr>
              <w:t>17.00</w:t>
            </w:r>
          </w:p>
        </w:tc>
        <w:tc>
          <w:tcPr>
            <w:tcW w:w="1335" w:type="dxa"/>
          </w:tcPr>
          <w:p>
            <w:pPr>
              <w:pStyle w:val="TableParagraph"/>
              <w:spacing w:line="270" w:lineRule="atLeast"/>
              <w:ind w:left="57"/>
              <w:rPr>
                <w:sz w:val="24"/>
              </w:rPr>
            </w:pPr>
            <w:r>
              <w:rPr>
                <w:sz w:val="24"/>
              </w:rPr>
              <w:t>.51 A 1.00 M.</w:t>
            </w:r>
          </w:p>
        </w:tc>
        <w:tc>
          <w:tcPr>
            <w:tcW w:w="1393" w:type="dxa"/>
            <w:tcBorders>
              <w:right w:val="single" w:sz="6" w:space="0" w:color="000000"/>
            </w:tcBorders>
          </w:tcPr>
          <w:p>
            <w:pPr>
              <w:pStyle w:val="TableParagraph"/>
              <w:ind w:right="-15"/>
              <w:jc w:val="right"/>
              <w:rPr>
                <w:sz w:val="24"/>
              </w:rPr>
            </w:pPr>
            <w:r>
              <w:rPr>
                <w:sz w:val="24"/>
              </w:rPr>
              <w:t>33.00</w:t>
            </w:r>
          </w:p>
        </w:tc>
      </w:tr>
      <w:tr>
        <w:trPr>
          <w:trHeight w:val="278" w:hRule="atLeast"/>
        </w:trPr>
        <w:tc>
          <w:tcPr>
            <w:tcW w:w="3500" w:type="dxa"/>
          </w:tcPr>
          <w:p>
            <w:pPr>
              <w:pStyle w:val="TableParagraph"/>
              <w:spacing w:line="256" w:lineRule="exact" w:before="2"/>
              <w:ind w:left="38"/>
              <w:rPr>
                <w:sz w:val="24"/>
              </w:rPr>
            </w:pPr>
            <w:r>
              <w:rPr>
                <w:sz w:val="24"/>
              </w:rPr>
              <w:t>Petunia</w:t>
            </w:r>
          </w:p>
        </w:tc>
        <w:tc>
          <w:tcPr>
            <w:tcW w:w="1486" w:type="dxa"/>
          </w:tcPr>
          <w:p>
            <w:pPr>
              <w:pStyle w:val="TableParagraph"/>
              <w:spacing w:line="256" w:lineRule="exact" w:before="2"/>
              <w:ind w:left="100"/>
              <w:rPr>
                <w:sz w:val="24"/>
              </w:rPr>
            </w:pPr>
            <w:r>
              <w:rPr>
                <w:sz w:val="24"/>
              </w:rPr>
              <w:t>Mayoreo</w:t>
            </w:r>
          </w:p>
        </w:tc>
        <w:tc>
          <w:tcPr>
            <w:tcW w:w="1332" w:type="dxa"/>
          </w:tcPr>
          <w:p>
            <w:pPr>
              <w:pStyle w:val="TableParagraph"/>
              <w:spacing w:line="256" w:lineRule="exact" w:before="2"/>
              <w:ind w:left="148"/>
              <w:rPr>
                <w:sz w:val="24"/>
              </w:rPr>
            </w:pPr>
            <w:r>
              <w:rPr>
                <w:sz w:val="24"/>
              </w:rPr>
              <w:t>11.00</w:t>
            </w:r>
          </w:p>
        </w:tc>
        <w:tc>
          <w:tcPr>
            <w:tcW w:w="1335" w:type="dxa"/>
          </w:tcPr>
          <w:p>
            <w:pPr>
              <w:pStyle w:val="TableParagraph"/>
              <w:spacing w:line="256" w:lineRule="exact" w:before="2"/>
              <w:ind w:left="57"/>
              <w:rPr>
                <w:sz w:val="24"/>
              </w:rPr>
            </w:pPr>
            <w:r>
              <w:rPr>
                <w:sz w:val="24"/>
              </w:rPr>
              <w:t>Menudeo</w:t>
            </w:r>
          </w:p>
        </w:tc>
        <w:tc>
          <w:tcPr>
            <w:tcW w:w="1393" w:type="dxa"/>
            <w:tcBorders>
              <w:right w:val="single" w:sz="6" w:space="0" w:color="000000"/>
            </w:tcBorders>
          </w:tcPr>
          <w:p>
            <w:pPr>
              <w:pStyle w:val="TableParagraph"/>
              <w:spacing w:line="256" w:lineRule="exact" w:before="2"/>
              <w:ind w:right="-15"/>
              <w:jc w:val="right"/>
              <w:rPr>
                <w:sz w:val="24"/>
              </w:rPr>
            </w:pPr>
            <w:r>
              <w:rPr>
                <w:sz w:val="24"/>
              </w:rPr>
              <w:t>16.00</w:t>
            </w:r>
          </w:p>
        </w:tc>
      </w:tr>
      <w:tr>
        <w:trPr>
          <w:trHeight w:val="275" w:hRule="atLeast"/>
        </w:trPr>
        <w:tc>
          <w:tcPr>
            <w:tcW w:w="3500" w:type="dxa"/>
          </w:tcPr>
          <w:p>
            <w:pPr>
              <w:pStyle w:val="TableParagraph"/>
              <w:spacing w:line="255" w:lineRule="exact"/>
              <w:ind w:left="38"/>
              <w:rPr>
                <w:sz w:val="24"/>
              </w:rPr>
            </w:pPr>
            <w:r>
              <w:rPr>
                <w:sz w:val="24"/>
              </w:rPr>
              <w:t>Pluma de indio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26.00</w:t>
            </w:r>
          </w:p>
        </w:tc>
      </w:tr>
      <w:tr>
        <w:trPr>
          <w:trHeight w:val="275" w:hRule="atLeast"/>
        </w:trPr>
        <w:tc>
          <w:tcPr>
            <w:tcW w:w="3500" w:type="dxa"/>
          </w:tcPr>
          <w:p>
            <w:pPr>
              <w:pStyle w:val="TableParagraph"/>
              <w:spacing w:line="255" w:lineRule="exact"/>
              <w:ind w:left="38"/>
              <w:rPr>
                <w:sz w:val="24"/>
              </w:rPr>
            </w:pPr>
            <w:r>
              <w:rPr>
                <w:sz w:val="24"/>
              </w:rPr>
              <w:t>Rocio</w:t>
            </w:r>
          </w:p>
        </w:tc>
        <w:tc>
          <w:tcPr>
            <w:tcW w:w="1486" w:type="dxa"/>
          </w:tcPr>
          <w:p>
            <w:pPr>
              <w:pStyle w:val="TableParagraph"/>
              <w:spacing w:line="255" w:lineRule="exact"/>
              <w:ind w:left="100"/>
              <w:rPr>
                <w:sz w:val="24"/>
              </w:rPr>
            </w:pPr>
            <w:r>
              <w:rPr>
                <w:sz w:val="24"/>
              </w:rPr>
              <w:t>Mayoreo</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Menudeo</w:t>
            </w:r>
          </w:p>
        </w:tc>
        <w:tc>
          <w:tcPr>
            <w:tcW w:w="1393" w:type="dxa"/>
            <w:tcBorders>
              <w:right w:val="single" w:sz="6" w:space="0" w:color="000000"/>
            </w:tcBorders>
          </w:tcPr>
          <w:p>
            <w:pPr>
              <w:pStyle w:val="TableParagraph"/>
              <w:spacing w:line="255" w:lineRule="exact"/>
              <w:ind w:right="-15"/>
              <w:jc w:val="right"/>
              <w:rPr>
                <w:sz w:val="24"/>
              </w:rPr>
            </w:pPr>
            <w:r>
              <w:rPr>
                <w:sz w:val="24"/>
              </w:rPr>
              <w:t>16.00</w:t>
            </w:r>
          </w:p>
        </w:tc>
      </w:tr>
      <w:tr>
        <w:trPr>
          <w:trHeight w:val="275" w:hRule="atLeast"/>
        </w:trPr>
        <w:tc>
          <w:tcPr>
            <w:tcW w:w="3500" w:type="dxa"/>
          </w:tcPr>
          <w:p>
            <w:pPr>
              <w:pStyle w:val="TableParagraph"/>
              <w:spacing w:line="255" w:lineRule="exact"/>
              <w:ind w:left="38"/>
              <w:rPr>
                <w:sz w:val="24"/>
              </w:rPr>
            </w:pPr>
            <w:r>
              <w:rPr>
                <w:sz w:val="24"/>
              </w:rPr>
              <w:t>Rosa laurel</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21.00</w:t>
            </w:r>
          </w:p>
        </w:tc>
      </w:tr>
      <w:tr>
        <w:trPr>
          <w:trHeight w:val="275" w:hRule="atLeast"/>
        </w:trPr>
        <w:tc>
          <w:tcPr>
            <w:tcW w:w="3500" w:type="dxa"/>
          </w:tcPr>
          <w:p>
            <w:pPr>
              <w:pStyle w:val="TableParagraph"/>
              <w:spacing w:line="255" w:lineRule="exact"/>
              <w:ind w:left="38"/>
              <w:rPr>
                <w:sz w:val="24"/>
              </w:rPr>
            </w:pPr>
            <w:r>
              <w:rPr>
                <w:sz w:val="24"/>
              </w:rPr>
              <w:t>Rosal</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17.00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551" w:hRule="atLeast"/>
        </w:trPr>
        <w:tc>
          <w:tcPr>
            <w:tcW w:w="3500" w:type="dxa"/>
          </w:tcPr>
          <w:p>
            <w:pPr>
              <w:pStyle w:val="TableParagraph"/>
              <w:ind w:left="38"/>
              <w:rPr>
                <w:sz w:val="24"/>
              </w:rPr>
            </w:pPr>
            <w:r>
              <w:rPr>
                <w:sz w:val="24"/>
              </w:rPr>
              <w:t>Sansebiera/oreja</w:t>
            </w:r>
          </w:p>
        </w:tc>
        <w:tc>
          <w:tcPr>
            <w:tcW w:w="1486" w:type="dxa"/>
          </w:tcPr>
          <w:p>
            <w:pPr>
              <w:pStyle w:val="TableParagraph"/>
              <w:ind w:left="105"/>
              <w:rPr>
                <w:sz w:val="24"/>
              </w:rPr>
            </w:pPr>
            <w:r>
              <w:rPr>
                <w:sz w:val="24"/>
              </w:rPr>
              <w:t>40 cm. Alt.</w:t>
            </w:r>
          </w:p>
        </w:tc>
        <w:tc>
          <w:tcPr>
            <w:tcW w:w="1332" w:type="dxa"/>
          </w:tcPr>
          <w:p>
            <w:pPr>
              <w:pStyle w:val="TableParagraph"/>
              <w:ind w:left="148"/>
              <w:rPr>
                <w:sz w:val="24"/>
              </w:rPr>
            </w:pPr>
            <w:r>
              <w:rPr>
                <w:sz w:val="24"/>
              </w:rPr>
              <w:t>17.00</w:t>
            </w:r>
          </w:p>
        </w:tc>
        <w:tc>
          <w:tcPr>
            <w:tcW w:w="1335" w:type="dxa"/>
          </w:tcPr>
          <w:p>
            <w:pPr>
              <w:pStyle w:val="TableParagraph"/>
              <w:spacing w:line="270" w:lineRule="atLeast"/>
              <w:ind w:left="57"/>
              <w:rPr>
                <w:sz w:val="24"/>
              </w:rPr>
            </w:pPr>
            <w:r>
              <w:rPr>
                <w:sz w:val="24"/>
              </w:rPr>
              <w:t>.41 A 1.00 M.</w:t>
            </w:r>
          </w:p>
        </w:tc>
        <w:tc>
          <w:tcPr>
            <w:tcW w:w="1393" w:type="dxa"/>
            <w:tcBorders>
              <w:right w:val="single" w:sz="6" w:space="0" w:color="000000"/>
            </w:tcBorders>
          </w:tcPr>
          <w:p>
            <w:pPr>
              <w:pStyle w:val="TableParagraph"/>
              <w:ind w:right="-15"/>
              <w:jc w:val="right"/>
              <w:rPr>
                <w:sz w:val="24"/>
              </w:rPr>
            </w:pPr>
            <w:r>
              <w:rPr>
                <w:sz w:val="24"/>
              </w:rPr>
              <w:t>21.00</w:t>
            </w:r>
          </w:p>
        </w:tc>
      </w:tr>
      <w:tr>
        <w:trPr>
          <w:trHeight w:val="275" w:hRule="atLeast"/>
        </w:trPr>
        <w:tc>
          <w:tcPr>
            <w:tcW w:w="3500" w:type="dxa"/>
          </w:tcPr>
          <w:p>
            <w:pPr>
              <w:pStyle w:val="TableParagraph"/>
              <w:spacing w:line="255" w:lineRule="exact"/>
              <w:ind w:left="38"/>
              <w:rPr>
                <w:sz w:val="24"/>
              </w:rPr>
            </w:pPr>
            <w:r>
              <w:rPr>
                <w:sz w:val="24"/>
              </w:rPr>
              <w:t>Singonio pata de</w:t>
            </w:r>
          </w:p>
        </w:tc>
        <w:tc>
          <w:tcPr>
            <w:tcW w:w="1486" w:type="dxa"/>
          </w:tcPr>
          <w:p>
            <w:pPr>
              <w:pStyle w:val="TableParagraph"/>
              <w:spacing w:line="255" w:lineRule="exact"/>
              <w:ind w:left="105"/>
              <w:rPr>
                <w:sz w:val="24"/>
              </w:rPr>
            </w:pPr>
            <w:r>
              <w:rPr>
                <w:sz w:val="24"/>
              </w:rPr>
              <w:t>10 cm. Alt.</w:t>
            </w:r>
          </w:p>
        </w:tc>
        <w:tc>
          <w:tcPr>
            <w:tcW w:w="1332" w:type="dxa"/>
          </w:tcPr>
          <w:p>
            <w:pPr>
              <w:pStyle w:val="TableParagraph"/>
              <w:spacing w:line="255" w:lineRule="exact"/>
              <w:ind w:left="148"/>
              <w:rPr>
                <w:sz w:val="24"/>
              </w:rPr>
            </w:pPr>
            <w:r>
              <w:rPr>
                <w:sz w:val="24"/>
              </w:rPr>
              <w:t>11.00</w:t>
            </w:r>
          </w:p>
        </w:tc>
        <w:tc>
          <w:tcPr>
            <w:tcW w:w="1335" w:type="dxa"/>
          </w:tcPr>
          <w:p>
            <w:pPr>
              <w:pStyle w:val="TableParagraph"/>
              <w:spacing w:line="255" w:lineRule="exact"/>
              <w:ind w:left="57"/>
              <w:rPr>
                <w:sz w:val="24"/>
              </w:rPr>
            </w:pPr>
            <w:r>
              <w:rPr>
                <w:sz w:val="24"/>
              </w:rPr>
              <w:t>20 cm..Alt.</w:t>
            </w:r>
          </w:p>
        </w:tc>
        <w:tc>
          <w:tcPr>
            <w:tcW w:w="1393" w:type="dxa"/>
            <w:tcBorders>
              <w:right w:val="single" w:sz="6" w:space="0" w:color="000000"/>
            </w:tcBorders>
          </w:tcPr>
          <w:p>
            <w:pPr>
              <w:pStyle w:val="TableParagraph"/>
              <w:spacing w:line="255" w:lineRule="exact"/>
              <w:ind w:right="-15"/>
              <w:jc w:val="right"/>
              <w:rPr>
                <w:sz w:val="24"/>
              </w:rPr>
            </w:pPr>
            <w:r>
              <w:rPr>
                <w:sz w:val="24"/>
              </w:rPr>
              <w:t>21.00</w:t>
            </w:r>
          </w:p>
        </w:tc>
      </w:tr>
      <w:tr>
        <w:trPr>
          <w:trHeight w:val="278" w:hRule="atLeast"/>
        </w:trPr>
        <w:tc>
          <w:tcPr>
            <w:tcW w:w="3500" w:type="dxa"/>
          </w:tcPr>
          <w:p>
            <w:pPr>
              <w:pStyle w:val="TableParagraph"/>
              <w:spacing w:line="255" w:lineRule="exact" w:before="2"/>
              <w:ind w:left="38"/>
              <w:rPr>
                <w:sz w:val="24"/>
              </w:rPr>
            </w:pPr>
            <w:r>
              <w:rPr>
                <w:sz w:val="24"/>
              </w:rPr>
              <w:t>Sinverguenza/zebrina</w:t>
            </w:r>
          </w:p>
        </w:tc>
        <w:tc>
          <w:tcPr>
            <w:tcW w:w="1486" w:type="dxa"/>
          </w:tcPr>
          <w:p>
            <w:pPr>
              <w:pStyle w:val="TableParagraph"/>
              <w:spacing w:line="255" w:lineRule="exact" w:before="2"/>
              <w:ind w:left="102"/>
              <w:rPr>
                <w:sz w:val="24"/>
              </w:rPr>
            </w:pPr>
            <w:r>
              <w:rPr>
                <w:sz w:val="24"/>
              </w:rPr>
              <w:t>Único</w:t>
            </w:r>
          </w:p>
        </w:tc>
        <w:tc>
          <w:tcPr>
            <w:tcW w:w="1332" w:type="dxa"/>
          </w:tcPr>
          <w:p>
            <w:pPr>
              <w:pStyle w:val="TableParagraph"/>
              <w:spacing w:line="255" w:lineRule="exact" w:before="2"/>
              <w:ind w:left="148"/>
              <w:rPr>
                <w:sz w:val="24"/>
              </w:rPr>
            </w:pPr>
            <w:r>
              <w:rPr>
                <w:sz w:val="24"/>
              </w:rPr>
              <w:t>13.00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Telefono</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17.00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Teresita</w:t>
            </w:r>
          </w:p>
        </w:tc>
        <w:tc>
          <w:tcPr>
            <w:tcW w:w="1486" w:type="dxa"/>
          </w:tcPr>
          <w:p>
            <w:pPr>
              <w:pStyle w:val="TableParagraph"/>
              <w:spacing w:line="255" w:lineRule="exact"/>
              <w:ind w:left="102"/>
              <w:rPr>
                <w:sz w:val="24"/>
              </w:rPr>
            </w:pPr>
            <w:r>
              <w:rPr>
                <w:sz w:val="24"/>
              </w:rPr>
              <w:t>Único</w:t>
            </w:r>
          </w:p>
        </w:tc>
        <w:tc>
          <w:tcPr>
            <w:tcW w:w="1332" w:type="dxa"/>
          </w:tcPr>
          <w:p>
            <w:pPr>
              <w:pStyle w:val="TableParagraph"/>
              <w:spacing w:line="255" w:lineRule="exact"/>
              <w:ind w:left="148"/>
              <w:rPr>
                <w:sz w:val="24"/>
              </w:rPr>
            </w:pPr>
            <w:r>
              <w:rPr>
                <w:sz w:val="24"/>
              </w:rPr>
              <w:t>21.00</w:t>
            </w:r>
          </w:p>
        </w:tc>
        <w:tc>
          <w:tcPr>
            <w:tcW w:w="1335" w:type="dxa"/>
          </w:tcPr>
          <w:p>
            <w:pPr>
              <w:pStyle w:val="TableParagraph"/>
              <w:rPr>
                <w:rFonts w:ascii="Times New Roman"/>
                <w:sz w:val="20"/>
              </w:rPr>
            </w:pP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Warnequi</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22.00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32.00</w:t>
            </w:r>
          </w:p>
        </w:tc>
      </w:tr>
      <w:tr>
        <w:trPr>
          <w:trHeight w:val="551" w:hRule="atLeast"/>
        </w:trPr>
        <w:tc>
          <w:tcPr>
            <w:tcW w:w="3500" w:type="dxa"/>
          </w:tcPr>
          <w:p>
            <w:pPr>
              <w:pStyle w:val="TableParagraph"/>
              <w:rPr>
                <w:sz w:val="24"/>
              </w:rPr>
            </w:pPr>
          </w:p>
          <w:p>
            <w:pPr>
              <w:pStyle w:val="TableParagraph"/>
              <w:spacing w:line="255" w:lineRule="exact"/>
              <w:ind w:left="38"/>
              <w:rPr>
                <w:sz w:val="24"/>
              </w:rPr>
            </w:pPr>
            <w:r>
              <w:rPr>
                <w:sz w:val="24"/>
              </w:rPr>
              <w:t>Amapa</w:t>
            </w:r>
          </w:p>
        </w:tc>
        <w:tc>
          <w:tcPr>
            <w:tcW w:w="1486" w:type="dxa"/>
          </w:tcPr>
          <w:p>
            <w:pPr>
              <w:pStyle w:val="TableParagraph"/>
              <w:rPr>
                <w:sz w:val="24"/>
              </w:rPr>
            </w:pPr>
          </w:p>
          <w:p>
            <w:pPr>
              <w:pStyle w:val="TableParagraph"/>
              <w:spacing w:line="255" w:lineRule="exact"/>
              <w:ind w:left="102"/>
              <w:rPr>
                <w:sz w:val="24"/>
              </w:rPr>
            </w:pPr>
            <w:r>
              <w:rPr>
                <w:sz w:val="24"/>
              </w:rPr>
              <w:t>10-50 cm.</w:t>
            </w:r>
          </w:p>
        </w:tc>
        <w:tc>
          <w:tcPr>
            <w:tcW w:w="1332" w:type="dxa"/>
          </w:tcPr>
          <w:p>
            <w:pPr>
              <w:pStyle w:val="TableParagraph"/>
              <w:rPr>
                <w:sz w:val="24"/>
              </w:rPr>
            </w:pPr>
          </w:p>
          <w:p>
            <w:pPr>
              <w:pStyle w:val="TableParagraph"/>
              <w:spacing w:line="255" w:lineRule="exact"/>
              <w:ind w:left="148"/>
              <w:rPr>
                <w:sz w:val="24"/>
              </w:rPr>
            </w:pPr>
            <w:r>
              <w:rPr>
                <w:sz w:val="24"/>
              </w:rPr>
              <w:t>17.00</w:t>
            </w:r>
          </w:p>
        </w:tc>
        <w:tc>
          <w:tcPr>
            <w:tcW w:w="1335" w:type="dxa"/>
          </w:tcPr>
          <w:p>
            <w:pPr>
              <w:pStyle w:val="TableParagraph"/>
              <w:rPr>
                <w:sz w:val="24"/>
              </w:rPr>
            </w:pPr>
          </w:p>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rPr>
                <w:sz w:val="24"/>
              </w:rPr>
            </w:pPr>
          </w:p>
          <w:p>
            <w:pPr>
              <w:pStyle w:val="TableParagraph"/>
              <w:spacing w:line="255" w:lineRule="exact"/>
              <w:ind w:right="-15"/>
              <w:jc w:val="right"/>
              <w:rPr>
                <w:sz w:val="24"/>
              </w:rPr>
            </w:pPr>
            <w:r>
              <w:rPr>
                <w:sz w:val="24"/>
              </w:rPr>
              <w:t>32.00</w:t>
            </w:r>
          </w:p>
        </w:tc>
      </w:tr>
      <w:tr>
        <w:trPr>
          <w:trHeight w:val="275" w:hRule="atLeast"/>
        </w:trPr>
        <w:tc>
          <w:tcPr>
            <w:tcW w:w="3500" w:type="dxa"/>
          </w:tcPr>
          <w:p>
            <w:pPr>
              <w:pStyle w:val="TableParagraph"/>
              <w:spacing w:line="255" w:lineRule="exact"/>
              <w:ind w:left="38"/>
              <w:rPr>
                <w:sz w:val="24"/>
              </w:rPr>
            </w:pPr>
            <w:r>
              <w:rPr>
                <w:sz w:val="24"/>
              </w:rPr>
              <w:t>Ficus benjamina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33.00</w:t>
            </w:r>
          </w:p>
        </w:tc>
      </w:tr>
      <w:tr>
        <w:trPr>
          <w:trHeight w:val="278" w:hRule="atLeast"/>
        </w:trPr>
        <w:tc>
          <w:tcPr>
            <w:tcW w:w="3500" w:type="dxa"/>
          </w:tcPr>
          <w:p>
            <w:pPr>
              <w:pStyle w:val="TableParagraph"/>
              <w:spacing w:line="255" w:lineRule="exact" w:before="2"/>
              <w:ind w:left="38"/>
              <w:rPr>
                <w:sz w:val="24"/>
              </w:rPr>
            </w:pPr>
            <w:r>
              <w:rPr>
                <w:sz w:val="24"/>
              </w:rPr>
              <w:t>Fresno</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17.00</w:t>
            </w:r>
          </w:p>
        </w:tc>
        <w:tc>
          <w:tcPr>
            <w:tcW w:w="1335" w:type="dxa"/>
          </w:tcPr>
          <w:p>
            <w:pPr>
              <w:pStyle w:val="TableParagraph"/>
              <w:spacing w:line="255" w:lineRule="exact" w:before="2"/>
              <w:ind w:left="57"/>
              <w:rPr>
                <w:sz w:val="24"/>
              </w:rPr>
            </w:pPr>
            <w:r>
              <w:rPr>
                <w:sz w:val="24"/>
              </w:rPr>
              <w:t>51-1.00 M.</w:t>
            </w:r>
          </w:p>
        </w:tc>
        <w:tc>
          <w:tcPr>
            <w:tcW w:w="1393" w:type="dxa"/>
            <w:tcBorders>
              <w:right w:val="single" w:sz="6" w:space="0" w:color="000000"/>
            </w:tcBorders>
          </w:tcPr>
          <w:p>
            <w:pPr>
              <w:pStyle w:val="TableParagraph"/>
              <w:spacing w:line="255" w:lineRule="exact" w:before="2"/>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Huanacaxtle</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Jacaranda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spacing w:line="255" w:lineRule="exact"/>
              <w:ind w:right="-15"/>
              <w:jc w:val="right"/>
              <w:rPr>
                <w:sz w:val="24"/>
              </w:rPr>
            </w:pPr>
            <w:r>
              <w:rPr>
                <w:sz w:val="24"/>
              </w:rPr>
              <w:t>33.00</w:t>
            </w:r>
          </w:p>
        </w:tc>
      </w:tr>
      <w:tr>
        <w:trPr>
          <w:trHeight w:val="275" w:hRule="atLeast"/>
        </w:trPr>
        <w:tc>
          <w:tcPr>
            <w:tcW w:w="3500" w:type="dxa"/>
          </w:tcPr>
          <w:p>
            <w:pPr>
              <w:pStyle w:val="TableParagraph"/>
              <w:spacing w:line="255" w:lineRule="exact"/>
              <w:ind w:left="38"/>
              <w:rPr>
                <w:sz w:val="24"/>
              </w:rPr>
            </w:pPr>
            <w:r>
              <w:rPr>
                <w:sz w:val="24"/>
              </w:rPr>
              <w:t>Lluvia de oro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.51.-1.00M</w:t>
            </w: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Melina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Neem</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rPr>
                <w:rFonts w:ascii="Times New Roman"/>
                <w:sz w:val="20"/>
              </w:rPr>
            </w:pPr>
          </w:p>
        </w:tc>
      </w:tr>
      <w:tr>
        <w:trPr>
          <w:trHeight w:val="275" w:hRule="atLeast"/>
        </w:trPr>
        <w:tc>
          <w:tcPr>
            <w:tcW w:w="3500" w:type="dxa"/>
          </w:tcPr>
          <w:p>
            <w:pPr>
              <w:pStyle w:val="TableParagraph"/>
              <w:spacing w:line="255" w:lineRule="exact"/>
              <w:ind w:left="38"/>
              <w:rPr>
                <w:sz w:val="24"/>
              </w:rPr>
            </w:pPr>
            <w:r>
              <w:rPr>
                <w:sz w:val="24"/>
              </w:rPr>
              <w:t>Primavera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rPr>
                <w:rFonts w:ascii="Times New Roman"/>
                <w:sz w:val="20"/>
              </w:rPr>
            </w:pPr>
          </w:p>
        </w:tc>
      </w:tr>
      <w:tr>
        <w:trPr>
          <w:trHeight w:val="278" w:hRule="atLeast"/>
        </w:trPr>
        <w:tc>
          <w:tcPr>
            <w:tcW w:w="3500" w:type="dxa"/>
          </w:tcPr>
          <w:p>
            <w:pPr>
              <w:pStyle w:val="TableParagraph"/>
              <w:spacing w:line="255" w:lineRule="exact" w:before="2"/>
              <w:ind w:left="38"/>
              <w:rPr>
                <w:sz w:val="24"/>
              </w:rPr>
            </w:pPr>
            <w:r>
              <w:rPr>
                <w:sz w:val="24"/>
              </w:rPr>
              <w:t>Tabachin</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17.00</w:t>
            </w:r>
          </w:p>
        </w:tc>
        <w:tc>
          <w:tcPr>
            <w:tcW w:w="1335" w:type="dxa"/>
          </w:tcPr>
          <w:p>
            <w:pPr>
              <w:pStyle w:val="TableParagraph"/>
              <w:spacing w:line="255" w:lineRule="exact" w:before="2"/>
              <w:ind w:left="57"/>
              <w:rPr>
                <w:sz w:val="24"/>
              </w:rPr>
            </w:pPr>
            <w:r>
              <w:rPr>
                <w:sz w:val="24"/>
              </w:rPr>
              <w:t>51-1.00 M.</w:t>
            </w:r>
          </w:p>
        </w:tc>
        <w:tc>
          <w:tcPr>
            <w:tcW w:w="1393" w:type="dxa"/>
            <w:tcBorders>
              <w:right w:val="single" w:sz="6" w:space="0" w:color="000000"/>
            </w:tcBorders>
          </w:tcPr>
          <w:p>
            <w:pPr>
              <w:pStyle w:val="TableParagraph"/>
              <w:rPr>
                <w:rFonts w:ascii="Times New Roman"/>
                <w:sz w:val="20"/>
              </w:rPr>
            </w:pPr>
          </w:p>
        </w:tc>
      </w:tr>
      <w:tr>
        <w:trPr>
          <w:trHeight w:val="552" w:hRule="atLeast"/>
        </w:trPr>
        <w:tc>
          <w:tcPr>
            <w:tcW w:w="3500" w:type="dxa"/>
          </w:tcPr>
          <w:p>
            <w:pPr>
              <w:pStyle w:val="TableParagraph"/>
              <w:rPr>
                <w:sz w:val="24"/>
              </w:rPr>
            </w:pPr>
          </w:p>
          <w:p>
            <w:pPr>
              <w:pStyle w:val="TableParagraph"/>
              <w:spacing w:line="255" w:lineRule="exact" w:before="1"/>
              <w:ind w:left="38"/>
              <w:rPr>
                <w:sz w:val="24"/>
              </w:rPr>
            </w:pPr>
            <w:r>
              <w:rPr>
                <w:sz w:val="24"/>
              </w:rPr>
              <w:t>Tronadora/camp. amarilla</w:t>
            </w:r>
          </w:p>
        </w:tc>
        <w:tc>
          <w:tcPr>
            <w:tcW w:w="1486" w:type="dxa"/>
          </w:tcPr>
          <w:p>
            <w:pPr>
              <w:pStyle w:val="TableParagraph"/>
              <w:rPr>
                <w:sz w:val="24"/>
              </w:rPr>
            </w:pPr>
          </w:p>
          <w:p>
            <w:pPr>
              <w:pStyle w:val="TableParagraph"/>
              <w:spacing w:line="255" w:lineRule="exact" w:before="1"/>
              <w:ind w:left="102"/>
              <w:rPr>
                <w:sz w:val="24"/>
              </w:rPr>
            </w:pPr>
            <w:r>
              <w:rPr>
                <w:sz w:val="24"/>
              </w:rPr>
              <w:t>10-50 cm.</w:t>
            </w:r>
          </w:p>
        </w:tc>
        <w:tc>
          <w:tcPr>
            <w:tcW w:w="1332" w:type="dxa"/>
          </w:tcPr>
          <w:p>
            <w:pPr>
              <w:pStyle w:val="TableParagraph"/>
              <w:rPr>
                <w:sz w:val="24"/>
              </w:rPr>
            </w:pPr>
          </w:p>
          <w:p>
            <w:pPr>
              <w:pStyle w:val="TableParagraph"/>
              <w:spacing w:line="255" w:lineRule="exact" w:before="1"/>
              <w:ind w:left="148"/>
              <w:rPr>
                <w:sz w:val="24"/>
              </w:rPr>
            </w:pPr>
            <w:r>
              <w:rPr>
                <w:sz w:val="24"/>
              </w:rPr>
              <w:t>17.00</w:t>
            </w:r>
          </w:p>
        </w:tc>
        <w:tc>
          <w:tcPr>
            <w:tcW w:w="1335" w:type="dxa"/>
          </w:tcPr>
          <w:p>
            <w:pPr>
              <w:pStyle w:val="TableParagraph"/>
              <w:rPr>
                <w:sz w:val="24"/>
              </w:rPr>
            </w:pPr>
          </w:p>
          <w:p>
            <w:pPr>
              <w:pStyle w:val="TableParagraph"/>
              <w:spacing w:line="255" w:lineRule="exact" w:before="1"/>
              <w:ind w:left="57"/>
              <w:rPr>
                <w:sz w:val="24"/>
              </w:rPr>
            </w:pPr>
            <w:r>
              <w:rPr>
                <w:sz w:val="24"/>
              </w:rPr>
              <w:t>.51-1.00 M.</w:t>
            </w:r>
          </w:p>
        </w:tc>
        <w:tc>
          <w:tcPr>
            <w:tcW w:w="1393" w:type="dxa"/>
            <w:tcBorders>
              <w:right w:val="single" w:sz="6" w:space="0" w:color="000000"/>
            </w:tcBorders>
          </w:tcPr>
          <w:p>
            <w:pPr>
              <w:pStyle w:val="TableParagraph"/>
              <w:rPr>
                <w:rFonts w:ascii="Times New Roman"/>
                <w:sz w:val="24"/>
              </w:rPr>
            </w:pPr>
          </w:p>
        </w:tc>
      </w:tr>
      <w:tr>
        <w:trPr>
          <w:trHeight w:val="275" w:hRule="atLeast"/>
        </w:trPr>
        <w:tc>
          <w:tcPr>
            <w:tcW w:w="3500" w:type="dxa"/>
          </w:tcPr>
          <w:p>
            <w:pPr>
              <w:pStyle w:val="TableParagraph"/>
              <w:spacing w:line="255" w:lineRule="exact"/>
              <w:ind w:left="38"/>
              <w:rPr>
                <w:sz w:val="24"/>
              </w:rPr>
            </w:pPr>
            <w:r>
              <w:rPr>
                <w:sz w:val="24"/>
              </w:rPr>
              <w:t>Sacarazuchil</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Borders>
              <w:right w:val="single" w:sz="6" w:space="0" w:color="000000"/>
            </w:tcBorders>
          </w:tcPr>
          <w:p>
            <w:pPr>
              <w:pStyle w:val="TableParagraph"/>
              <w:rPr>
                <w:rFonts w:ascii="Times New Roman"/>
                <w:sz w:val="20"/>
              </w:rPr>
            </w:pPr>
          </w:p>
        </w:tc>
      </w:tr>
      <w:tr>
        <w:trPr>
          <w:trHeight w:val="551" w:hRule="atLeast"/>
        </w:trPr>
        <w:tc>
          <w:tcPr>
            <w:tcW w:w="3500" w:type="dxa"/>
          </w:tcPr>
          <w:p>
            <w:pPr>
              <w:pStyle w:val="TableParagraph"/>
              <w:ind w:left="1098"/>
              <w:rPr>
                <w:b/>
                <w:sz w:val="24"/>
              </w:rPr>
            </w:pPr>
            <w:r>
              <w:rPr>
                <w:b/>
                <w:sz w:val="24"/>
              </w:rPr>
              <w:t>Nombre</w:t>
            </w:r>
          </w:p>
        </w:tc>
        <w:tc>
          <w:tcPr>
            <w:tcW w:w="1486" w:type="dxa"/>
          </w:tcPr>
          <w:p>
            <w:pPr>
              <w:pStyle w:val="TableParagraph"/>
              <w:ind w:left="105"/>
              <w:rPr>
                <w:b/>
                <w:sz w:val="24"/>
              </w:rPr>
            </w:pPr>
            <w:r>
              <w:rPr>
                <w:b/>
                <w:sz w:val="24"/>
              </w:rPr>
              <w:t>Tamaño</w:t>
            </w:r>
          </w:p>
        </w:tc>
        <w:tc>
          <w:tcPr>
            <w:tcW w:w="1332" w:type="dxa"/>
          </w:tcPr>
          <w:p>
            <w:pPr>
              <w:pStyle w:val="TableParagraph"/>
              <w:spacing w:line="270" w:lineRule="atLeast"/>
              <w:ind w:left="148" w:right="167"/>
              <w:rPr>
                <w:b/>
                <w:sz w:val="24"/>
              </w:rPr>
            </w:pPr>
            <w:r>
              <w:rPr>
                <w:b/>
                <w:sz w:val="24"/>
              </w:rPr>
              <w:t>Precio Mayoreo</w:t>
            </w:r>
          </w:p>
        </w:tc>
        <w:tc>
          <w:tcPr>
            <w:tcW w:w="1335" w:type="dxa"/>
          </w:tcPr>
          <w:p>
            <w:pPr>
              <w:pStyle w:val="TableParagraph"/>
              <w:ind w:left="57"/>
              <w:rPr>
                <w:b/>
                <w:sz w:val="24"/>
              </w:rPr>
            </w:pPr>
            <w:r>
              <w:rPr>
                <w:b/>
                <w:sz w:val="24"/>
              </w:rPr>
              <w:t>Tamaño</w:t>
            </w:r>
          </w:p>
        </w:tc>
        <w:tc>
          <w:tcPr>
            <w:tcW w:w="1393" w:type="dxa"/>
          </w:tcPr>
          <w:p>
            <w:pPr>
              <w:pStyle w:val="TableParagraph"/>
              <w:spacing w:line="270" w:lineRule="atLeast"/>
              <w:ind w:left="167" w:right="142"/>
              <w:rPr>
                <w:b/>
                <w:sz w:val="24"/>
              </w:rPr>
            </w:pPr>
            <w:r>
              <w:rPr>
                <w:b/>
                <w:sz w:val="24"/>
              </w:rPr>
              <w:t>Precio Menudeo</w:t>
            </w:r>
          </w:p>
        </w:tc>
      </w:tr>
      <w:tr>
        <w:trPr>
          <w:trHeight w:val="275" w:hRule="atLeast"/>
        </w:trPr>
        <w:tc>
          <w:tcPr>
            <w:tcW w:w="3500" w:type="dxa"/>
          </w:tcPr>
          <w:p>
            <w:pPr>
              <w:pStyle w:val="TableParagraph"/>
              <w:spacing w:line="255" w:lineRule="exact"/>
              <w:ind w:left="74"/>
              <w:rPr>
                <w:sz w:val="24"/>
              </w:rPr>
            </w:pPr>
            <w:r>
              <w:rPr>
                <w:sz w:val="24"/>
              </w:rPr>
              <w:t>Naranjo agrio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Pr>
          <w:p>
            <w:pPr>
              <w:pStyle w:val="TableParagraph"/>
              <w:rPr>
                <w:rFonts w:ascii="Times New Roman"/>
                <w:sz w:val="20"/>
              </w:rPr>
            </w:pPr>
          </w:p>
        </w:tc>
      </w:tr>
      <w:tr>
        <w:trPr>
          <w:trHeight w:val="275" w:hRule="atLeast"/>
        </w:trPr>
        <w:tc>
          <w:tcPr>
            <w:tcW w:w="3500" w:type="dxa"/>
          </w:tcPr>
          <w:p>
            <w:pPr>
              <w:pStyle w:val="TableParagraph"/>
              <w:spacing w:line="255" w:lineRule="exact"/>
              <w:ind w:left="74"/>
              <w:rPr>
                <w:sz w:val="24"/>
              </w:rPr>
            </w:pPr>
            <w:r>
              <w:rPr>
                <w:sz w:val="24"/>
              </w:rPr>
              <w:t>Cocus plumoso</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17.00</w:t>
            </w:r>
          </w:p>
        </w:tc>
        <w:tc>
          <w:tcPr>
            <w:tcW w:w="1335" w:type="dxa"/>
          </w:tcPr>
          <w:p>
            <w:pPr>
              <w:pStyle w:val="TableParagraph"/>
              <w:spacing w:line="255" w:lineRule="exact"/>
              <w:ind w:left="57"/>
              <w:rPr>
                <w:sz w:val="24"/>
              </w:rPr>
            </w:pPr>
            <w:r>
              <w:rPr>
                <w:sz w:val="24"/>
              </w:rPr>
              <w:t>51-1.00 M.</w:t>
            </w:r>
          </w:p>
        </w:tc>
        <w:tc>
          <w:tcPr>
            <w:tcW w:w="1393" w:type="dxa"/>
          </w:tcPr>
          <w:p>
            <w:pPr>
              <w:pStyle w:val="TableParagraph"/>
              <w:rPr>
                <w:rFonts w:ascii="Times New Roman"/>
                <w:sz w:val="20"/>
              </w:rPr>
            </w:pPr>
          </w:p>
        </w:tc>
      </w:tr>
      <w:tr>
        <w:trPr>
          <w:trHeight w:val="277" w:hRule="atLeast"/>
        </w:trPr>
        <w:tc>
          <w:tcPr>
            <w:tcW w:w="3500" w:type="dxa"/>
          </w:tcPr>
          <w:p>
            <w:pPr>
              <w:pStyle w:val="TableParagraph"/>
              <w:spacing w:line="255" w:lineRule="exact" w:before="2"/>
              <w:ind w:left="74"/>
              <w:rPr>
                <w:sz w:val="24"/>
              </w:rPr>
            </w:pPr>
            <w:r>
              <w:rPr>
                <w:sz w:val="24"/>
              </w:rPr>
              <w:t>Datilera</w:t>
            </w:r>
          </w:p>
        </w:tc>
        <w:tc>
          <w:tcPr>
            <w:tcW w:w="1486" w:type="dxa"/>
          </w:tcPr>
          <w:p>
            <w:pPr>
              <w:pStyle w:val="TableParagraph"/>
              <w:spacing w:line="255" w:lineRule="exact" w:before="2"/>
              <w:ind w:left="102"/>
              <w:rPr>
                <w:sz w:val="24"/>
              </w:rPr>
            </w:pPr>
            <w:r>
              <w:rPr>
                <w:sz w:val="24"/>
              </w:rPr>
              <w:t>10-50 cm.</w:t>
            </w:r>
          </w:p>
        </w:tc>
        <w:tc>
          <w:tcPr>
            <w:tcW w:w="1332" w:type="dxa"/>
          </w:tcPr>
          <w:p>
            <w:pPr>
              <w:pStyle w:val="TableParagraph"/>
              <w:spacing w:line="255" w:lineRule="exact" w:before="2"/>
              <w:ind w:left="148"/>
              <w:rPr>
                <w:sz w:val="24"/>
              </w:rPr>
            </w:pPr>
            <w:r>
              <w:rPr>
                <w:sz w:val="24"/>
              </w:rPr>
              <w:t>39.00</w:t>
            </w:r>
          </w:p>
        </w:tc>
        <w:tc>
          <w:tcPr>
            <w:tcW w:w="1335" w:type="dxa"/>
          </w:tcPr>
          <w:p>
            <w:pPr>
              <w:pStyle w:val="TableParagraph"/>
              <w:spacing w:line="255" w:lineRule="exact" w:before="2"/>
              <w:ind w:left="57"/>
              <w:rPr>
                <w:sz w:val="24"/>
              </w:rPr>
            </w:pPr>
            <w:r>
              <w:rPr>
                <w:sz w:val="24"/>
              </w:rPr>
              <w:t>.51-1.00 M.</w:t>
            </w:r>
          </w:p>
        </w:tc>
        <w:tc>
          <w:tcPr>
            <w:tcW w:w="1393" w:type="dxa"/>
          </w:tcPr>
          <w:p>
            <w:pPr>
              <w:pStyle w:val="TableParagraph"/>
              <w:spacing w:line="255" w:lineRule="exact" w:before="2"/>
              <w:ind w:right="2"/>
              <w:jc w:val="right"/>
              <w:rPr>
                <w:sz w:val="24"/>
              </w:rPr>
            </w:pPr>
            <w:r>
              <w:rPr>
                <w:sz w:val="24"/>
              </w:rPr>
              <w:t>77.00</w:t>
            </w:r>
          </w:p>
        </w:tc>
      </w:tr>
      <w:tr>
        <w:trPr>
          <w:trHeight w:val="275" w:hRule="atLeast"/>
        </w:trPr>
        <w:tc>
          <w:tcPr>
            <w:tcW w:w="3500" w:type="dxa"/>
          </w:tcPr>
          <w:p>
            <w:pPr>
              <w:pStyle w:val="TableParagraph"/>
              <w:spacing w:line="255" w:lineRule="exact"/>
              <w:ind w:left="74"/>
              <w:rPr>
                <w:sz w:val="24"/>
              </w:rPr>
            </w:pPr>
            <w:r>
              <w:rPr>
                <w:sz w:val="24"/>
              </w:rPr>
              <w:t>Real cubana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39.00</w:t>
            </w:r>
          </w:p>
        </w:tc>
        <w:tc>
          <w:tcPr>
            <w:tcW w:w="1335" w:type="dxa"/>
          </w:tcPr>
          <w:p>
            <w:pPr>
              <w:pStyle w:val="TableParagraph"/>
              <w:spacing w:line="255" w:lineRule="exact"/>
              <w:ind w:left="57"/>
              <w:rPr>
                <w:sz w:val="24"/>
              </w:rPr>
            </w:pPr>
            <w:r>
              <w:rPr>
                <w:sz w:val="24"/>
              </w:rPr>
              <w:t>51-1.00 M.</w:t>
            </w:r>
          </w:p>
        </w:tc>
        <w:tc>
          <w:tcPr>
            <w:tcW w:w="1393" w:type="dxa"/>
          </w:tcPr>
          <w:p>
            <w:pPr>
              <w:pStyle w:val="TableParagraph"/>
              <w:spacing w:line="255" w:lineRule="exact"/>
              <w:ind w:right="2"/>
              <w:jc w:val="right"/>
              <w:rPr>
                <w:sz w:val="24"/>
              </w:rPr>
            </w:pPr>
            <w:r>
              <w:rPr>
                <w:sz w:val="24"/>
              </w:rPr>
              <w:t>77.00</w:t>
            </w:r>
          </w:p>
        </w:tc>
      </w:tr>
      <w:tr>
        <w:trPr>
          <w:trHeight w:val="275" w:hRule="atLeast"/>
        </w:trPr>
        <w:tc>
          <w:tcPr>
            <w:tcW w:w="3500" w:type="dxa"/>
          </w:tcPr>
          <w:p>
            <w:pPr>
              <w:pStyle w:val="TableParagraph"/>
              <w:spacing w:line="255" w:lineRule="exact"/>
              <w:ind w:left="74"/>
              <w:rPr>
                <w:sz w:val="24"/>
              </w:rPr>
            </w:pPr>
            <w:r>
              <w:rPr>
                <w:sz w:val="24"/>
              </w:rPr>
              <w:t>Reina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39.00</w:t>
            </w:r>
          </w:p>
        </w:tc>
        <w:tc>
          <w:tcPr>
            <w:tcW w:w="1335" w:type="dxa"/>
          </w:tcPr>
          <w:p>
            <w:pPr>
              <w:pStyle w:val="TableParagraph"/>
              <w:spacing w:line="255" w:lineRule="exact"/>
              <w:ind w:left="57"/>
              <w:rPr>
                <w:sz w:val="24"/>
              </w:rPr>
            </w:pPr>
            <w:r>
              <w:rPr>
                <w:sz w:val="24"/>
              </w:rPr>
              <w:t>.51-1.00 M.</w:t>
            </w:r>
          </w:p>
        </w:tc>
        <w:tc>
          <w:tcPr>
            <w:tcW w:w="1393" w:type="dxa"/>
          </w:tcPr>
          <w:p>
            <w:pPr>
              <w:pStyle w:val="TableParagraph"/>
              <w:spacing w:line="255" w:lineRule="exact"/>
              <w:ind w:right="2"/>
              <w:jc w:val="right"/>
              <w:rPr>
                <w:sz w:val="24"/>
              </w:rPr>
            </w:pPr>
            <w:r>
              <w:rPr>
                <w:sz w:val="24"/>
              </w:rPr>
              <w:t>77.00</w:t>
            </w:r>
          </w:p>
        </w:tc>
      </w:tr>
      <w:tr>
        <w:trPr>
          <w:trHeight w:val="275" w:hRule="atLeast"/>
        </w:trPr>
        <w:tc>
          <w:tcPr>
            <w:tcW w:w="3500" w:type="dxa"/>
          </w:tcPr>
          <w:p>
            <w:pPr>
              <w:pStyle w:val="TableParagraph"/>
              <w:spacing w:line="255" w:lineRule="exact"/>
              <w:ind w:left="74"/>
              <w:rPr>
                <w:sz w:val="24"/>
              </w:rPr>
            </w:pPr>
            <w:r>
              <w:rPr>
                <w:sz w:val="24"/>
              </w:rPr>
              <w:t>Rubelina</w:t>
            </w:r>
          </w:p>
        </w:tc>
        <w:tc>
          <w:tcPr>
            <w:tcW w:w="1486" w:type="dxa"/>
          </w:tcPr>
          <w:p>
            <w:pPr>
              <w:pStyle w:val="TableParagraph"/>
              <w:spacing w:line="255" w:lineRule="exact"/>
              <w:ind w:left="102"/>
              <w:rPr>
                <w:sz w:val="24"/>
              </w:rPr>
            </w:pPr>
            <w:r>
              <w:rPr>
                <w:sz w:val="24"/>
              </w:rPr>
              <w:t>10-50 cm.</w:t>
            </w:r>
          </w:p>
        </w:tc>
        <w:tc>
          <w:tcPr>
            <w:tcW w:w="1332" w:type="dxa"/>
          </w:tcPr>
          <w:p>
            <w:pPr>
              <w:pStyle w:val="TableParagraph"/>
              <w:spacing w:line="255" w:lineRule="exact"/>
              <w:ind w:left="148"/>
              <w:rPr>
                <w:sz w:val="24"/>
              </w:rPr>
            </w:pPr>
            <w:r>
              <w:rPr>
                <w:sz w:val="24"/>
              </w:rPr>
              <w:t>39.00</w:t>
            </w:r>
          </w:p>
        </w:tc>
        <w:tc>
          <w:tcPr>
            <w:tcW w:w="1335" w:type="dxa"/>
          </w:tcPr>
          <w:p>
            <w:pPr>
              <w:pStyle w:val="TableParagraph"/>
              <w:spacing w:line="255" w:lineRule="exact"/>
              <w:ind w:left="57"/>
              <w:rPr>
                <w:sz w:val="24"/>
              </w:rPr>
            </w:pPr>
            <w:r>
              <w:rPr>
                <w:sz w:val="24"/>
              </w:rPr>
              <w:t>51-1.00 M.</w:t>
            </w:r>
          </w:p>
        </w:tc>
        <w:tc>
          <w:tcPr>
            <w:tcW w:w="1393" w:type="dxa"/>
          </w:tcPr>
          <w:p>
            <w:pPr>
              <w:pStyle w:val="TableParagraph"/>
              <w:spacing w:line="255" w:lineRule="exact"/>
              <w:ind w:right="2"/>
              <w:jc w:val="right"/>
              <w:rPr>
                <w:sz w:val="24"/>
              </w:rPr>
            </w:pPr>
            <w:r>
              <w:rPr>
                <w:sz w:val="24"/>
              </w:rPr>
              <w:t>77.00</w:t>
            </w:r>
          </w:p>
        </w:tc>
      </w:tr>
    </w:tbl>
    <w:p>
      <w:pPr>
        <w:spacing w:after="0" w:line="255" w:lineRule="exact"/>
        <w:jc w:val="right"/>
        <w:rPr>
          <w:sz w:val="24"/>
        </w:rPr>
        <w:sectPr>
          <w:pgSz w:w="12250" w:h="15850"/>
          <w:pgMar w:header="730" w:footer="0" w:top="1000" w:bottom="280" w:left="860" w:right="820"/>
        </w:sectPr>
      </w:pPr>
    </w:p>
    <w:p>
      <w:pPr>
        <w:pStyle w:val="BodyText"/>
        <w:spacing w:before="183"/>
        <w:ind w:left="400"/>
      </w:pPr>
      <w:r>
        <w:rPr/>
        <w:drawing>
          <wp:anchor distT="0" distB="0" distL="0" distR="0" allowOverlap="1" layoutInCell="1" locked="0" behindDoc="1" simplePos="0" relativeHeight="227547136">
            <wp:simplePos x="0" y="0"/>
            <wp:positionH relativeFrom="page">
              <wp:posOffset>1239220</wp:posOffset>
            </wp:positionH>
            <wp:positionV relativeFrom="paragraph">
              <wp:posOffset>1410535</wp:posOffset>
            </wp:positionV>
            <wp:extent cx="5021401" cy="5143500"/>
            <wp:effectExtent l="0" t="0" r="0" b="0"/>
            <wp:wrapNone/>
            <wp:docPr id="155" name="image73.png"/>
            <wp:cNvGraphicFramePr>
              <a:graphicFrameLocks noChangeAspect="1"/>
            </wp:cNvGraphicFramePr>
            <a:graphic>
              <a:graphicData uri="http://schemas.openxmlformats.org/drawingml/2006/picture">
                <pic:pic>
                  <pic:nvPicPr>
                    <pic:cNvPr id="156" name="image73.png"/>
                    <pic:cNvPicPr/>
                  </pic:nvPicPr>
                  <pic:blipFill>
                    <a:blip r:embed="rId83" cstate="print"/>
                    <a:stretch>
                      <a:fillRect/>
                    </a:stretch>
                  </pic:blipFill>
                  <pic:spPr>
                    <a:xfrm>
                      <a:off x="0" y="0"/>
                      <a:ext cx="5021401" cy="5143500"/>
                    </a:xfrm>
                    <a:prstGeom prst="rect">
                      <a:avLst/>
                    </a:prstGeom>
                  </pic:spPr>
                </pic:pic>
              </a:graphicData>
            </a:graphic>
          </wp:anchor>
        </w:drawing>
      </w:r>
      <w:r>
        <w:rPr/>
        <w:t>Plantas, composta y fertilizantes producidas en área natural protegida del parque ecológico</w:t>
      </w:r>
    </w:p>
    <w:p>
      <w:pPr>
        <w:pStyle w:val="BodyText"/>
        <w:rPr>
          <w:sz w:val="20"/>
        </w:rPr>
      </w:pPr>
    </w:p>
    <w:p>
      <w:pPr>
        <w:pStyle w:val="BodyText"/>
        <w:spacing w:before="1"/>
        <w:rPr>
          <w:sz w:val="12"/>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8"/>
        <w:gridCol w:w="2158"/>
        <w:gridCol w:w="1090"/>
        <w:gridCol w:w="1868"/>
        <w:gridCol w:w="1241"/>
      </w:tblGrid>
      <w:tr>
        <w:trPr>
          <w:trHeight w:val="551" w:hRule="atLeast"/>
        </w:trPr>
        <w:tc>
          <w:tcPr>
            <w:tcW w:w="3128" w:type="dxa"/>
          </w:tcPr>
          <w:p>
            <w:pPr>
              <w:pStyle w:val="TableParagraph"/>
              <w:ind w:left="1088" w:right="1083"/>
              <w:jc w:val="center"/>
              <w:rPr>
                <w:b/>
                <w:sz w:val="24"/>
              </w:rPr>
            </w:pPr>
            <w:r>
              <w:rPr>
                <w:b/>
                <w:sz w:val="24"/>
              </w:rPr>
              <w:t>Nombre</w:t>
            </w:r>
          </w:p>
        </w:tc>
        <w:tc>
          <w:tcPr>
            <w:tcW w:w="2158" w:type="dxa"/>
          </w:tcPr>
          <w:p>
            <w:pPr>
              <w:pStyle w:val="TableParagraph"/>
              <w:ind w:left="430" w:right="420"/>
              <w:jc w:val="center"/>
              <w:rPr>
                <w:b/>
                <w:sz w:val="24"/>
              </w:rPr>
            </w:pPr>
            <w:r>
              <w:rPr>
                <w:b/>
                <w:sz w:val="24"/>
              </w:rPr>
              <w:t>Tamaño</w:t>
            </w:r>
          </w:p>
        </w:tc>
        <w:tc>
          <w:tcPr>
            <w:tcW w:w="1090" w:type="dxa"/>
          </w:tcPr>
          <w:p>
            <w:pPr>
              <w:pStyle w:val="TableParagraph"/>
              <w:ind w:left="177"/>
              <w:rPr>
                <w:b/>
                <w:sz w:val="24"/>
              </w:rPr>
            </w:pPr>
            <w:r>
              <w:rPr>
                <w:b/>
                <w:sz w:val="24"/>
              </w:rPr>
              <w:t>Precio</w:t>
            </w:r>
          </w:p>
        </w:tc>
        <w:tc>
          <w:tcPr>
            <w:tcW w:w="1868" w:type="dxa"/>
          </w:tcPr>
          <w:p>
            <w:pPr>
              <w:pStyle w:val="TableParagraph"/>
              <w:ind w:left="218" w:right="211"/>
              <w:jc w:val="center"/>
              <w:rPr>
                <w:b/>
                <w:sz w:val="24"/>
              </w:rPr>
            </w:pPr>
            <w:r>
              <w:rPr>
                <w:b/>
                <w:sz w:val="24"/>
              </w:rPr>
              <w:t>Tamaño</w:t>
            </w:r>
          </w:p>
        </w:tc>
        <w:tc>
          <w:tcPr>
            <w:tcW w:w="1241" w:type="dxa"/>
          </w:tcPr>
          <w:p>
            <w:pPr>
              <w:pStyle w:val="TableParagraph"/>
              <w:ind w:right="95"/>
              <w:jc w:val="right"/>
              <w:rPr>
                <w:b/>
                <w:sz w:val="24"/>
              </w:rPr>
            </w:pPr>
            <w:r>
              <w:rPr>
                <w:b/>
                <w:w w:val="95"/>
                <w:sz w:val="24"/>
              </w:rPr>
              <w:t>Precio</w:t>
            </w:r>
          </w:p>
        </w:tc>
      </w:tr>
      <w:tr>
        <w:trPr>
          <w:trHeight w:val="275" w:hRule="atLeast"/>
        </w:trPr>
        <w:tc>
          <w:tcPr>
            <w:tcW w:w="3128" w:type="dxa"/>
          </w:tcPr>
          <w:p>
            <w:pPr>
              <w:pStyle w:val="TableParagraph"/>
              <w:spacing w:line="255" w:lineRule="exact"/>
              <w:ind w:left="107"/>
              <w:rPr>
                <w:sz w:val="24"/>
              </w:rPr>
            </w:pPr>
            <w:r>
              <w:rPr>
                <w:sz w:val="24"/>
              </w:rPr>
              <w:t>Jacalosúchil</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Cascabel, ayoyote</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Cuastecomate</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Tronadora</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Achiote</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7" w:hRule="atLeast"/>
        </w:trPr>
        <w:tc>
          <w:tcPr>
            <w:tcW w:w="3128" w:type="dxa"/>
          </w:tcPr>
          <w:p>
            <w:pPr>
              <w:pStyle w:val="TableParagraph"/>
              <w:spacing w:line="255" w:lineRule="exact" w:before="2"/>
              <w:ind w:left="107"/>
              <w:rPr>
                <w:sz w:val="24"/>
              </w:rPr>
            </w:pPr>
            <w:r>
              <w:rPr>
                <w:sz w:val="24"/>
              </w:rPr>
              <w:t>Copal</w:t>
            </w:r>
          </w:p>
        </w:tc>
        <w:tc>
          <w:tcPr>
            <w:tcW w:w="2158" w:type="dxa"/>
          </w:tcPr>
          <w:p>
            <w:pPr>
              <w:pStyle w:val="TableParagraph"/>
              <w:spacing w:line="255" w:lineRule="exact" w:before="2"/>
              <w:ind w:left="430" w:right="422"/>
              <w:jc w:val="center"/>
              <w:rPr>
                <w:sz w:val="24"/>
              </w:rPr>
            </w:pPr>
            <w:r>
              <w:rPr>
                <w:sz w:val="24"/>
              </w:rPr>
              <w:t>10 a 50cm</w:t>
            </w:r>
          </w:p>
        </w:tc>
        <w:tc>
          <w:tcPr>
            <w:tcW w:w="1090" w:type="dxa"/>
          </w:tcPr>
          <w:p>
            <w:pPr>
              <w:pStyle w:val="TableParagraph"/>
              <w:spacing w:line="255" w:lineRule="exact" w:before="2"/>
              <w:ind w:left="244"/>
              <w:rPr>
                <w:sz w:val="24"/>
              </w:rPr>
            </w:pPr>
            <w:r>
              <w:rPr>
                <w:sz w:val="24"/>
              </w:rPr>
              <w:t>25.00</w:t>
            </w:r>
          </w:p>
        </w:tc>
        <w:tc>
          <w:tcPr>
            <w:tcW w:w="1868" w:type="dxa"/>
          </w:tcPr>
          <w:p>
            <w:pPr>
              <w:pStyle w:val="TableParagraph"/>
              <w:spacing w:line="255" w:lineRule="exact" w:before="2"/>
              <w:ind w:left="215" w:right="211"/>
              <w:jc w:val="center"/>
              <w:rPr>
                <w:sz w:val="24"/>
              </w:rPr>
            </w:pPr>
            <w:r>
              <w:rPr>
                <w:sz w:val="24"/>
              </w:rPr>
              <w:t>50 a 100cm</w:t>
            </w:r>
          </w:p>
        </w:tc>
        <w:tc>
          <w:tcPr>
            <w:tcW w:w="1241" w:type="dxa"/>
          </w:tcPr>
          <w:p>
            <w:pPr>
              <w:pStyle w:val="TableParagraph"/>
              <w:spacing w:line="255" w:lineRule="exact" w:before="2"/>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Papelillo</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Tepame</w:t>
            </w:r>
          </w:p>
        </w:tc>
        <w:tc>
          <w:tcPr>
            <w:tcW w:w="2158" w:type="dxa"/>
          </w:tcPr>
          <w:p>
            <w:pPr>
              <w:pStyle w:val="TableParagraph"/>
              <w:spacing w:line="255" w:lineRule="exact"/>
              <w:ind w:left="430" w:right="422"/>
              <w:jc w:val="center"/>
              <w:rPr>
                <w:sz w:val="24"/>
              </w:rPr>
            </w:pPr>
            <w:r>
              <w:rPr>
                <w:sz w:val="24"/>
              </w:rPr>
              <w:t>10 a 50cm</w:t>
            </w:r>
          </w:p>
        </w:tc>
        <w:tc>
          <w:tcPr>
            <w:tcW w:w="1090" w:type="dxa"/>
          </w:tcPr>
          <w:p>
            <w:pPr>
              <w:pStyle w:val="TableParagraph"/>
              <w:spacing w:line="255" w:lineRule="exact"/>
              <w:ind w:left="244"/>
              <w:rPr>
                <w:sz w:val="24"/>
              </w:rPr>
            </w:pPr>
            <w:r>
              <w:rPr>
                <w:sz w:val="24"/>
              </w:rPr>
              <w:t>25.00</w:t>
            </w:r>
          </w:p>
        </w:tc>
        <w:tc>
          <w:tcPr>
            <w:tcW w:w="1868" w:type="dxa"/>
          </w:tcPr>
          <w:p>
            <w:pPr>
              <w:pStyle w:val="TableParagraph"/>
              <w:spacing w:line="255" w:lineRule="exact"/>
              <w:ind w:left="215" w:right="211"/>
              <w:jc w:val="center"/>
              <w:rPr>
                <w:sz w:val="24"/>
              </w:rPr>
            </w:pPr>
            <w:r>
              <w:rPr>
                <w:sz w:val="24"/>
              </w:rPr>
              <w:t>50 a 100cm</w:t>
            </w:r>
          </w:p>
        </w:tc>
        <w:tc>
          <w:tcPr>
            <w:tcW w:w="1241" w:type="dxa"/>
          </w:tcPr>
          <w:p>
            <w:pPr>
              <w:pStyle w:val="TableParagraph"/>
              <w:spacing w:line="255" w:lineRule="exact"/>
              <w:ind w:right="96"/>
              <w:jc w:val="right"/>
              <w:rPr>
                <w:sz w:val="24"/>
              </w:rPr>
            </w:pPr>
            <w:r>
              <w:rPr>
                <w:sz w:val="24"/>
              </w:rPr>
              <w:t>50.00</w:t>
            </w:r>
          </w:p>
        </w:tc>
      </w:tr>
      <w:tr>
        <w:trPr>
          <w:trHeight w:val="276" w:hRule="atLeast"/>
        </w:trPr>
        <w:tc>
          <w:tcPr>
            <w:tcW w:w="3128" w:type="dxa"/>
          </w:tcPr>
          <w:p>
            <w:pPr>
              <w:pStyle w:val="TableParagraph"/>
              <w:spacing w:line="255" w:lineRule="exact" w:before="1"/>
              <w:ind w:left="107"/>
              <w:rPr>
                <w:sz w:val="24"/>
              </w:rPr>
            </w:pPr>
            <w:r>
              <w:rPr>
                <w:sz w:val="24"/>
              </w:rPr>
              <w:t>Tabachín de monte</w:t>
            </w:r>
          </w:p>
        </w:tc>
        <w:tc>
          <w:tcPr>
            <w:tcW w:w="2158" w:type="dxa"/>
          </w:tcPr>
          <w:p>
            <w:pPr>
              <w:pStyle w:val="TableParagraph"/>
              <w:spacing w:line="255" w:lineRule="exact" w:before="1"/>
              <w:ind w:left="430" w:right="422"/>
              <w:jc w:val="center"/>
              <w:rPr>
                <w:sz w:val="24"/>
              </w:rPr>
            </w:pPr>
            <w:r>
              <w:rPr>
                <w:sz w:val="24"/>
              </w:rPr>
              <w:t>10 a 50cm</w:t>
            </w:r>
          </w:p>
        </w:tc>
        <w:tc>
          <w:tcPr>
            <w:tcW w:w="1090" w:type="dxa"/>
          </w:tcPr>
          <w:p>
            <w:pPr>
              <w:pStyle w:val="TableParagraph"/>
              <w:spacing w:line="255" w:lineRule="exact" w:before="1"/>
              <w:ind w:left="244"/>
              <w:rPr>
                <w:sz w:val="24"/>
              </w:rPr>
            </w:pPr>
            <w:r>
              <w:rPr>
                <w:sz w:val="24"/>
              </w:rPr>
              <w:t>25.00</w:t>
            </w:r>
          </w:p>
        </w:tc>
        <w:tc>
          <w:tcPr>
            <w:tcW w:w="1868" w:type="dxa"/>
          </w:tcPr>
          <w:p>
            <w:pPr>
              <w:pStyle w:val="TableParagraph"/>
              <w:spacing w:line="255" w:lineRule="exact" w:before="1"/>
              <w:ind w:left="215" w:right="211"/>
              <w:jc w:val="center"/>
              <w:rPr>
                <w:sz w:val="24"/>
              </w:rPr>
            </w:pPr>
            <w:r>
              <w:rPr>
                <w:sz w:val="24"/>
              </w:rPr>
              <w:t>50 a 100cm</w:t>
            </w:r>
          </w:p>
        </w:tc>
        <w:tc>
          <w:tcPr>
            <w:tcW w:w="1241" w:type="dxa"/>
          </w:tcPr>
          <w:p>
            <w:pPr>
              <w:pStyle w:val="TableParagraph"/>
              <w:spacing w:line="255" w:lineRule="exact" w:before="1"/>
              <w:ind w:right="96"/>
              <w:jc w:val="right"/>
              <w:rPr>
                <w:sz w:val="24"/>
              </w:rPr>
            </w:pPr>
            <w:r>
              <w:rPr>
                <w:sz w:val="24"/>
              </w:rPr>
              <w:t>50.00</w:t>
            </w:r>
          </w:p>
        </w:tc>
      </w:tr>
      <w:tr>
        <w:trPr>
          <w:trHeight w:val="275" w:hRule="atLeast"/>
        </w:trPr>
        <w:tc>
          <w:tcPr>
            <w:tcW w:w="3128" w:type="dxa"/>
          </w:tcPr>
          <w:p>
            <w:pPr>
              <w:pStyle w:val="TableParagraph"/>
              <w:spacing w:line="255" w:lineRule="exact"/>
              <w:ind w:left="107"/>
              <w:rPr>
                <w:sz w:val="24"/>
              </w:rPr>
            </w:pPr>
            <w:r>
              <w:rPr>
                <w:sz w:val="24"/>
              </w:rPr>
              <w:t>Ciruelo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Clavellino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7" w:hRule="atLeast"/>
        </w:trPr>
        <w:tc>
          <w:tcPr>
            <w:tcW w:w="3128" w:type="dxa"/>
          </w:tcPr>
          <w:p>
            <w:pPr>
              <w:pStyle w:val="TableParagraph"/>
              <w:spacing w:line="255" w:lineRule="exact" w:before="2"/>
              <w:ind w:left="107"/>
              <w:rPr>
                <w:sz w:val="24"/>
              </w:rPr>
            </w:pPr>
            <w:r>
              <w:rPr>
                <w:sz w:val="24"/>
              </w:rPr>
              <w:t>Papelillo, copal</w:t>
            </w:r>
          </w:p>
        </w:tc>
        <w:tc>
          <w:tcPr>
            <w:tcW w:w="2158" w:type="dxa"/>
          </w:tcPr>
          <w:p>
            <w:pPr>
              <w:pStyle w:val="TableParagraph"/>
              <w:spacing w:line="255" w:lineRule="exact" w:before="2"/>
              <w:ind w:left="430" w:right="422"/>
              <w:jc w:val="center"/>
              <w:rPr>
                <w:sz w:val="24"/>
              </w:rPr>
            </w:pPr>
            <w:r>
              <w:rPr>
                <w:sz w:val="24"/>
              </w:rPr>
              <w:t>50 a 100cm</w:t>
            </w:r>
          </w:p>
        </w:tc>
        <w:tc>
          <w:tcPr>
            <w:tcW w:w="1090" w:type="dxa"/>
          </w:tcPr>
          <w:p>
            <w:pPr>
              <w:pStyle w:val="TableParagraph"/>
              <w:spacing w:line="255" w:lineRule="exact" w:before="2"/>
              <w:ind w:left="244"/>
              <w:rPr>
                <w:sz w:val="24"/>
              </w:rPr>
            </w:pPr>
            <w:r>
              <w:rPr>
                <w:sz w:val="24"/>
              </w:rPr>
              <w:t>50.00</w:t>
            </w:r>
          </w:p>
        </w:tc>
        <w:tc>
          <w:tcPr>
            <w:tcW w:w="1868" w:type="dxa"/>
          </w:tcPr>
          <w:p>
            <w:pPr>
              <w:pStyle w:val="TableParagraph"/>
              <w:spacing w:line="255" w:lineRule="exact" w:before="2"/>
              <w:ind w:left="217" w:right="211"/>
              <w:jc w:val="center"/>
              <w:rPr>
                <w:sz w:val="24"/>
              </w:rPr>
            </w:pPr>
            <w:r>
              <w:rPr>
                <w:sz w:val="24"/>
              </w:rPr>
              <w:t>100 a 200cm</w:t>
            </w:r>
          </w:p>
        </w:tc>
        <w:tc>
          <w:tcPr>
            <w:tcW w:w="1241" w:type="dxa"/>
          </w:tcPr>
          <w:p>
            <w:pPr>
              <w:pStyle w:val="TableParagraph"/>
              <w:spacing w:line="255" w:lineRule="exact" w:before="2"/>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Tepemezquite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Mezquite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Guaje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Magnolia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Nanchi, Nance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8" w:hRule="atLeast"/>
        </w:trPr>
        <w:tc>
          <w:tcPr>
            <w:tcW w:w="3128" w:type="dxa"/>
          </w:tcPr>
          <w:p>
            <w:pPr>
              <w:pStyle w:val="TableParagraph"/>
              <w:spacing w:line="255" w:lineRule="exact" w:before="2"/>
              <w:ind w:left="107"/>
              <w:rPr>
                <w:sz w:val="24"/>
              </w:rPr>
            </w:pPr>
            <w:r>
              <w:rPr>
                <w:sz w:val="24"/>
              </w:rPr>
              <w:t>Camichín</w:t>
            </w:r>
          </w:p>
        </w:tc>
        <w:tc>
          <w:tcPr>
            <w:tcW w:w="2158" w:type="dxa"/>
          </w:tcPr>
          <w:p>
            <w:pPr>
              <w:pStyle w:val="TableParagraph"/>
              <w:spacing w:line="255" w:lineRule="exact" w:before="2"/>
              <w:ind w:left="430" w:right="422"/>
              <w:jc w:val="center"/>
              <w:rPr>
                <w:sz w:val="24"/>
              </w:rPr>
            </w:pPr>
            <w:r>
              <w:rPr>
                <w:sz w:val="24"/>
              </w:rPr>
              <w:t>50 a 100cm</w:t>
            </w:r>
          </w:p>
        </w:tc>
        <w:tc>
          <w:tcPr>
            <w:tcW w:w="1090" w:type="dxa"/>
          </w:tcPr>
          <w:p>
            <w:pPr>
              <w:pStyle w:val="TableParagraph"/>
              <w:spacing w:line="255" w:lineRule="exact" w:before="2"/>
              <w:ind w:left="244"/>
              <w:rPr>
                <w:sz w:val="24"/>
              </w:rPr>
            </w:pPr>
            <w:r>
              <w:rPr>
                <w:sz w:val="24"/>
              </w:rPr>
              <w:t>50.00</w:t>
            </w:r>
          </w:p>
        </w:tc>
        <w:tc>
          <w:tcPr>
            <w:tcW w:w="1868" w:type="dxa"/>
          </w:tcPr>
          <w:p>
            <w:pPr>
              <w:pStyle w:val="TableParagraph"/>
              <w:spacing w:line="255" w:lineRule="exact" w:before="2"/>
              <w:ind w:left="217" w:right="211"/>
              <w:jc w:val="center"/>
              <w:rPr>
                <w:sz w:val="24"/>
              </w:rPr>
            </w:pPr>
            <w:r>
              <w:rPr>
                <w:sz w:val="24"/>
              </w:rPr>
              <w:t>100 a 200cm</w:t>
            </w:r>
          </w:p>
        </w:tc>
        <w:tc>
          <w:tcPr>
            <w:tcW w:w="1241" w:type="dxa"/>
          </w:tcPr>
          <w:p>
            <w:pPr>
              <w:pStyle w:val="TableParagraph"/>
              <w:spacing w:line="255" w:lineRule="exact" w:before="2"/>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Arrayán, guayabillo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Guazima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50.00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80.00</w:t>
            </w:r>
          </w:p>
        </w:tc>
      </w:tr>
      <w:tr>
        <w:trPr>
          <w:trHeight w:val="275" w:hRule="atLeast"/>
        </w:trPr>
        <w:tc>
          <w:tcPr>
            <w:tcW w:w="3128" w:type="dxa"/>
          </w:tcPr>
          <w:p>
            <w:pPr>
              <w:pStyle w:val="TableParagraph"/>
              <w:spacing w:line="255" w:lineRule="exact"/>
              <w:ind w:left="107"/>
              <w:rPr>
                <w:sz w:val="24"/>
              </w:rPr>
            </w:pPr>
            <w:r>
              <w:rPr>
                <w:sz w:val="24"/>
              </w:rPr>
              <w:t>Rosamorada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Primavera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Amapa rosa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Papelillo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7" w:hRule="atLeast"/>
        </w:trPr>
        <w:tc>
          <w:tcPr>
            <w:tcW w:w="3128" w:type="dxa"/>
          </w:tcPr>
          <w:p>
            <w:pPr>
              <w:pStyle w:val="TableParagraph"/>
              <w:spacing w:line="255" w:lineRule="exact" w:before="2"/>
              <w:ind w:left="107"/>
              <w:rPr>
                <w:sz w:val="24"/>
              </w:rPr>
            </w:pPr>
            <w:r>
              <w:rPr>
                <w:sz w:val="24"/>
              </w:rPr>
              <w:t>Rosamaría</w:t>
            </w:r>
          </w:p>
        </w:tc>
        <w:tc>
          <w:tcPr>
            <w:tcW w:w="2158" w:type="dxa"/>
          </w:tcPr>
          <w:p>
            <w:pPr>
              <w:pStyle w:val="TableParagraph"/>
              <w:spacing w:line="255" w:lineRule="exact" w:before="2"/>
              <w:ind w:left="430" w:right="422"/>
              <w:jc w:val="center"/>
              <w:rPr>
                <w:sz w:val="24"/>
              </w:rPr>
            </w:pPr>
            <w:r>
              <w:rPr>
                <w:sz w:val="24"/>
              </w:rPr>
              <w:t>50 a 100cm</w:t>
            </w:r>
          </w:p>
        </w:tc>
        <w:tc>
          <w:tcPr>
            <w:tcW w:w="1090" w:type="dxa"/>
          </w:tcPr>
          <w:p>
            <w:pPr>
              <w:pStyle w:val="TableParagraph"/>
              <w:spacing w:line="255" w:lineRule="exact" w:before="2"/>
              <w:ind w:left="244"/>
              <w:rPr>
                <w:sz w:val="24"/>
              </w:rPr>
            </w:pPr>
            <w:r>
              <w:rPr>
                <w:sz w:val="24"/>
              </w:rPr>
              <w:t>75.00</w:t>
            </w:r>
          </w:p>
        </w:tc>
        <w:tc>
          <w:tcPr>
            <w:tcW w:w="1868" w:type="dxa"/>
          </w:tcPr>
          <w:p>
            <w:pPr>
              <w:pStyle w:val="TableParagraph"/>
              <w:spacing w:line="255" w:lineRule="exact" w:before="2"/>
              <w:ind w:left="217" w:right="211"/>
              <w:jc w:val="center"/>
              <w:rPr>
                <w:sz w:val="24"/>
              </w:rPr>
            </w:pPr>
            <w:r>
              <w:rPr>
                <w:sz w:val="24"/>
              </w:rPr>
              <w:t>100 a 200cm</w:t>
            </w:r>
          </w:p>
        </w:tc>
        <w:tc>
          <w:tcPr>
            <w:tcW w:w="1241" w:type="dxa"/>
          </w:tcPr>
          <w:p>
            <w:pPr>
              <w:pStyle w:val="TableParagraph"/>
              <w:spacing w:line="255" w:lineRule="exact" w:before="2"/>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Parota, huanacastle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Guamuchil</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8" w:right="210"/>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Guapinol</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Pochote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Ceiba</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8" w:hRule="atLeast"/>
        </w:trPr>
        <w:tc>
          <w:tcPr>
            <w:tcW w:w="3128" w:type="dxa"/>
          </w:tcPr>
          <w:p>
            <w:pPr>
              <w:pStyle w:val="TableParagraph"/>
              <w:spacing w:line="255" w:lineRule="exact" w:before="2"/>
              <w:ind w:left="107"/>
              <w:rPr>
                <w:sz w:val="24"/>
              </w:rPr>
            </w:pPr>
            <w:r>
              <w:rPr>
                <w:sz w:val="24"/>
              </w:rPr>
              <w:t>Cedro</w:t>
            </w:r>
          </w:p>
        </w:tc>
        <w:tc>
          <w:tcPr>
            <w:tcW w:w="2158" w:type="dxa"/>
          </w:tcPr>
          <w:p>
            <w:pPr>
              <w:pStyle w:val="TableParagraph"/>
              <w:spacing w:line="255" w:lineRule="exact" w:before="2"/>
              <w:ind w:left="430" w:right="422"/>
              <w:jc w:val="center"/>
              <w:rPr>
                <w:sz w:val="24"/>
              </w:rPr>
            </w:pPr>
            <w:r>
              <w:rPr>
                <w:sz w:val="24"/>
              </w:rPr>
              <w:t>50 a 100cm</w:t>
            </w:r>
          </w:p>
        </w:tc>
        <w:tc>
          <w:tcPr>
            <w:tcW w:w="1090" w:type="dxa"/>
          </w:tcPr>
          <w:p>
            <w:pPr>
              <w:pStyle w:val="TableParagraph"/>
              <w:spacing w:line="255" w:lineRule="exact" w:before="2"/>
              <w:ind w:left="244"/>
              <w:rPr>
                <w:sz w:val="24"/>
              </w:rPr>
            </w:pPr>
            <w:r>
              <w:rPr>
                <w:sz w:val="24"/>
              </w:rPr>
              <w:t>75.00</w:t>
            </w:r>
          </w:p>
        </w:tc>
        <w:tc>
          <w:tcPr>
            <w:tcW w:w="1868" w:type="dxa"/>
          </w:tcPr>
          <w:p>
            <w:pPr>
              <w:pStyle w:val="TableParagraph"/>
              <w:spacing w:line="255" w:lineRule="exact" w:before="2"/>
              <w:ind w:left="217" w:right="211"/>
              <w:jc w:val="center"/>
              <w:rPr>
                <w:sz w:val="24"/>
              </w:rPr>
            </w:pPr>
            <w:r>
              <w:rPr>
                <w:sz w:val="24"/>
              </w:rPr>
              <w:t>100 a 200cm</w:t>
            </w:r>
          </w:p>
        </w:tc>
        <w:tc>
          <w:tcPr>
            <w:tcW w:w="1241" w:type="dxa"/>
          </w:tcPr>
          <w:p>
            <w:pPr>
              <w:pStyle w:val="TableParagraph"/>
              <w:spacing w:line="255" w:lineRule="exact" w:before="2"/>
              <w:ind w:right="96"/>
              <w:jc w:val="right"/>
              <w:rPr>
                <w:sz w:val="24"/>
              </w:rPr>
            </w:pPr>
            <w:r>
              <w:rPr>
                <w:sz w:val="24"/>
              </w:rPr>
              <w:t>100.00</w:t>
            </w:r>
          </w:p>
        </w:tc>
      </w:tr>
      <w:tr>
        <w:trPr>
          <w:trHeight w:val="276" w:hRule="atLeast"/>
        </w:trPr>
        <w:tc>
          <w:tcPr>
            <w:tcW w:w="3128" w:type="dxa"/>
          </w:tcPr>
          <w:p>
            <w:pPr>
              <w:pStyle w:val="TableParagraph"/>
              <w:spacing w:line="255" w:lineRule="exact" w:before="1"/>
              <w:ind w:left="107"/>
              <w:rPr>
                <w:sz w:val="24"/>
              </w:rPr>
            </w:pPr>
            <w:r>
              <w:rPr>
                <w:sz w:val="24"/>
              </w:rPr>
              <w:t>Caoba</w:t>
            </w:r>
          </w:p>
        </w:tc>
        <w:tc>
          <w:tcPr>
            <w:tcW w:w="2158" w:type="dxa"/>
          </w:tcPr>
          <w:p>
            <w:pPr>
              <w:pStyle w:val="TableParagraph"/>
              <w:spacing w:line="255" w:lineRule="exact" w:before="1"/>
              <w:ind w:left="430" w:right="422"/>
              <w:jc w:val="center"/>
              <w:rPr>
                <w:sz w:val="24"/>
              </w:rPr>
            </w:pPr>
            <w:r>
              <w:rPr>
                <w:sz w:val="24"/>
              </w:rPr>
              <w:t>50 a 100cm</w:t>
            </w:r>
          </w:p>
        </w:tc>
        <w:tc>
          <w:tcPr>
            <w:tcW w:w="1090" w:type="dxa"/>
          </w:tcPr>
          <w:p>
            <w:pPr>
              <w:pStyle w:val="TableParagraph"/>
              <w:spacing w:line="255" w:lineRule="exact" w:before="1"/>
              <w:ind w:left="244"/>
              <w:rPr>
                <w:sz w:val="24"/>
              </w:rPr>
            </w:pPr>
            <w:r>
              <w:rPr>
                <w:sz w:val="24"/>
              </w:rPr>
              <w:t>75.00</w:t>
            </w:r>
          </w:p>
        </w:tc>
        <w:tc>
          <w:tcPr>
            <w:tcW w:w="1868" w:type="dxa"/>
          </w:tcPr>
          <w:p>
            <w:pPr>
              <w:pStyle w:val="TableParagraph"/>
              <w:spacing w:line="255" w:lineRule="exact" w:before="1"/>
              <w:ind w:left="217" w:right="211"/>
              <w:jc w:val="center"/>
              <w:rPr>
                <w:sz w:val="24"/>
              </w:rPr>
            </w:pPr>
            <w:r>
              <w:rPr>
                <w:sz w:val="24"/>
              </w:rPr>
              <w:t>100 a 200cm</w:t>
            </w:r>
          </w:p>
        </w:tc>
        <w:tc>
          <w:tcPr>
            <w:tcW w:w="1241" w:type="dxa"/>
          </w:tcPr>
          <w:p>
            <w:pPr>
              <w:pStyle w:val="TableParagraph"/>
              <w:spacing w:line="255" w:lineRule="exact" w:before="1"/>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Higueras</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Capomo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Fresno</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Sauce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Tempisque</w:t>
            </w:r>
          </w:p>
        </w:tc>
        <w:tc>
          <w:tcPr>
            <w:tcW w:w="2158" w:type="dxa"/>
          </w:tcPr>
          <w:p>
            <w:pPr>
              <w:pStyle w:val="TableParagraph"/>
              <w:spacing w:line="255" w:lineRule="exact"/>
              <w:ind w:left="430" w:right="422"/>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8" w:hRule="atLeast"/>
        </w:trPr>
        <w:tc>
          <w:tcPr>
            <w:tcW w:w="3128" w:type="dxa"/>
          </w:tcPr>
          <w:p>
            <w:pPr>
              <w:pStyle w:val="TableParagraph"/>
              <w:spacing w:line="255" w:lineRule="exact" w:before="2"/>
              <w:ind w:left="107"/>
              <w:rPr>
                <w:sz w:val="24"/>
              </w:rPr>
            </w:pPr>
            <w:r>
              <w:rPr>
                <w:sz w:val="24"/>
              </w:rPr>
              <w:t>Mamey</w:t>
            </w:r>
          </w:p>
        </w:tc>
        <w:tc>
          <w:tcPr>
            <w:tcW w:w="2158" w:type="dxa"/>
          </w:tcPr>
          <w:p>
            <w:pPr>
              <w:pStyle w:val="TableParagraph"/>
              <w:spacing w:line="255" w:lineRule="exact" w:before="2"/>
              <w:ind w:left="430" w:right="422"/>
              <w:jc w:val="center"/>
              <w:rPr>
                <w:sz w:val="24"/>
              </w:rPr>
            </w:pPr>
            <w:r>
              <w:rPr>
                <w:sz w:val="24"/>
              </w:rPr>
              <w:t>50 a 100cm</w:t>
            </w:r>
          </w:p>
        </w:tc>
        <w:tc>
          <w:tcPr>
            <w:tcW w:w="1090" w:type="dxa"/>
          </w:tcPr>
          <w:p>
            <w:pPr>
              <w:pStyle w:val="TableParagraph"/>
              <w:spacing w:line="255" w:lineRule="exact" w:before="2"/>
              <w:ind w:left="244"/>
              <w:rPr>
                <w:sz w:val="24"/>
              </w:rPr>
            </w:pPr>
            <w:r>
              <w:rPr>
                <w:sz w:val="24"/>
              </w:rPr>
              <w:t>75.00</w:t>
            </w:r>
          </w:p>
        </w:tc>
        <w:tc>
          <w:tcPr>
            <w:tcW w:w="1868" w:type="dxa"/>
          </w:tcPr>
          <w:p>
            <w:pPr>
              <w:pStyle w:val="TableParagraph"/>
              <w:spacing w:line="255" w:lineRule="exact" w:before="2"/>
              <w:ind w:left="217" w:right="211"/>
              <w:jc w:val="center"/>
              <w:rPr>
                <w:sz w:val="24"/>
              </w:rPr>
            </w:pPr>
            <w:r>
              <w:rPr>
                <w:sz w:val="24"/>
              </w:rPr>
              <w:t>100 a 200cm</w:t>
            </w:r>
          </w:p>
        </w:tc>
        <w:tc>
          <w:tcPr>
            <w:tcW w:w="1241" w:type="dxa"/>
          </w:tcPr>
          <w:p>
            <w:pPr>
              <w:pStyle w:val="TableParagraph"/>
              <w:spacing w:line="255" w:lineRule="exact" w:before="2"/>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Sabino</w:t>
            </w:r>
          </w:p>
        </w:tc>
        <w:tc>
          <w:tcPr>
            <w:tcW w:w="2158" w:type="dxa"/>
          </w:tcPr>
          <w:p>
            <w:pPr>
              <w:pStyle w:val="TableParagraph"/>
              <w:spacing w:line="255" w:lineRule="exact"/>
              <w:ind w:left="430" w:right="421"/>
              <w:jc w:val="center"/>
              <w:rPr>
                <w:sz w:val="24"/>
              </w:rPr>
            </w:pPr>
            <w:r>
              <w:rPr>
                <w:sz w:val="24"/>
              </w:rPr>
              <w:t>50 a 100cm</w:t>
            </w:r>
          </w:p>
        </w:tc>
        <w:tc>
          <w:tcPr>
            <w:tcW w:w="1090" w:type="dxa"/>
          </w:tcPr>
          <w:p>
            <w:pPr>
              <w:pStyle w:val="TableParagraph"/>
              <w:spacing w:line="255" w:lineRule="exact"/>
              <w:ind w:left="244"/>
              <w:rPr>
                <w:sz w:val="24"/>
              </w:rPr>
            </w:pPr>
            <w:r>
              <w:rPr>
                <w:sz w:val="24"/>
              </w:rPr>
              <w:t>75.00</w:t>
            </w:r>
          </w:p>
        </w:tc>
        <w:tc>
          <w:tcPr>
            <w:tcW w:w="1868" w:type="dxa"/>
          </w:tcPr>
          <w:p>
            <w:pPr>
              <w:pStyle w:val="TableParagraph"/>
              <w:spacing w:line="255" w:lineRule="exact"/>
              <w:ind w:left="217" w:right="211"/>
              <w:jc w:val="center"/>
              <w:rPr>
                <w:sz w:val="24"/>
              </w:rPr>
            </w:pPr>
            <w:r>
              <w:rPr>
                <w:sz w:val="24"/>
              </w:rPr>
              <w:t>100 a 200cm</w:t>
            </w:r>
          </w:p>
        </w:tc>
        <w:tc>
          <w:tcPr>
            <w:tcW w:w="1241" w:type="dxa"/>
          </w:tcPr>
          <w:p>
            <w:pPr>
              <w:pStyle w:val="TableParagraph"/>
              <w:spacing w:line="255" w:lineRule="exact"/>
              <w:ind w:right="96"/>
              <w:jc w:val="right"/>
              <w:rPr>
                <w:sz w:val="24"/>
              </w:rPr>
            </w:pPr>
            <w:r>
              <w:rPr>
                <w:sz w:val="24"/>
              </w:rPr>
              <w:t>100.00</w:t>
            </w:r>
          </w:p>
        </w:tc>
      </w:tr>
      <w:tr>
        <w:trPr>
          <w:trHeight w:val="275" w:hRule="atLeast"/>
        </w:trPr>
        <w:tc>
          <w:tcPr>
            <w:tcW w:w="3128" w:type="dxa"/>
          </w:tcPr>
          <w:p>
            <w:pPr>
              <w:pStyle w:val="TableParagraph"/>
              <w:spacing w:line="255" w:lineRule="exact"/>
              <w:ind w:left="107"/>
              <w:rPr>
                <w:sz w:val="24"/>
              </w:rPr>
            </w:pPr>
            <w:r>
              <w:rPr>
                <w:sz w:val="24"/>
              </w:rPr>
              <w:t>Composta</w:t>
            </w:r>
          </w:p>
        </w:tc>
        <w:tc>
          <w:tcPr>
            <w:tcW w:w="2158" w:type="dxa"/>
          </w:tcPr>
          <w:p>
            <w:pPr>
              <w:pStyle w:val="TableParagraph"/>
              <w:spacing w:line="255" w:lineRule="exact"/>
              <w:ind w:left="428" w:right="422"/>
              <w:jc w:val="center"/>
              <w:rPr>
                <w:sz w:val="24"/>
              </w:rPr>
            </w:pPr>
            <w:r>
              <w:rPr>
                <w:sz w:val="24"/>
              </w:rPr>
              <w:t>1.00kg</w:t>
            </w:r>
          </w:p>
        </w:tc>
        <w:tc>
          <w:tcPr>
            <w:tcW w:w="1090" w:type="dxa"/>
          </w:tcPr>
          <w:p>
            <w:pPr>
              <w:pStyle w:val="TableParagraph"/>
              <w:spacing w:line="255" w:lineRule="exact"/>
              <w:ind w:left="244"/>
              <w:rPr>
                <w:sz w:val="24"/>
              </w:rPr>
            </w:pPr>
            <w:r>
              <w:rPr>
                <w:sz w:val="24"/>
              </w:rPr>
              <w:t>20.00</w:t>
            </w:r>
          </w:p>
        </w:tc>
        <w:tc>
          <w:tcPr>
            <w:tcW w:w="1868" w:type="dxa"/>
          </w:tcPr>
          <w:p>
            <w:pPr>
              <w:pStyle w:val="TableParagraph"/>
              <w:rPr>
                <w:rFonts w:ascii="Times New Roman"/>
                <w:sz w:val="20"/>
              </w:rPr>
            </w:pPr>
          </w:p>
        </w:tc>
        <w:tc>
          <w:tcPr>
            <w:tcW w:w="1241" w:type="dxa"/>
          </w:tcPr>
          <w:p>
            <w:pPr>
              <w:pStyle w:val="TableParagraph"/>
              <w:rPr>
                <w:rFonts w:ascii="Times New Roman"/>
                <w:sz w:val="20"/>
              </w:rPr>
            </w:pPr>
          </w:p>
        </w:tc>
      </w:tr>
      <w:tr>
        <w:trPr>
          <w:trHeight w:val="275" w:hRule="atLeast"/>
        </w:trPr>
        <w:tc>
          <w:tcPr>
            <w:tcW w:w="3128" w:type="dxa"/>
          </w:tcPr>
          <w:p>
            <w:pPr>
              <w:pStyle w:val="TableParagraph"/>
              <w:spacing w:line="255" w:lineRule="exact"/>
              <w:ind w:left="107"/>
              <w:rPr>
                <w:sz w:val="24"/>
              </w:rPr>
            </w:pPr>
            <w:r>
              <w:rPr>
                <w:sz w:val="24"/>
              </w:rPr>
              <w:t>Lombricomposta</w:t>
            </w:r>
          </w:p>
        </w:tc>
        <w:tc>
          <w:tcPr>
            <w:tcW w:w="2158" w:type="dxa"/>
          </w:tcPr>
          <w:p>
            <w:pPr>
              <w:pStyle w:val="TableParagraph"/>
              <w:spacing w:line="255" w:lineRule="exact"/>
              <w:ind w:left="428" w:right="422"/>
              <w:jc w:val="center"/>
              <w:rPr>
                <w:sz w:val="24"/>
              </w:rPr>
            </w:pPr>
            <w:r>
              <w:rPr>
                <w:sz w:val="24"/>
              </w:rPr>
              <w:t>1.00kg</w:t>
            </w:r>
          </w:p>
        </w:tc>
        <w:tc>
          <w:tcPr>
            <w:tcW w:w="1090" w:type="dxa"/>
          </w:tcPr>
          <w:p>
            <w:pPr>
              <w:pStyle w:val="TableParagraph"/>
              <w:spacing w:line="255" w:lineRule="exact"/>
              <w:ind w:left="244"/>
              <w:rPr>
                <w:sz w:val="24"/>
              </w:rPr>
            </w:pPr>
            <w:r>
              <w:rPr>
                <w:sz w:val="24"/>
              </w:rPr>
              <w:t>30.00</w:t>
            </w:r>
          </w:p>
        </w:tc>
        <w:tc>
          <w:tcPr>
            <w:tcW w:w="1868" w:type="dxa"/>
          </w:tcPr>
          <w:p>
            <w:pPr>
              <w:pStyle w:val="TableParagraph"/>
              <w:rPr>
                <w:rFonts w:ascii="Times New Roman"/>
                <w:sz w:val="20"/>
              </w:rPr>
            </w:pPr>
          </w:p>
        </w:tc>
        <w:tc>
          <w:tcPr>
            <w:tcW w:w="1241" w:type="dxa"/>
          </w:tcPr>
          <w:p>
            <w:pPr>
              <w:pStyle w:val="TableParagraph"/>
              <w:rPr>
                <w:rFonts w:ascii="Times New Roman"/>
                <w:sz w:val="20"/>
              </w:rPr>
            </w:pPr>
          </w:p>
        </w:tc>
      </w:tr>
      <w:tr>
        <w:trPr>
          <w:trHeight w:val="552" w:hRule="atLeast"/>
        </w:trPr>
        <w:tc>
          <w:tcPr>
            <w:tcW w:w="3128" w:type="dxa"/>
          </w:tcPr>
          <w:p>
            <w:pPr>
              <w:pStyle w:val="TableParagraph"/>
              <w:spacing w:line="270" w:lineRule="atLeast"/>
              <w:ind w:left="107" w:right="242"/>
              <w:rPr>
                <w:sz w:val="24"/>
              </w:rPr>
            </w:pPr>
            <w:r>
              <w:rPr>
                <w:w w:val="95"/>
                <w:sz w:val="24"/>
              </w:rPr>
              <w:t>LixiviadodeLombricompost </w:t>
            </w:r>
            <w:r>
              <w:rPr>
                <w:sz w:val="24"/>
              </w:rPr>
              <w:t>a</w:t>
            </w:r>
          </w:p>
        </w:tc>
        <w:tc>
          <w:tcPr>
            <w:tcW w:w="2158" w:type="dxa"/>
          </w:tcPr>
          <w:p>
            <w:pPr>
              <w:pStyle w:val="TableParagraph"/>
              <w:ind w:left="429" w:right="422"/>
              <w:jc w:val="center"/>
              <w:rPr>
                <w:sz w:val="24"/>
              </w:rPr>
            </w:pPr>
            <w:r>
              <w:rPr>
                <w:sz w:val="24"/>
              </w:rPr>
              <w:t>1.00Lt</w:t>
            </w:r>
          </w:p>
        </w:tc>
        <w:tc>
          <w:tcPr>
            <w:tcW w:w="1090" w:type="dxa"/>
          </w:tcPr>
          <w:p>
            <w:pPr>
              <w:pStyle w:val="TableParagraph"/>
              <w:ind w:left="244"/>
              <w:rPr>
                <w:sz w:val="24"/>
              </w:rPr>
            </w:pPr>
            <w:r>
              <w:rPr>
                <w:sz w:val="24"/>
              </w:rPr>
              <w:t>50.00</w:t>
            </w:r>
          </w:p>
        </w:tc>
        <w:tc>
          <w:tcPr>
            <w:tcW w:w="1868" w:type="dxa"/>
          </w:tcPr>
          <w:p>
            <w:pPr>
              <w:pStyle w:val="TableParagraph"/>
              <w:rPr>
                <w:rFonts w:ascii="Times New Roman"/>
                <w:sz w:val="24"/>
              </w:rPr>
            </w:pPr>
          </w:p>
        </w:tc>
        <w:tc>
          <w:tcPr>
            <w:tcW w:w="1241" w:type="dxa"/>
          </w:tcPr>
          <w:p>
            <w:pPr>
              <w:pStyle w:val="TableParagraph"/>
              <w:rPr>
                <w:rFonts w:ascii="Times New Roman"/>
                <w:sz w:val="24"/>
              </w:rPr>
            </w:pPr>
          </w:p>
        </w:tc>
      </w:tr>
    </w:tbl>
    <w:p>
      <w:pPr>
        <w:spacing w:after="0"/>
        <w:rPr>
          <w:rFonts w:ascii="Times New Roman"/>
          <w:sz w:val="24"/>
        </w:rPr>
        <w:sectPr>
          <w:pgSz w:w="12250" w:h="15850"/>
          <w:pgMar w:header="730" w:footer="0" w:top="1000" w:bottom="280" w:left="860" w:right="820"/>
        </w:sectPr>
      </w:pPr>
    </w:p>
    <w:p>
      <w:pPr>
        <w:pStyle w:val="BodyText"/>
        <w:spacing w:before="1"/>
        <w:rPr>
          <w:sz w:val="17"/>
        </w:rPr>
      </w:pPr>
    </w:p>
    <w:tbl>
      <w:tblPr>
        <w:tblW w:w="0" w:type="auto"/>
        <w:jc w:val="left"/>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8"/>
        <w:gridCol w:w="2158"/>
        <w:gridCol w:w="1090"/>
        <w:gridCol w:w="1868"/>
        <w:gridCol w:w="1241"/>
      </w:tblGrid>
      <w:tr>
        <w:trPr>
          <w:trHeight w:val="551" w:hRule="atLeast"/>
        </w:trPr>
        <w:tc>
          <w:tcPr>
            <w:tcW w:w="3128" w:type="dxa"/>
          </w:tcPr>
          <w:p>
            <w:pPr>
              <w:pStyle w:val="TableParagraph"/>
              <w:ind w:left="1088" w:right="1083"/>
              <w:jc w:val="center"/>
              <w:rPr>
                <w:b/>
                <w:sz w:val="24"/>
              </w:rPr>
            </w:pPr>
            <w:r>
              <w:rPr>
                <w:b/>
                <w:sz w:val="24"/>
              </w:rPr>
              <w:t>Nombre</w:t>
            </w:r>
          </w:p>
        </w:tc>
        <w:tc>
          <w:tcPr>
            <w:tcW w:w="2158" w:type="dxa"/>
          </w:tcPr>
          <w:p>
            <w:pPr>
              <w:pStyle w:val="TableParagraph"/>
              <w:ind w:left="430" w:right="420"/>
              <w:jc w:val="center"/>
              <w:rPr>
                <w:b/>
                <w:sz w:val="24"/>
              </w:rPr>
            </w:pPr>
            <w:r>
              <w:rPr>
                <w:b/>
                <w:sz w:val="24"/>
              </w:rPr>
              <w:t>Tamaño</w:t>
            </w:r>
          </w:p>
        </w:tc>
        <w:tc>
          <w:tcPr>
            <w:tcW w:w="1090" w:type="dxa"/>
          </w:tcPr>
          <w:p>
            <w:pPr>
              <w:pStyle w:val="TableParagraph"/>
              <w:ind w:left="177"/>
              <w:rPr>
                <w:b/>
                <w:sz w:val="24"/>
              </w:rPr>
            </w:pPr>
            <w:r>
              <w:rPr>
                <w:b/>
                <w:sz w:val="24"/>
              </w:rPr>
              <w:t>Precio</w:t>
            </w:r>
          </w:p>
        </w:tc>
        <w:tc>
          <w:tcPr>
            <w:tcW w:w="1868" w:type="dxa"/>
          </w:tcPr>
          <w:p>
            <w:pPr>
              <w:pStyle w:val="TableParagraph"/>
              <w:ind w:left="471"/>
              <w:rPr>
                <w:b/>
                <w:sz w:val="24"/>
              </w:rPr>
            </w:pPr>
            <w:r>
              <w:rPr>
                <w:b/>
                <w:sz w:val="24"/>
              </w:rPr>
              <w:t>Tamaño</w:t>
            </w:r>
          </w:p>
        </w:tc>
        <w:tc>
          <w:tcPr>
            <w:tcW w:w="1241" w:type="dxa"/>
          </w:tcPr>
          <w:p>
            <w:pPr>
              <w:pStyle w:val="TableParagraph"/>
              <w:ind w:left="397"/>
              <w:rPr>
                <w:b/>
                <w:sz w:val="24"/>
              </w:rPr>
            </w:pPr>
            <w:r>
              <w:rPr>
                <w:b/>
                <w:sz w:val="24"/>
              </w:rPr>
              <w:t>Precio</w:t>
            </w:r>
          </w:p>
        </w:tc>
      </w:tr>
      <w:tr>
        <w:trPr>
          <w:trHeight w:val="551" w:hRule="atLeast"/>
        </w:trPr>
        <w:tc>
          <w:tcPr>
            <w:tcW w:w="3128" w:type="dxa"/>
          </w:tcPr>
          <w:p>
            <w:pPr>
              <w:pStyle w:val="TableParagraph"/>
              <w:spacing w:line="270" w:lineRule="atLeast"/>
              <w:ind w:left="107" w:right="242"/>
              <w:rPr>
                <w:sz w:val="24"/>
              </w:rPr>
            </w:pPr>
            <w:r>
              <w:rPr>
                <w:sz w:val="24"/>
              </w:rPr>
              <w:t>Fertilizante orgánico base Trichoderma</w:t>
            </w:r>
          </w:p>
        </w:tc>
        <w:tc>
          <w:tcPr>
            <w:tcW w:w="2158" w:type="dxa"/>
          </w:tcPr>
          <w:p>
            <w:pPr>
              <w:pStyle w:val="TableParagraph"/>
              <w:ind w:left="709"/>
              <w:rPr>
                <w:sz w:val="24"/>
              </w:rPr>
            </w:pPr>
            <w:r>
              <w:rPr>
                <w:sz w:val="24"/>
              </w:rPr>
              <w:t>1.00 Lt</w:t>
            </w:r>
          </w:p>
        </w:tc>
        <w:tc>
          <w:tcPr>
            <w:tcW w:w="1090" w:type="dxa"/>
          </w:tcPr>
          <w:p>
            <w:pPr>
              <w:pStyle w:val="TableParagraph"/>
              <w:ind w:left="244"/>
              <w:rPr>
                <w:sz w:val="24"/>
              </w:rPr>
            </w:pPr>
            <w:r>
              <w:rPr>
                <w:sz w:val="24"/>
              </w:rPr>
              <w:t>30.00</w:t>
            </w:r>
          </w:p>
        </w:tc>
        <w:tc>
          <w:tcPr>
            <w:tcW w:w="1868" w:type="dxa"/>
          </w:tcPr>
          <w:p>
            <w:pPr>
              <w:pStyle w:val="TableParagraph"/>
              <w:rPr>
                <w:rFonts w:ascii="Times New Roman"/>
                <w:sz w:val="24"/>
              </w:rPr>
            </w:pPr>
          </w:p>
        </w:tc>
        <w:tc>
          <w:tcPr>
            <w:tcW w:w="1241" w:type="dxa"/>
          </w:tcPr>
          <w:p>
            <w:pPr>
              <w:pStyle w:val="TableParagraph"/>
              <w:rPr>
                <w:rFonts w:ascii="Times New Roman"/>
                <w:sz w:val="24"/>
              </w:rPr>
            </w:pPr>
          </w:p>
        </w:tc>
      </w:tr>
      <w:tr>
        <w:trPr>
          <w:trHeight w:val="551" w:hRule="atLeast"/>
        </w:trPr>
        <w:tc>
          <w:tcPr>
            <w:tcW w:w="3128" w:type="dxa"/>
          </w:tcPr>
          <w:p>
            <w:pPr>
              <w:pStyle w:val="TableParagraph"/>
              <w:spacing w:line="270" w:lineRule="atLeast"/>
              <w:ind w:left="107" w:right="242"/>
              <w:rPr>
                <w:sz w:val="24"/>
              </w:rPr>
            </w:pPr>
            <w:r>
              <w:rPr>
                <w:sz w:val="24"/>
              </w:rPr>
              <w:t>Fertilizante orgánico base Bauveriabassiana</w:t>
            </w:r>
          </w:p>
        </w:tc>
        <w:tc>
          <w:tcPr>
            <w:tcW w:w="2158" w:type="dxa"/>
          </w:tcPr>
          <w:p>
            <w:pPr>
              <w:pStyle w:val="TableParagraph"/>
              <w:ind w:left="709"/>
              <w:rPr>
                <w:sz w:val="24"/>
              </w:rPr>
            </w:pPr>
            <w:r>
              <w:rPr>
                <w:sz w:val="24"/>
              </w:rPr>
              <w:t>1.00 Lt</w:t>
            </w:r>
          </w:p>
        </w:tc>
        <w:tc>
          <w:tcPr>
            <w:tcW w:w="1090" w:type="dxa"/>
          </w:tcPr>
          <w:p>
            <w:pPr>
              <w:pStyle w:val="TableParagraph"/>
              <w:ind w:left="244"/>
              <w:rPr>
                <w:sz w:val="24"/>
              </w:rPr>
            </w:pPr>
            <w:r>
              <w:rPr>
                <w:sz w:val="24"/>
              </w:rPr>
              <w:t>30.00</w:t>
            </w:r>
          </w:p>
        </w:tc>
        <w:tc>
          <w:tcPr>
            <w:tcW w:w="1868" w:type="dxa"/>
          </w:tcPr>
          <w:p>
            <w:pPr>
              <w:pStyle w:val="TableParagraph"/>
              <w:rPr>
                <w:rFonts w:ascii="Times New Roman"/>
                <w:sz w:val="24"/>
              </w:rPr>
            </w:pPr>
          </w:p>
        </w:tc>
        <w:tc>
          <w:tcPr>
            <w:tcW w:w="1241" w:type="dxa"/>
          </w:tcPr>
          <w:p>
            <w:pPr>
              <w:pStyle w:val="TableParagraph"/>
              <w:rPr>
                <w:rFonts w:ascii="Times New Roman"/>
                <w:sz w:val="24"/>
              </w:rPr>
            </w:pPr>
          </w:p>
        </w:tc>
      </w:tr>
      <w:tr>
        <w:trPr>
          <w:trHeight w:val="550" w:hRule="atLeast"/>
        </w:trPr>
        <w:tc>
          <w:tcPr>
            <w:tcW w:w="3128" w:type="dxa"/>
          </w:tcPr>
          <w:p>
            <w:pPr>
              <w:pStyle w:val="TableParagraph"/>
              <w:spacing w:line="276" w:lineRule="exact" w:before="4"/>
              <w:ind w:left="107" w:right="242"/>
              <w:rPr>
                <w:sz w:val="24"/>
              </w:rPr>
            </w:pPr>
            <w:r>
              <w:rPr>
                <w:sz w:val="24"/>
              </w:rPr>
              <w:t>Fertilizante orgánico base Metarhizium</w:t>
            </w:r>
          </w:p>
        </w:tc>
        <w:tc>
          <w:tcPr>
            <w:tcW w:w="2158" w:type="dxa"/>
          </w:tcPr>
          <w:p>
            <w:pPr>
              <w:pStyle w:val="TableParagraph"/>
              <w:spacing w:line="276" w:lineRule="exact"/>
              <w:ind w:left="709"/>
              <w:rPr>
                <w:sz w:val="24"/>
              </w:rPr>
            </w:pPr>
            <w:r>
              <w:rPr>
                <w:sz w:val="24"/>
              </w:rPr>
              <w:t>1.00 Lt</w:t>
            </w:r>
          </w:p>
        </w:tc>
        <w:tc>
          <w:tcPr>
            <w:tcW w:w="1090" w:type="dxa"/>
          </w:tcPr>
          <w:p>
            <w:pPr>
              <w:pStyle w:val="TableParagraph"/>
              <w:spacing w:line="276" w:lineRule="exact"/>
              <w:ind w:left="244"/>
              <w:rPr>
                <w:sz w:val="24"/>
              </w:rPr>
            </w:pPr>
            <w:r>
              <w:rPr>
                <w:sz w:val="24"/>
              </w:rPr>
              <w:t>30.00</w:t>
            </w:r>
          </w:p>
        </w:tc>
        <w:tc>
          <w:tcPr>
            <w:tcW w:w="1868" w:type="dxa"/>
          </w:tcPr>
          <w:p>
            <w:pPr>
              <w:pStyle w:val="TableParagraph"/>
              <w:rPr>
                <w:rFonts w:ascii="Times New Roman"/>
                <w:sz w:val="24"/>
              </w:rPr>
            </w:pPr>
          </w:p>
        </w:tc>
        <w:tc>
          <w:tcPr>
            <w:tcW w:w="1241" w:type="dxa"/>
          </w:tcPr>
          <w:p>
            <w:pPr>
              <w:pStyle w:val="TableParagraph"/>
              <w:rPr>
                <w:rFonts w:ascii="Times New Roman"/>
                <w:sz w:val="24"/>
              </w:rPr>
            </w:pPr>
          </w:p>
        </w:tc>
      </w:tr>
      <w:tr>
        <w:trPr>
          <w:trHeight w:val="549" w:hRule="atLeast"/>
        </w:trPr>
        <w:tc>
          <w:tcPr>
            <w:tcW w:w="3128" w:type="dxa"/>
          </w:tcPr>
          <w:p>
            <w:pPr>
              <w:pStyle w:val="TableParagraph"/>
              <w:spacing w:line="276" w:lineRule="exact" w:before="2"/>
              <w:ind w:left="107" w:right="242"/>
              <w:rPr>
                <w:sz w:val="24"/>
              </w:rPr>
            </w:pPr>
            <w:r>
              <w:rPr>
                <w:sz w:val="24"/>
              </w:rPr>
              <w:t>Fertilizante orgánico base Basilussubtilis</w:t>
            </w:r>
          </w:p>
        </w:tc>
        <w:tc>
          <w:tcPr>
            <w:tcW w:w="2158" w:type="dxa"/>
          </w:tcPr>
          <w:p>
            <w:pPr>
              <w:pStyle w:val="TableParagraph"/>
              <w:spacing w:line="274" w:lineRule="exact"/>
              <w:ind w:left="709"/>
              <w:rPr>
                <w:sz w:val="24"/>
              </w:rPr>
            </w:pPr>
            <w:r>
              <w:rPr>
                <w:sz w:val="24"/>
              </w:rPr>
              <w:t>1.00 Lt</w:t>
            </w:r>
          </w:p>
        </w:tc>
        <w:tc>
          <w:tcPr>
            <w:tcW w:w="1090" w:type="dxa"/>
          </w:tcPr>
          <w:p>
            <w:pPr>
              <w:pStyle w:val="TableParagraph"/>
              <w:spacing w:line="274" w:lineRule="exact"/>
              <w:ind w:left="244"/>
              <w:rPr>
                <w:sz w:val="24"/>
              </w:rPr>
            </w:pPr>
            <w:r>
              <w:rPr>
                <w:sz w:val="24"/>
              </w:rPr>
              <w:t>30.00</w:t>
            </w:r>
          </w:p>
        </w:tc>
        <w:tc>
          <w:tcPr>
            <w:tcW w:w="1868" w:type="dxa"/>
          </w:tcPr>
          <w:p>
            <w:pPr>
              <w:pStyle w:val="TableParagraph"/>
              <w:rPr>
                <w:rFonts w:ascii="Times New Roman"/>
                <w:sz w:val="24"/>
              </w:rPr>
            </w:pPr>
          </w:p>
        </w:tc>
        <w:tc>
          <w:tcPr>
            <w:tcW w:w="1241" w:type="dxa"/>
          </w:tcPr>
          <w:p>
            <w:pPr>
              <w:pStyle w:val="TableParagraph"/>
              <w:rPr>
                <w:rFonts w:ascii="Times New Roman"/>
                <w:sz w:val="24"/>
              </w:rPr>
            </w:pPr>
          </w:p>
        </w:tc>
      </w:tr>
    </w:tbl>
    <w:p>
      <w:pPr>
        <w:pStyle w:val="BodyText"/>
        <w:rPr>
          <w:sz w:val="16"/>
        </w:rPr>
      </w:pPr>
    </w:p>
    <w:p>
      <w:pPr>
        <w:pStyle w:val="BodyText"/>
        <w:spacing w:before="92"/>
        <w:ind w:left="400" w:right="432"/>
        <w:jc w:val="both"/>
      </w:pPr>
      <w:r>
        <w:rPr/>
        <w:drawing>
          <wp:anchor distT="0" distB="0" distL="0" distR="0" allowOverlap="1" layoutInCell="1" locked="0" behindDoc="1" simplePos="0" relativeHeight="227548160">
            <wp:simplePos x="0" y="0"/>
            <wp:positionH relativeFrom="page">
              <wp:posOffset>1252555</wp:posOffset>
            </wp:positionH>
            <wp:positionV relativeFrom="paragraph">
              <wp:posOffset>-622606</wp:posOffset>
            </wp:positionV>
            <wp:extent cx="5022641" cy="5144769"/>
            <wp:effectExtent l="0" t="0" r="0" b="0"/>
            <wp:wrapNone/>
            <wp:docPr id="157" name="image74.png"/>
            <wp:cNvGraphicFramePr>
              <a:graphicFrameLocks noChangeAspect="1"/>
            </wp:cNvGraphicFramePr>
            <a:graphic>
              <a:graphicData uri="http://schemas.openxmlformats.org/drawingml/2006/picture">
                <pic:pic>
                  <pic:nvPicPr>
                    <pic:cNvPr id="158" name="image74.png"/>
                    <pic:cNvPicPr/>
                  </pic:nvPicPr>
                  <pic:blipFill>
                    <a:blip r:embed="rId84" cstate="print"/>
                    <a:stretch>
                      <a:fillRect/>
                    </a:stretch>
                  </pic:blipFill>
                  <pic:spPr>
                    <a:xfrm>
                      <a:off x="0" y="0"/>
                      <a:ext cx="5022641" cy="5144769"/>
                    </a:xfrm>
                    <a:prstGeom prst="rect">
                      <a:avLst/>
                    </a:prstGeom>
                  </pic:spPr>
                </pic:pic>
              </a:graphicData>
            </a:graphic>
          </wp:anchor>
        </w:drawing>
      </w:r>
      <w:r>
        <w:rPr>
          <w:b/>
        </w:rPr>
        <w:t>Artículo 41.- </w:t>
      </w:r>
      <w:r>
        <w:rPr/>
        <w:t>Por la comercialización de publicidad en espacios de información y medios electrónicos e impresos pertenecientes al Municipio y los Organismos Públicos Descentralizados y se cobrarán una cuota de acuerdo con el tabulador de tipo y contenido de publicidad, que para tal efecto emita la Tesorería Municipal.</w:t>
      </w:r>
    </w:p>
    <w:p>
      <w:pPr>
        <w:pStyle w:val="BodyText"/>
        <w:spacing w:before="1"/>
      </w:pPr>
    </w:p>
    <w:p>
      <w:pPr>
        <w:pStyle w:val="Heading1"/>
        <w:ind w:left="3875" w:right="3908"/>
        <w:jc w:val="center"/>
      </w:pPr>
      <w:r>
        <w:rPr/>
        <w:t>TITULO QUINTO APROVECHAMIENTOS</w:t>
      </w:r>
    </w:p>
    <w:p>
      <w:pPr>
        <w:pStyle w:val="BodyText"/>
        <w:rPr>
          <w:b/>
        </w:rPr>
      </w:pPr>
    </w:p>
    <w:p>
      <w:pPr>
        <w:spacing w:before="0"/>
        <w:ind w:left="3876" w:right="3908" w:firstLine="0"/>
        <w:jc w:val="center"/>
        <w:rPr>
          <w:b/>
          <w:sz w:val="24"/>
        </w:rPr>
      </w:pPr>
      <w:r>
        <w:rPr>
          <w:b/>
          <w:sz w:val="24"/>
        </w:rPr>
        <w:t>Capítulo Primero Recargos</w:t>
      </w:r>
    </w:p>
    <w:p>
      <w:pPr>
        <w:pStyle w:val="BodyText"/>
        <w:rPr>
          <w:b/>
        </w:rPr>
      </w:pPr>
    </w:p>
    <w:p>
      <w:pPr>
        <w:pStyle w:val="BodyText"/>
        <w:ind w:left="400" w:right="441"/>
        <w:jc w:val="both"/>
      </w:pPr>
      <w:r>
        <w:rPr>
          <w:b/>
        </w:rPr>
        <w:t>Artículo 42.- </w:t>
      </w:r>
      <w:r>
        <w:rPr/>
        <w:t>Los recargos se causarán en un porcentaje igual al que fije la Federación, para el presente ejercicio fiscal, en lo que a créditos fiscales se refiera, tanto en la prórroga de créditos fiscales como en el pago extemporáneo de los mismos; aplicándose las modalidades que la misma establezca.</w:t>
      </w:r>
    </w:p>
    <w:p>
      <w:pPr>
        <w:pStyle w:val="BodyText"/>
      </w:pPr>
    </w:p>
    <w:p>
      <w:pPr>
        <w:pStyle w:val="Heading1"/>
        <w:spacing w:before="1"/>
        <w:ind w:left="4236" w:right="4270"/>
        <w:jc w:val="center"/>
      </w:pPr>
      <w:r>
        <w:rPr/>
        <w:t>Capítulo Segundo Multas</w:t>
      </w:r>
    </w:p>
    <w:p>
      <w:pPr>
        <w:pStyle w:val="BodyText"/>
        <w:spacing w:before="11"/>
        <w:rPr>
          <w:b/>
          <w:sz w:val="23"/>
        </w:rPr>
      </w:pPr>
    </w:p>
    <w:p>
      <w:pPr>
        <w:pStyle w:val="BodyText"/>
        <w:ind w:left="400" w:right="441"/>
        <w:jc w:val="both"/>
      </w:pPr>
      <w:r>
        <w:rPr>
          <w:b/>
        </w:rPr>
        <w:t>Artículo 43.- </w:t>
      </w:r>
      <w:r>
        <w:rPr/>
        <w:t>El Municipio percibirá el importe de las multas por infracciones a las Leyes Fiscales Municipales y de las demás infracciones a los diferentes ordenamientos de carácter municipal, estatal o federal que sean competencia del municipio de Tepic, las que se harán efectivas a través de las autoridades fiscales municipales competentes.</w:t>
      </w:r>
    </w:p>
    <w:p>
      <w:pPr>
        <w:pStyle w:val="BodyText"/>
        <w:spacing w:before="9"/>
        <w:rPr>
          <w:sz w:val="23"/>
        </w:rPr>
      </w:pPr>
    </w:p>
    <w:p>
      <w:pPr>
        <w:pStyle w:val="ListParagraph"/>
        <w:numPr>
          <w:ilvl w:val="0"/>
          <w:numId w:val="66"/>
        </w:numPr>
        <w:tabs>
          <w:tab w:pos="1252" w:val="left" w:leader="none"/>
          <w:tab w:pos="1253" w:val="left" w:leader="none"/>
        </w:tabs>
        <w:spacing w:line="240" w:lineRule="auto" w:before="0" w:after="0"/>
        <w:ind w:left="1252" w:right="443" w:hanging="852"/>
        <w:jc w:val="both"/>
        <w:rPr>
          <w:sz w:val="24"/>
        </w:rPr>
      </w:pPr>
      <w:r>
        <w:rPr>
          <w:sz w:val="24"/>
        </w:rPr>
        <w:t>Por violaciones a las leyes fiscales, de $ 213.39 hasta $7,130.36 de acuerdo a la importancia de la</w:t>
      </w:r>
      <w:r>
        <w:rPr>
          <w:spacing w:val="-5"/>
          <w:sz w:val="24"/>
        </w:rPr>
        <w:t> </w:t>
      </w:r>
      <w:r>
        <w:rPr>
          <w:sz w:val="24"/>
        </w:rPr>
        <w:t>falta;</w:t>
      </w:r>
    </w:p>
    <w:p>
      <w:pPr>
        <w:pStyle w:val="BodyText"/>
        <w:spacing w:before="1"/>
      </w:pPr>
    </w:p>
    <w:p>
      <w:pPr>
        <w:pStyle w:val="ListParagraph"/>
        <w:numPr>
          <w:ilvl w:val="0"/>
          <w:numId w:val="66"/>
        </w:numPr>
        <w:tabs>
          <w:tab w:pos="1253" w:val="left" w:leader="none"/>
        </w:tabs>
        <w:spacing w:line="240" w:lineRule="auto" w:before="0" w:after="0"/>
        <w:ind w:left="1252" w:right="441" w:hanging="852"/>
        <w:jc w:val="both"/>
        <w:rPr>
          <w:sz w:val="24"/>
        </w:rPr>
      </w:pPr>
      <w:r>
        <w:rPr>
          <w:sz w:val="24"/>
        </w:rPr>
        <w:t>En caso de que los reglamentos no contengan tarifas por multas, por violaciones a los mismos, o su monto no esté determinado en la presente Ley, de acuerdo con la gravedad de la falta, se aplicarán multas equivalentes desde $ 70.54 hasta $ 71,310.71;</w:t>
      </w:r>
    </w:p>
    <w:p>
      <w:pPr>
        <w:pStyle w:val="BodyText"/>
      </w:pPr>
    </w:p>
    <w:p>
      <w:pPr>
        <w:pStyle w:val="ListParagraph"/>
        <w:numPr>
          <w:ilvl w:val="0"/>
          <w:numId w:val="66"/>
        </w:numPr>
        <w:tabs>
          <w:tab w:pos="1253" w:val="left" w:leader="none"/>
        </w:tabs>
        <w:spacing w:line="240" w:lineRule="auto" w:before="0" w:after="0"/>
        <w:ind w:left="1252" w:right="438" w:hanging="852"/>
        <w:jc w:val="both"/>
        <w:rPr>
          <w:sz w:val="24"/>
        </w:rPr>
      </w:pPr>
      <w:r>
        <w:rPr>
          <w:sz w:val="24"/>
        </w:rPr>
        <w:t>De las multas que impongan las Autoridades Federales no Fiscales, el Municipio percibirá el porcentaje que se marca en los convenios correspondientes; cuando sean recaudados efectivamente por el</w:t>
      </w:r>
      <w:r>
        <w:rPr>
          <w:spacing w:val="-3"/>
          <w:sz w:val="24"/>
        </w:rPr>
        <w:t> </w:t>
      </w:r>
      <w:r>
        <w:rPr>
          <w:sz w:val="24"/>
        </w:rPr>
        <w:t>Municipio.</w:t>
      </w:r>
    </w:p>
    <w:p>
      <w:pPr>
        <w:spacing w:after="0" w:line="240" w:lineRule="auto"/>
        <w:jc w:val="both"/>
        <w:rPr>
          <w:sz w:val="24"/>
        </w:rPr>
        <w:sectPr>
          <w:pgSz w:w="12250" w:h="15850"/>
          <w:pgMar w:header="730" w:footer="0" w:top="1000" w:bottom="280" w:left="860" w:right="820"/>
        </w:sectPr>
      </w:pPr>
    </w:p>
    <w:p>
      <w:pPr>
        <w:pStyle w:val="ListParagraph"/>
        <w:numPr>
          <w:ilvl w:val="0"/>
          <w:numId w:val="66"/>
        </w:numPr>
        <w:tabs>
          <w:tab w:pos="1253" w:val="left" w:leader="none"/>
        </w:tabs>
        <w:spacing w:line="240" w:lineRule="auto" w:before="183" w:after="0"/>
        <w:ind w:left="1252" w:right="430" w:hanging="852"/>
        <w:jc w:val="both"/>
        <w:rPr>
          <w:sz w:val="24"/>
        </w:rPr>
      </w:pPr>
      <w:r>
        <w:rPr>
          <w:sz w:val="24"/>
        </w:rPr>
        <w:t>De las multas que impongan las Autoridades Federales no Fiscales, el Municipio percibirá el porcentaje que se marca en los convenios correspondientes; cuando sean recaudados efectivamente por el</w:t>
      </w:r>
      <w:r>
        <w:rPr>
          <w:spacing w:val="-3"/>
          <w:sz w:val="24"/>
        </w:rPr>
        <w:t> </w:t>
      </w:r>
      <w:r>
        <w:rPr>
          <w:sz w:val="24"/>
        </w:rPr>
        <w:t>Municipio.</w:t>
      </w:r>
    </w:p>
    <w:p>
      <w:pPr>
        <w:pStyle w:val="BodyText"/>
      </w:pPr>
    </w:p>
    <w:p>
      <w:pPr>
        <w:pStyle w:val="BodyText"/>
        <w:ind w:left="400" w:right="440"/>
        <w:jc w:val="both"/>
      </w:pPr>
      <w:r>
        <w:rPr/>
        <w:drawing>
          <wp:anchor distT="0" distB="0" distL="0" distR="0" allowOverlap="1" layoutInCell="1" locked="0" behindDoc="1" simplePos="0" relativeHeight="227549184">
            <wp:simplePos x="0" y="0"/>
            <wp:positionH relativeFrom="page">
              <wp:posOffset>1239220</wp:posOffset>
            </wp:positionH>
            <wp:positionV relativeFrom="paragraph">
              <wp:posOffset>593037</wp:posOffset>
            </wp:positionV>
            <wp:extent cx="5022641" cy="5144769"/>
            <wp:effectExtent l="0" t="0" r="0" b="0"/>
            <wp:wrapNone/>
            <wp:docPr id="159" name="image75.png"/>
            <wp:cNvGraphicFramePr>
              <a:graphicFrameLocks noChangeAspect="1"/>
            </wp:cNvGraphicFramePr>
            <a:graphic>
              <a:graphicData uri="http://schemas.openxmlformats.org/drawingml/2006/picture">
                <pic:pic>
                  <pic:nvPicPr>
                    <pic:cNvPr id="160" name="image75.png"/>
                    <pic:cNvPicPr/>
                  </pic:nvPicPr>
                  <pic:blipFill>
                    <a:blip r:embed="rId85" cstate="print"/>
                    <a:stretch>
                      <a:fillRect/>
                    </a:stretch>
                  </pic:blipFill>
                  <pic:spPr>
                    <a:xfrm>
                      <a:off x="0" y="0"/>
                      <a:ext cx="5022641" cy="5144769"/>
                    </a:xfrm>
                    <a:prstGeom prst="rect">
                      <a:avLst/>
                    </a:prstGeom>
                  </pic:spPr>
                </pic:pic>
              </a:graphicData>
            </a:graphic>
          </wp:anchor>
        </w:drawing>
      </w:r>
      <w:r>
        <w:rPr>
          <w:b/>
        </w:rPr>
        <w:t>Artículo 44.- </w:t>
      </w:r>
      <w:r>
        <w:rPr/>
        <w:t>Las sanciones administrativas y fiscales por infringir las Leyes, Reglamentos, Disposiciones, Acuerdos y Convenios de carácter municipal, serán aplicadas con sujeción a lo dispuesto en la Leyes fiscales</w:t>
      </w:r>
      <w:r>
        <w:rPr>
          <w:spacing w:val="-6"/>
        </w:rPr>
        <w:t> </w:t>
      </w:r>
      <w:r>
        <w:rPr/>
        <w:t>municipales.</w:t>
      </w:r>
    </w:p>
    <w:p>
      <w:pPr>
        <w:pStyle w:val="BodyText"/>
      </w:pPr>
    </w:p>
    <w:p>
      <w:pPr>
        <w:pStyle w:val="Heading1"/>
        <w:ind w:left="4082" w:right="4115" w:hanging="2"/>
        <w:jc w:val="center"/>
      </w:pPr>
      <w:r>
        <w:rPr/>
        <w:t>Capítulo Tercero Gastos de Ejecución</w:t>
      </w:r>
    </w:p>
    <w:p>
      <w:pPr>
        <w:pStyle w:val="BodyText"/>
        <w:rPr>
          <w:b/>
        </w:rPr>
      </w:pPr>
    </w:p>
    <w:p>
      <w:pPr>
        <w:pStyle w:val="BodyText"/>
        <w:spacing w:before="1"/>
        <w:ind w:left="400" w:right="442"/>
        <w:jc w:val="both"/>
      </w:pPr>
      <w:r>
        <w:rPr>
          <w:b/>
        </w:rPr>
        <w:t>Artículo 45.- </w:t>
      </w:r>
      <w:r>
        <w:rPr/>
        <w:t>Los aprovechamientos por concepto de gastos de ejecución, se causarán a la tasa del 2% (dos por ciento) sobre el crédito, con exclusión de recargos, por cada una de las diligencias que a continuación se</w:t>
      </w:r>
      <w:r>
        <w:rPr>
          <w:spacing w:val="-8"/>
        </w:rPr>
        <w:t> </w:t>
      </w:r>
      <w:r>
        <w:rPr/>
        <w:t>indican:</w:t>
      </w:r>
    </w:p>
    <w:p>
      <w:pPr>
        <w:pStyle w:val="BodyText"/>
      </w:pPr>
    </w:p>
    <w:p>
      <w:pPr>
        <w:pStyle w:val="ListParagraph"/>
        <w:numPr>
          <w:ilvl w:val="0"/>
          <w:numId w:val="67"/>
        </w:numPr>
        <w:tabs>
          <w:tab w:pos="1252" w:val="left" w:leader="none"/>
          <w:tab w:pos="1253" w:val="left" w:leader="none"/>
        </w:tabs>
        <w:spacing w:line="240" w:lineRule="auto" w:before="0" w:after="0"/>
        <w:ind w:left="1252" w:right="0" w:hanging="853"/>
        <w:jc w:val="left"/>
        <w:rPr>
          <w:sz w:val="24"/>
        </w:rPr>
      </w:pPr>
      <w:r>
        <w:rPr>
          <w:sz w:val="24"/>
        </w:rPr>
        <w:t>Por el requerimiento de</w:t>
      </w:r>
      <w:r>
        <w:rPr>
          <w:spacing w:val="-2"/>
          <w:sz w:val="24"/>
        </w:rPr>
        <w:t> </w:t>
      </w:r>
      <w:r>
        <w:rPr>
          <w:sz w:val="24"/>
        </w:rPr>
        <w:t>pago;</w:t>
      </w:r>
    </w:p>
    <w:p>
      <w:pPr>
        <w:pStyle w:val="ListParagraph"/>
        <w:numPr>
          <w:ilvl w:val="0"/>
          <w:numId w:val="67"/>
        </w:numPr>
        <w:tabs>
          <w:tab w:pos="1252" w:val="left" w:leader="none"/>
          <w:tab w:pos="1253" w:val="left" w:leader="none"/>
        </w:tabs>
        <w:spacing w:line="240" w:lineRule="auto" w:before="120" w:after="0"/>
        <w:ind w:left="1252" w:right="0" w:hanging="853"/>
        <w:jc w:val="left"/>
        <w:rPr>
          <w:sz w:val="24"/>
        </w:rPr>
      </w:pPr>
      <w:r>
        <w:rPr>
          <w:sz w:val="24"/>
        </w:rPr>
        <w:t>Por la de</w:t>
      </w:r>
      <w:r>
        <w:rPr>
          <w:spacing w:val="-1"/>
          <w:sz w:val="24"/>
        </w:rPr>
        <w:t> </w:t>
      </w:r>
      <w:r>
        <w:rPr>
          <w:sz w:val="24"/>
        </w:rPr>
        <w:t>embargo;</w:t>
      </w:r>
    </w:p>
    <w:p>
      <w:pPr>
        <w:pStyle w:val="ListParagraph"/>
        <w:numPr>
          <w:ilvl w:val="0"/>
          <w:numId w:val="67"/>
        </w:numPr>
        <w:tabs>
          <w:tab w:pos="1252" w:val="left" w:leader="none"/>
          <w:tab w:pos="1253" w:val="left" w:leader="none"/>
        </w:tabs>
        <w:spacing w:line="240" w:lineRule="auto" w:before="120" w:after="0"/>
        <w:ind w:left="1252" w:right="0" w:hanging="853"/>
        <w:jc w:val="left"/>
        <w:rPr>
          <w:sz w:val="24"/>
        </w:rPr>
      </w:pPr>
      <w:r>
        <w:rPr>
          <w:sz w:val="24"/>
        </w:rPr>
        <w:t>Por la de</w:t>
      </w:r>
      <w:r>
        <w:rPr>
          <w:spacing w:val="-1"/>
          <w:sz w:val="24"/>
        </w:rPr>
        <w:t> </w:t>
      </w:r>
      <w:r>
        <w:rPr>
          <w:sz w:val="24"/>
        </w:rPr>
        <w:t>remate;</w:t>
      </w:r>
    </w:p>
    <w:p>
      <w:pPr>
        <w:pStyle w:val="BodyText"/>
      </w:pPr>
    </w:p>
    <w:p>
      <w:pPr>
        <w:pStyle w:val="BodyText"/>
        <w:ind w:left="1252"/>
      </w:pPr>
      <w:r>
        <w:rPr/>
        <w:t>Cuando en los casos de las fracciones anteriores, el 2% del adeudo sea inferior a</w:t>
      </w:r>
    </w:p>
    <w:p>
      <w:pPr>
        <w:pStyle w:val="BodyText"/>
        <w:ind w:left="1252"/>
      </w:pPr>
      <w:r>
        <w:rPr/>
        <w:t>$223.21 se cobrará este último.</w:t>
      </w:r>
    </w:p>
    <w:p>
      <w:pPr>
        <w:pStyle w:val="BodyText"/>
      </w:pPr>
    </w:p>
    <w:p>
      <w:pPr>
        <w:pStyle w:val="BodyText"/>
        <w:ind w:left="1252" w:right="484"/>
      </w:pPr>
      <w:r>
        <w:rPr/>
        <w:t>En ningún caso, los gastos a que se refieren cada una de las fracciones anteriormente citadas en el presente artículo, podrán exceder de la cantidad de</w:t>
      </w:r>
    </w:p>
    <w:p>
      <w:pPr>
        <w:pStyle w:val="BodyText"/>
        <w:spacing w:before="1"/>
        <w:ind w:left="1252"/>
      </w:pPr>
      <w:r>
        <w:rPr/>
        <w:t>$52,809.82</w:t>
      </w:r>
    </w:p>
    <w:p>
      <w:pPr>
        <w:pStyle w:val="BodyText"/>
      </w:pPr>
    </w:p>
    <w:p>
      <w:pPr>
        <w:pStyle w:val="BodyText"/>
        <w:ind w:left="1252" w:right="435"/>
        <w:jc w:val="both"/>
      </w:pPr>
      <w:r>
        <w:rPr/>
        <w:t>Asimismo, se pagarán por concepto de gastos de ejecución, los extraordinarios en que se incurran con motivo del procedimiento administrativo de ejecución tales como: transporte de bienes embargados, avalúos, impresión y publicación de convocatorias y edictos, inscripciones o cancelaciones en el registro público que correspondan y similares con base en las disposiciones legales aplicables.</w:t>
      </w:r>
    </w:p>
    <w:p>
      <w:pPr>
        <w:pStyle w:val="BodyText"/>
      </w:pPr>
    </w:p>
    <w:p>
      <w:pPr>
        <w:pStyle w:val="ListParagraph"/>
        <w:numPr>
          <w:ilvl w:val="0"/>
          <w:numId w:val="67"/>
        </w:numPr>
        <w:tabs>
          <w:tab w:pos="1253" w:val="left" w:leader="none"/>
        </w:tabs>
        <w:spacing w:line="240" w:lineRule="auto" w:before="0" w:after="0"/>
        <w:ind w:left="1252" w:right="440" w:hanging="852"/>
        <w:jc w:val="both"/>
        <w:rPr>
          <w:sz w:val="24"/>
        </w:rPr>
      </w:pPr>
      <w:r>
        <w:rPr>
          <w:sz w:val="24"/>
        </w:rPr>
        <w:t>Los aprovechamientos, a que se refiere este capítulo se destinaran al establecimiento de un fondo revolvente para gastos de cobranza, el cual se regirá por los lineamientos que al efecto emita la Tesorería</w:t>
      </w:r>
      <w:r>
        <w:rPr>
          <w:spacing w:val="-9"/>
          <w:sz w:val="24"/>
        </w:rPr>
        <w:t> </w:t>
      </w:r>
      <w:r>
        <w:rPr>
          <w:sz w:val="24"/>
        </w:rPr>
        <w:t>Municipal.</w:t>
      </w:r>
    </w:p>
    <w:p>
      <w:pPr>
        <w:pStyle w:val="BodyText"/>
        <w:spacing w:before="1"/>
      </w:pPr>
    </w:p>
    <w:p>
      <w:pPr>
        <w:pStyle w:val="ListParagraph"/>
        <w:numPr>
          <w:ilvl w:val="0"/>
          <w:numId w:val="67"/>
        </w:numPr>
        <w:tabs>
          <w:tab w:pos="1253" w:val="left" w:leader="none"/>
        </w:tabs>
        <w:spacing w:line="240" w:lineRule="auto" w:before="0" w:after="0"/>
        <w:ind w:left="1252" w:right="440" w:hanging="852"/>
        <w:jc w:val="both"/>
        <w:rPr>
          <w:sz w:val="24"/>
        </w:rPr>
      </w:pPr>
      <w:r>
        <w:rPr>
          <w:sz w:val="24"/>
        </w:rPr>
        <w:t>No procederá el cobro de gastos de notificación y ejecución, cuando sea indebido el cobro o ilegalmente practicadas las</w:t>
      </w:r>
      <w:r>
        <w:rPr>
          <w:spacing w:val="-7"/>
          <w:sz w:val="24"/>
        </w:rPr>
        <w:t> </w:t>
      </w:r>
      <w:r>
        <w:rPr>
          <w:sz w:val="24"/>
        </w:rPr>
        <w:t>diligencias.</w:t>
      </w:r>
    </w:p>
    <w:p>
      <w:pPr>
        <w:pStyle w:val="BodyText"/>
      </w:pPr>
    </w:p>
    <w:p>
      <w:pPr>
        <w:pStyle w:val="Heading1"/>
        <w:ind w:left="4236" w:right="4269"/>
        <w:jc w:val="center"/>
      </w:pPr>
      <w:r>
        <w:rPr/>
        <w:t>Capítulo Cuarto Rezagos</w:t>
      </w:r>
    </w:p>
    <w:p>
      <w:pPr>
        <w:pStyle w:val="BodyText"/>
        <w:rPr>
          <w:b/>
        </w:rPr>
      </w:pPr>
    </w:p>
    <w:p>
      <w:pPr>
        <w:pStyle w:val="BodyText"/>
        <w:ind w:left="400" w:right="439"/>
        <w:jc w:val="both"/>
      </w:pPr>
      <w:r>
        <w:rPr>
          <w:b/>
        </w:rPr>
        <w:t>Artículo 46.- </w:t>
      </w:r>
      <w:r>
        <w:rPr/>
        <w:t>Se consideran rezagos a los recursos que obtenga el Municipio, de los contribuyentes, en la aplicación de la Ley, después de haber fenecido el plazo del cumplimiento de la obligación fiscal a cargo de éstos. Debiendo establecerse en los cortes de caja (mensual y anual), un renglón al final de cada uno de los capítulos y secciones que la presente Ley establece, en donde se precisen los rezagos captados y por qué concepto.</w:t>
      </w:r>
    </w:p>
    <w:p>
      <w:pPr>
        <w:spacing w:after="0"/>
        <w:jc w:val="both"/>
        <w:sectPr>
          <w:pgSz w:w="12250" w:h="15850"/>
          <w:pgMar w:header="730" w:footer="0" w:top="1000" w:bottom="280" w:left="860" w:right="820"/>
        </w:sectPr>
      </w:pPr>
    </w:p>
    <w:p>
      <w:pPr>
        <w:pStyle w:val="BodyText"/>
        <w:spacing w:before="1"/>
        <w:rPr>
          <w:sz w:val="9"/>
        </w:rPr>
      </w:pPr>
    </w:p>
    <w:p>
      <w:pPr>
        <w:pStyle w:val="Heading1"/>
        <w:spacing w:before="93"/>
        <w:ind w:left="2923" w:right="2945" w:firstLine="1440"/>
      </w:pPr>
      <w:r>
        <w:rPr/>
        <w:t>Capítulo Quinto Indemnizaciones por Cheques Devueltos</w:t>
      </w:r>
    </w:p>
    <w:p>
      <w:pPr>
        <w:pStyle w:val="BodyText"/>
        <w:rPr>
          <w:b/>
        </w:rPr>
      </w:pPr>
    </w:p>
    <w:p>
      <w:pPr>
        <w:pStyle w:val="BodyText"/>
        <w:ind w:left="400" w:right="437"/>
        <w:jc w:val="both"/>
      </w:pPr>
      <w:r>
        <w:rPr>
          <w:b/>
        </w:rPr>
        <w:t>Artículo 47.- </w:t>
      </w:r>
      <w:r>
        <w:rPr/>
        <w:t>Se consideran indemnizaciones por cheques recibidos de particulares y devueltos por las instituciones de crédito, los ingresos obtenidos por el Municipio, en los términos de la Ley General de Títulos y Operaciones de</w:t>
      </w:r>
      <w:r>
        <w:rPr>
          <w:spacing w:val="-9"/>
        </w:rPr>
        <w:t> </w:t>
      </w:r>
      <w:r>
        <w:rPr/>
        <w:t>Crédito.</w:t>
      </w:r>
    </w:p>
    <w:p>
      <w:pPr>
        <w:pStyle w:val="BodyText"/>
      </w:pPr>
    </w:p>
    <w:p>
      <w:pPr>
        <w:pStyle w:val="Heading1"/>
        <w:ind w:left="3314" w:right="3350" w:firstLine="1108"/>
      </w:pPr>
      <w:r>
        <w:rPr/>
        <w:drawing>
          <wp:anchor distT="0" distB="0" distL="0" distR="0" allowOverlap="1" layoutInCell="1" locked="0" behindDoc="1" simplePos="0" relativeHeight="227550208">
            <wp:simplePos x="0" y="0"/>
            <wp:positionH relativeFrom="page">
              <wp:posOffset>1252555</wp:posOffset>
            </wp:positionH>
            <wp:positionV relativeFrom="paragraph">
              <wp:posOffset>58113</wp:posOffset>
            </wp:positionV>
            <wp:extent cx="5022641" cy="5144769"/>
            <wp:effectExtent l="0" t="0" r="0" b="0"/>
            <wp:wrapNone/>
            <wp:docPr id="161" name="image76.png"/>
            <wp:cNvGraphicFramePr>
              <a:graphicFrameLocks noChangeAspect="1"/>
            </wp:cNvGraphicFramePr>
            <a:graphic>
              <a:graphicData uri="http://schemas.openxmlformats.org/drawingml/2006/picture">
                <pic:pic>
                  <pic:nvPicPr>
                    <pic:cNvPr id="162" name="image76.png"/>
                    <pic:cNvPicPr/>
                  </pic:nvPicPr>
                  <pic:blipFill>
                    <a:blip r:embed="rId86" cstate="print"/>
                    <a:stretch>
                      <a:fillRect/>
                    </a:stretch>
                  </pic:blipFill>
                  <pic:spPr>
                    <a:xfrm>
                      <a:off x="0" y="0"/>
                      <a:ext cx="5022641" cy="5144769"/>
                    </a:xfrm>
                    <a:prstGeom prst="rect">
                      <a:avLst/>
                    </a:prstGeom>
                  </pic:spPr>
                </pic:pic>
              </a:graphicData>
            </a:graphic>
          </wp:anchor>
        </w:drawing>
      </w:r>
      <w:r>
        <w:rPr/>
        <w:t>Capítulo Sexto Donaciones, Herencias y</w:t>
      </w:r>
      <w:r>
        <w:rPr>
          <w:spacing w:val="-9"/>
        </w:rPr>
        <w:t> </w:t>
      </w:r>
      <w:r>
        <w:rPr/>
        <w:t>Legados</w:t>
      </w:r>
    </w:p>
    <w:p>
      <w:pPr>
        <w:pStyle w:val="BodyText"/>
        <w:rPr>
          <w:b/>
        </w:rPr>
      </w:pPr>
    </w:p>
    <w:p>
      <w:pPr>
        <w:pStyle w:val="BodyText"/>
        <w:ind w:left="400" w:right="441"/>
        <w:jc w:val="both"/>
      </w:pPr>
      <w:r>
        <w:rPr>
          <w:b/>
        </w:rPr>
        <w:t>Artículo 48.- </w:t>
      </w:r>
      <w:r>
        <w:rPr/>
        <w:t>Las donaciones, herencias y legados son los ingresos o patrimonio que adquiera el Municipio por tales conceptos.</w:t>
      </w:r>
    </w:p>
    <w:p>
      <w:pPr>
        <w:pStyle w:val="BodyText"/>
        <w:spacing w:before="1"/>
      </w:pPr>
    </w:p>
    <w:p>
      <w:pPr>
        <w:pStyle w:val="Heading1"/>
        <w:ind w:left="3876" w:right="3908"/>
        <w:jc w:val="center"/>
      </w:pPr>
      <w:r>
        <w:rPr/>
        <w:t>Capítulo Séptimo Anticipos</w:t>
      </w:r>
    </w:p>
    <w:p>
      <w:pPr>
        <w:pStyle w:val="BodyText"/>
        <w:rPr>
          <w:b/>
        </w:rPr>
      </w:pPr>
    </w:p>
    <w:p>
      <w:pPr>
        <w:pStyle w:val="BodyText"/>
        <w:ind w:left="400" w:right="441"/>
        <w:jc w:val="both"/>
      </w:pPr>
      <w:r>
        <w:rPr>
          <w:b/>
        </w:rPr>
        <w:t>Artículo 49.- </w:t>
      </w:r>
      <w:r>
        <w:rPr/>
        <w:t>Los anticipos, son los ingresos a cuenta de obligaciones fiscales, que deban cubrirse dentro del ejercicio fiscal 2020.</w:t>
      </w:r>
    </w:p>
    <w:p>
      <w:pPr>
        <w:pStyle w:val="BodyText"/>
      </w:pPr>
    </w:p>
    <w:p>
      <w:pPr>
        <w:pStyle w:val="Heading1"/>
        <w:ind w:left="4296" w:right="4329" w:hanging="2"/>
        <w:jc w:val="center"/>
      </w:pPr>
      <w:r>
        <w:rPr/>
        <w:t>Capítulo Octavo Indemnizaciones</w:t>
      </w:r>
    </w:p>
    <w:p>
      <w:pPr>
        <w:pStyle w:val="BodyText"/>
        <w:rPr>
          <w:b/>
        </w:rPr>
      </w:pPr>
    </w:p>
    <w:p>
      <w:pPr>
        <w:pStyle w:val="BodyText"/>
        <w:ind w:left="400" w:right="440"/>
        <w:jc w:val="both"/>
      </w:pPr>
      <w:r>
        <w:rPr>
          <w:b/>
        </w:rPr>
        <w:t>Artículo 50.- </w:t>
      </w:r>
      <w:r>
        <w:rPr/>
        <w:t>Las indemnizaciones son las cantidades que perciba el Municipio para resarcirlo de los daños y perjuicios cuantificables en dinero de sus bienes y derechos, previo dictamen que para el efecto emita la autoridad competente o peritos en su caso.</w:t>
      </w:r>
    </w:p>
    <w:p>
      <w:pPr>
        <w:pStyle w:val="BodyText"/>
        <w:spacing w:before="1"/>
      </w:pPr>
    </w:p>
    <w:p>
      <w:pPr>
        <w:pStyle w:val="Heading1"/>
        <w:ind w:left="3127" w:right="3154" w:firstLine="1183"/>
      </w:pPr>
      <w:r>
        <w:rPr/>
        <w:t>Capítulo Noveno Reintegros, Devoluciones y Alcances</w:t>
      </w:r>
    </w:p>
    <w:p>
      <w:pPr>
        <w:pStyle w:val="BodyText"/>
        <w:rPr>
          <w:b/>
        </w:rPr>
      </w:pPr>
    </w:p>
    <w:p>
      <w:pPr>
        <w:pStyle w:val="BodyText"/>
        <w:ind w:left="400" w:right="437"/>
        <w:jc w:val="both"/>
      </w:pPr>
      <w:r>
        <w:rPr>
          <w:b/>
        </w:rPr>
        <w:t>Artículo 51.- </w:t>
      </w:r>
      <w:r>
        <w:rPr/>
        <w:t>Los ingresos por los reintegros y devoluciones que realicen los particulares u otras entidades, por cantidades recibidas por error o indebidamente del Municipio; y los alcances por la aplicación de las leyes fiscales, correspondan al Municipio.</w:t>
      </w:r>
    </w:p>
    <w:p>
      <w:pPr>
        <w:pStyle w:val="BodyText"/>
        <w:spacing w:before="9"/>
        <w:rPr>
          <w:sz w:val="23"/>
        </w:rPr>
      </w:pPr>
    </w:p>
    <w:p>
      <w:pPr>
        <w:pStyle w:val="Heading1"/>
        <w:ind w:left="3874" w:right="3908"/>
        <w:jc w:val="center"/>
      </w:pPr>
      <w:r>
        <w:rPr/>
        <w:t>Capítulo Décimo Actualizaciones</w:t>
      </w:r>
    </w:p>
    <w:p>
      <w:pPr>
        <w:pStyle w:val="BodyText"/>
        <w:rPr>
          <w:b/>
        </w:rPr>
      </w:pPr>
    </w:p>
    <w:p>
      <w:pPr>
        <w:pStyle w:val="BodyText"/>
        <w:ind w:left="400" w:right="443"/>
        <w:jc w:val="both"/>
      </w:pPr>
      <w:r>
        <w:rPr>
          <w:b/>
        </w:rPr>
        <w:t>Artículo 52.- </w:t>
      </w:r>
      <w:r>
        <w:rPr/>
        <w:t>Las actualizaciones son las cantidades que perciba el Municipio cuando no se cubran las contribuciones o los aprovechamientos en la fecha o dentro del plazo fijado por las disposiciones fiscales, a cargo de los contribuyentes, misma que se calculara de conformidad con lo establecido por el Código Fiscal de la</w:t>
      </w:r>
      <w:r>
        <w:rPr>
          <w:spacing w:val="-13"/>
        </w:rPr>
        <w:t> </w:t>
      </w:r>
      <w:r>
        <w:rPr/>
        <w:t>Federación.</w:t>
      </w:r>
    </w:p>
    <w:p>
      <w:pPr>
        <w:pStyle w:val="BodyText"/>
        <w:spacing w:before="1"/>
      </w:pPr>
    </w:p>
    <w:p>
      <w:pPr>
        <w:pStyle w:val="Heading1"/>
        <w:ind w:left="3547" w:right="3583" w:hanging="1"/>
        <w:jc w:val="center"/>
      </w:pPr>
      <w:r>
        <w:rPr/>
        <w:t>Capítulo Décimo Primero Venta de Bases y Licitaciones</w:t>
      </w:r>
    </w:p>
    <w:p>
      <w:pPr>
        <w:pStyle w:val="BodyText"/>
        <w:rPr>
          <w:b/>
        </w:rPr>
      </w:pPr>
    </w:p>
    <w:p>
      <w:pPr>
        <w:pStyle w:val="BodyText"/>
        <w:ind w:left="400" w:right="441"/>
        <w:jc w:val="both"/>
      </w:pPr>
      <w:r>
        <w:rPr>
          <w:b/>
        </w:rPr>
        <w:t>Artículo 53.- </w:t>
      </w:r>
      <w:r>
        <w:rPr/>
        <w:t>La venta de bases de licitaciones de Obras Públicas y de Adquisiciones, se regirán en los términos señalados en las leyes de la materia que correspondan.</w:t>
      </w:r>
    </w:p>
    <w:p>
      <w:pPr>
        <w:spacing w:after="0"/>
        <w:jc w:val="both"/>
        <w:sectPr>
          <w:pgSz w:w="12250" w:h="15850"/>
          <w:pgMar w:header="730" w:footer="0" w:top="1000" w:bottom="280" w:left="860" w:right="820"/>
        </w:sectPr>
      </w:pPr>
    </w:p>
    <w:p>
      <w:pPr>
        <w:pStyle w:val="Heading1"/>
        <w:spacing w:before="183"/>
        <w:ind w:left="3770" w:right="3804"/>
        <w:jc w:val="center"/>
      </w:pPr>
      <w:r>
        <w:rPr/>
        <w:t>Capítulo Décimo Segundo Otros aprovechamientos</w:t>
      </w:r>
    </w:p>
    <w:p>
      <w:pPr>
        <w:pStyle w:val="BodyText"/>
        <w:rPr>
          <w:b/>
        </w:rPr>
      </w:pPr>
    </w:p>
    <w:p>
      <w:pPr>
        <w:pStyle w:val="BodyText"/>
        <w:ind w:left="400" w:right="442"/>
        <w:jc w:val="both"/>
      </w:pPr>
      <w:r>
        <w:rPr>
          <w:b/>
        </w:rPr>
        <w:t>Artículo 54.- </w:t>
      </w:r>
      <w:r>
        <w:rPr/>
        <w:t>Otros aprovechamientos son los demás ingresos que obtenga el Municipio por la explotación de sus bienes patrimoniales no especificados en el presente título y por otras actividades que corresponden a sus funciones propias de derecho público.</w:t>
      </w:r>
    </w:p>
    <w:p>
      <w:pPr>
        <w:pStyle w:val="BodyText"/>
      </w:pPr>
    </w:p>
    <w:p>
      <w:pPr>
        <w:pStyle w:val="ListParagraph"/>
        <w:numPr>
          <w:ilvl w:val="0"/>
          <w:numId w:val="68"/>
        </w:numPr>
        <w:tabs>
          <w:tab w:pos="1121" w:val="left" w:leader="none"/>
        </w:tabs>
        <w:spacing w:line="240" w:lineRule="auto" w:before="0" w:after="0"/>
        <w:ind w:left="1120" w:right="440" w:hanging="720"/>
        <w:jc w:val="both"/>
        <w:rPr>
          <w:sz w:val="24"/>
        </w:rPr>
      </w:pPr>
      <w:r>
        <w:rPr/>
        <w:drawing>
          <wp:anchor distT="0" distB="0" distL="0" distR="0" allowOverlap="1" layoutInCell="1" locked="0" behindDoc="1" simplePos="0" relativeHeight="227551232">
            <wp:simplePos x="0" y="0"/>
            <wp:positionH relativeFrom="page">
              <wp:posOffset>1239220</wp:posOffset>
            </wp:positionH>
            <wp:positionV relativeFrom="paragraph">
              <wp:posOffset>67257</wp:posOffset>
            </wp:positionV>
            <wp:extent cx="5022641" cy="5144769"/>
            <wp:effectExtent l="0" t="0" r="0" b="0"/>
            <wp:wrapNone/>
            <wp:docPr id="163" name="image77.png"/>
            <wp:cNvGraphicFramePr>
              <a:graphicFrameLocks noChangeAspect="1"/>
            </wp:cNvGraphicFramePr>
            <a:graphic>
              <a:graphicData uri="http://schemas.openxmlformats.org/drawingml/2006/picture">
                <pic:pic>
                  <pic:nvPicPr>
                    <pic:cNvPr id="164" name="image77.png"/>
                    <pic:cNvPicPr/>
                  </pic:nvPicPr>
                  <pic:blipFill>
                    <a:blip r:embed="rId87" cstate="print"/>
                    <a:stretch>
                      <a:fillRect/>
                    </a:stretch>
                  </pic:blipFill>
                  <pic:spPr>
                    <a:xfrm>
                      <a:off x="0" y="0"/>
                      <a:ext cx="5022641" cy="5144769"/>
                    </a:xfrm>
                    <a:prstGeom prst="rect">
                      <a:avLst/>
                    </a:prstGeom>
                  </pic:spPr>
                </pic:pic>
              </a:graphicData>
            </a:graphic>
          </wp:anchor>
        </w:drawing>
      </w:r>
      <w:r>
        <w:rPr>
          <w:sz w:val="24"/>
        </w:rPr>
        <w:t>Recorridos Turísticos dentro de la ciudad, proporcionados por la Dirección de Desarrollo Económico y Turismo o su equivalente, con una cuota de recuperación de $30.00 por niño/a y $40.00 por</w:t>
      </w:r>
      <w:r>
        <w:rPr>
          <w:spacing w:val="-9"/>
          <w:sz w:val="24"/>
        </w:rPr>
        <w:t> </w:t>
      </w:r>
      <w:r>
        <w:rPr>
          <w:sz w:val="24"/>
        </w:rPr>
        <w:t>adulto.</w:t>
      </w:r>
    </w:p>
    <w:p>
      <w:pPr>
        <w:pStyle w:val="ListParagraph"/>
        <w:numPr>
          <w:ilvl w:val="0"/>
          <w:numId w:val="68"/>
        </w:numPr>
        <w:tabs>
          <w:tab w:pos="1121" w:val="left" w:leader="none"/>
        </w:tabs>
        <w:spacing w:line="240" w:lineRule="auto" w:before="120" w:after="0"/>
        <w:ind w:left="1120" w:right="432" w:hanging="720"/>
        <w:jc w:val="both"/>
        <w:rPr>
          <w:sz w:val="24"/>
        </w:rPr>
      </w:pPr>
      <w:r>
        <w:rPr>
          <w:sz w:val="24"/>
        </w:rPr>
        <w:t>Recorridos por ex Haciendas proporcionados por la Dirección de Desarrollo Económico y Turismo o su equivalente una cuota de recuperación de $40.00 pesos por niño/a y $60.00 pesos por boleto de</w:t>
      </w:r>
      <w:r>
        <w:rPr>
          <w:spacing w:val="-6"/>
          <w:sz w:val="24"/>
        </w:rPr>
        <w:t> </w:t>
      </w:r>
      <w:r>
        <w:rPr>
          <w:sz w:val="24"/>
        </w:rPr>
        <w:t>adulto.</w:t>
      </w:r>
    </w:p>
    <w:p>
      <w:pPr>
        <w:pStyle w:val="ListParagraph"/>
        <w:numPr>
          <w:ilvl w:val="0"/>
          <w:numId w:val="68"/>
        </w:numPr>
        <w:tabs>
          <w:tab w:pos="1121" w:val="left" w:leader="none"/>
        </w:tabs>
        <w:spacing w:line="240" w:lineRule="auto" w:before="121" w:after="0"/>
        <w:ind w:left="1120" w:right="435" w:hanging="720"/>
        <w:jc w:val="both"/>
        <w:rPr>
          <w:sz w:val="24"/>
        </w:rPr>
      </w:pPr>
      <w:r>
        <w:rPr>
          <w:sz w:val="24"/>
        </w:rPr>
        <w:t>Senderos interpretativos en áreas naturales protegidas proporcionados por la Dirección de Ecología y Protección al Medio Ambiente, exclusivamente en temporada vacacional, con una cuota de recuperación de $35.00 pesos públicos en general.</w:t>
      </w:r>
    </w:p>
    <w:p>
      <w:pPr>
        <w:pStyle w:val="ListParagraph"/>
        <w:numPr>
          <w:ilvl w:val="0"/>
          <w:numId w:val="68"/>
        </w:numPr>
        <w:tabs>
          <w:tab w:pos="1109" w:val="left" w:leader="none"/>
        </w:tabs>
        <w:spacing w:line="240" w:lineRule="auto" w:before="120" w:after="0"/>
        <w:ind w:left="1108" w:right="0" w:hanging="709"/>
        <w:jc w:val="both"/>
        <w:rPr>
          <w:sz w:val="24"/>
        </w:rPr>
      </w:pPr>
      <w:r>
        <w:rPr>
          <w:sz w:val="24"/>
        </w:rPr>
        <w:t>Por Reposición de cheque se cobrará $</w:t>
      </w:r>
      <w:r>
        <w:rPr>
          <w:spacing w:val="-4"/>
          <w:sz w:val="24"/>
        </w:rPr>
        <w:t> </w:t>
      </w:r>
      <w:r>
        <w:rPr>
          <w:sz w:val="24"/>
        </w:rPr>
        <w:t>60.00</w:t>
      </w:r>
    </w:p>
    <w:p>
      <w:pPr>
        <w:pStyle w:val="BodyText"/>
        <w:rPr>
          <w:sz w:val="26"/>
        </w:rPr>
      </w:pPr>
    </w:p>
    <w:p>
      <w:pPr>
        <w:pStyle w:val="BodyText"/>
        <w:rPr>
          <w:sz w:val="22"/>
        </w:rPr>
      </w:pPr>
    </w:p>
    <w:p>
      <w:pPr>
        <w:pStyle w:val="Heading1"/>
        <w:ind w:left="3876" w:right="3908"/>
        <w:jc w:val="center"/>
      </w:pPr>
      <w:r>
        <w:rPr/>
        <w:t>TÍTULO SEXTO PARTICIPACIONES</w:t>
      </w:r>
    </w:p>
    <w:p>
      <w:pPr>
        <w:pStyle w:val="BodyText"/>
        <w:rPr>
          <w:b/>
        </w:rPr>
      </w:pPr>
    </w:p>
    <w:p>
      <w:pPr>
        <w:spacing w:before="0"/>
        <w:ind w:left="4049" w:right="4073" w:firstLine="247"/>
        <w:jc w:val="left"/>
        <w:rPr>
          <w:b/>
          <w:sz w:val="24"/>
        </w:rPr>
      </w:pPr>
      <w:r>
        <w:rPr>
          <w:b/>
          <w:sz w:val="24"/>
        </w:rPr>
        <w:t>Capítulo Primero Del Gobierno Federal</w:t>
      </w:r>
    </w:p>
    <w:p>
      <w:pPr>
        <w:pStyle w:val="BodyText"/>
        <w:spacing w:before="1"/>
        <w:rPr>
          <w:b/>
        </w:rPr>
      </w:pPr>
    </w:p>
    <w:p>
      <w:pPr>
        <w:pStyle w:val="BodyText"/>
        <w:ind w:left="400" w:right="439"/>
        <w:jc w:val="both"/>
      </w:pPr>
      <w:r>
        <w:rPr>
          <w:b/>
        </w:rPr>
        <w:t>Artículo 55.- </w:t>
      </w:r>
      <w:r>
        <w:rPr/>
        <w:t>Participaciones del Gobierno Federal son aquellos ingresos que por concepto de impuesto u otros ingresos Federales le correspondan al Municipio, los cuales se regirán por las disposiciones que al respecto establezcan las leyes correspondientes o por los convenios celebrados con la Federación.</w:t>
      </w:r>
    </w:p>
    <w:p>
      <w:pPr>
        <w:pStyle w:val="BodyText"/>
      </w:pPr>
    </w:p>
    <w:p>
      <w:pPr>
        <w:pStyle w:val="Heading1"/>
        <w:ind w:left="4082" w:right="4107" w:firstLine="153"/>
      </w:pPr>
      <w:r>
        <w:rPr/>
        <w:t>Capítulo Segundo Del Gobierno Estatal</w:t>
      </w:r>
    </w:p>
    <w:p>
      <w:pPr>
        <w:pStyle w:val="BodyText"/>
        <w:rPr>
          <w:b/>
        </w:rPr>
      </w:pPr>
    </w:p>
    <w:p>
      <w:pPr>
        <w:pStyle w:val="BodyText"/>
        <w:ind w:left="400" w:right="445"/>
        <w:jc w:val="both"/>
      </w:pPr>
      <w:r>
        <w:rPr>
          <w:b/>
        </w:rPr>
        <w:t>Artículo 56.- </w:t>
      </w:r>
      <w:r>
        <w:rPr/>
        <w:t>Participaciones del Gobierno del Estatal de Nayarit, son aquellos ingresos que por concepto de impuestos u otros ingresos estatales, que determine el H. Congreso del Estado y las que en su caso se establezcan en los convenios que se celebren con el Ejecutivo del Estado de Nayarit.</w:t>
      </w:r>
    </w:p>
    <w:p>
      <w:pPr>
        <w:pStyle w:val="BodyText"/>
        <w:spacing w:before="1"/>
      </w:pPr>
    </w:p>
    <w:p>
      <w:pPr>
        <w:pStyle w:val="Heading1"/>
        <w:ind w:left="3489" w:right="3523" w:hanging="2"/>
        <w:jc w:val="center"/>
      </w:pPr>
      <w:r>
        <w:rPr/>
        <w:t>TITULO SÉPTIMO APORTACIONES Y SUBSIDIOS</w:t>
      </w:r>
    </w:p>
    <w:p>
      <w:pPr>
        <w:pStyle w:val="BodyText"/>
        <w:rPr>
          <w:b/>
        </w:rPr>
      </w:pPr>
    </w:p>
    <w:p>
      <w:pPr>
        <w:spacing w:before="0"/>
        <w:ind w:left="3902" w:right="3936" w:firstLine="1"/>
        <w:jc w:val="center"/>
        <w:rPr>
          <w:b/>
          <w:sz w:val="24"/>
        </w:rPr>
      </w:pPr>
      <w:r>
        <w:rPr>
          <w:b/>
          <w:sz w:val="24"/>
        </w:rPr>
        <w:t>Capítulo Primero Aportaciones Federales</w:t>
      </w:r>
    </w:p>
    <w:p>
      <w:pPr>
        <w:pStyle w:val="BodyText"/>
        <w:rPr>
          <w:b/>
        </w:rPr>
      </w:pPr>
    </w:p>
    <w:p>
      <w:pPr>
        <w:pStyle w:val="BodyText"/>
        <w:ind w:left="400" w:right="436"/>
        <w:jc w:val="both"/>
      </w:pPr>
      <w:r>
        <w:rPr>
          <w:b/>
        </w:rPr>
        <w:t>Artículo 57.- </w:t>
      </w:r>
      <w:r>
        <w:rPr/>
        <w:t>Aportaciones federales son los ingresos que el Municipio recibe de la Federación, por los siguientes conceptos:</w:t>
      </w:r>
    </w:p>
    <w:p>
      <w:pPr>
        <w:spacing w:after="0"/>
        <w:jc w:val="both"/>
        <w:sectPr>
          <w:pgSz w:w="12250" w:h="15850"/>
          <w:pgMar w:header="730" w:footer="0" w:top="1000" w:bottom="280" w:left="860" w:right="820"/>
        </w:sectPr>
      </w:pPr>
    </w:p>
    <w:p>
      <w:pPr>
        <w:pStyle w:val="BodyText"/>
        <w:spacing w:before="1"/>
        <w:rPr>
          <w:sz w:val="9"/>
        </w:rPr>
      </w:pPr>
    </w:p>
    <w:p>
      <w:pPr>
        <w:pStyle w:val="ListParagraph"/>
        <w:numPr>
          <w:ilvl w:val="1"/>
          <w:numId w:val="68"/>
        </w:numPr>
        <w:tabs>
          <w:tab w:pos="1533" w:val="left" w:leader="none"/>
          <w:tab w:pos="1534" w:val="left" w:leader="none"/>
        </w:tabs>
        <w:spacing w:line="240" w:lineRule="auto" w:before="93" w:after="0"/>
        <w:ind w:left="1535" w:right="443" w:hanging="852"/>
        <w:jc w:val="left"/>
        <w:rPr>
          <w:sz w:val="24"/>
        </w:rPr>
      </w:pPr>
      <w:r>
        <w:rPr>
          <w:sz w:val="24"/>
        </w:rPr>
        <w:t>Fondo de Aportaciones para la Infraestructura Social Municipal y de las demarcaciones territoriales del Distrito</w:t>
      </w:r>
      <w:r>
        <w:rPr>
          <w:spacing w:val="-1"/>
          <w:sz w:val="24"/>
        </w:rPr>
        <w:t> </w:t>
      </w:r>
      <w:r>
        <w:rPr>
          <w:sz w:val="24"/>
        </w:rPr>
        <w:t>Federal</w:t>
      </w:r>
    </w:p>
    <w:p>
      <w:pPr>
        <w:pStyle w:val="ListParagraph"/>
        <w:numPr>
          <w:ilvl w:val="0"/>
          <w:numId w:val="69"/>
        </w:numPr>
        <w:tabs>
          <w:tab w:pos="1533" w:val="left" w:leader="none"/>
          <w:tab w:pos="1534" w:val="left" w:leader="none"/>
        </w:tabs>
        <w:spacing w:line="240" w:lineRule="auto" w:before="120" w:after="0"/>
        <w:ind w:left="1535" w:right="442" w:hanging="852"/>
        <w:jc w:val="left"/>
        <w:rPr>
          <w:sz w:val="24"/>
        </w:rPr>
      </w:pPr>
      <w:r>
        <w:rPr>
          <w:sz w:val="24"/>
        </w:rPr>
        <w:t>Fondo de aportaciones para el fortalecimiento de los Municipios y las demarcaciones territoriales del Distrito</w:t>
      </w:r>
      <w:r>
        <w:rPr>
          <w:spacing w:val="-1"/>
          <w:sz w:val="24"/>
        </w:rPr>
        <w:t> </w:t>
      </w:r>
      <w:r>
        <w:rPr>
          <w:sz w:val="24"/>
        </w:rPr>
        <w:t>Federal</w:t>
      </w:r>
    </w:p>
    <w:p>
      <w:pPr>
        <w:pStyle w:val="ListParagraph"/>
        <w:numPr>
          <w:ilvl w:val="0"/>
          <w:numId w:val="69"/>
        </w:numPr>
        <w:tabs>
          <w:tab w:pos="1533" w:val="left" w:leader="none"/>
          <w:tab w:pos="1534" w:val="left" w:leader="none"/>
        </w:tabs>
        <w:spacing w:line="240" w:lineRule="auto" w:before="120" w:after="0"/>
        <w:ind w:left="1533" w:right="442" w:hanging="850"/>
        <w:jc w:val="left"/>
        <w:rPr>
          <w:sz w:val="24"/>
        </w:rPr>
      </w:pPr>
      <w:r>
        <w:rPr/>
        <w:drawing>
          <wp:anchor distT="0" distB="0" distL="0" distR="0" allowOverlap="1" layoutInCell="1" locked="0" behindDoc="1" simplePos="0" relativeHeight="227552256">
            <wp:simplePos x="0" y="0"/>
            <wp:positionH relativeFrom="page">
              <wp:posOffset>1252555</wp:posOffset>
            </wp:positionH>
            <wp:positionV relativeFrom="paragraph">
              <wp:posOffset>507693</wp:posOffset>
            </wp:positionV>
            <wp:extent cx="5022641" cy="5144769"/>
            <wp:effectExtent l="0" t="0" r="0" b="0"/>
            <wp:wrapNone/>
            <wp:docPr id="165" name="image78.png"/>
            <wp:cNvGraphicFramePr>
              <a:graphicFrameLocks noChangeAspect="1"/>
            </wp:cNvGraphicFramePr>
            <a:graphic>
              <a:graphicData uri="http://schemas.openxmlformats.org/drawingml/2006/picture">
                <pic:pic>
                  <pic:nvPicPr>
                    <pic:cNvPr id="166" name="image78.png"/>
                    <pic:cNvPicPr/>
                  </pic:nvPicPr>
                  <pic:blipFill>
                    <a:blip r:embed="rId88" cstate="print"/>
                    <a:stretch>
                      <a:fillRect/>
                    </a:stretch>
                  </pic:blipFill>
                  <pic:spPr>
                    <a:xfrm>
                      <a:off x="0" y="0"/>
                      <a:ext cx="5022641" cy="5144769"/>
                    </a:xfrm>
                    <a:prstGeom prst="rect">
                      <a:avLst/>
                    </a:prstGeom>
                  </pic:spPr>
                </pic:pic>
              </a:graphicData>
            </a:graphic>
          </wp:anchor>
        </w:drawing>
      </w:r>
      <w:r>
        <w:rPr>
          <w:sz w:val="24"/>
        </w:rPr>
        <w:t>Fondo de Subsidios a los Municipios y a las demarcaciones territoriales del Distrito Federal para la Seguridad</w:t>
      </w:r>
      <w:r>
        <w:rPr>
          <w:spacing w:val="-7"/>
          <w:sz w:val="24"/>
        </w:rPr>
        <w:t> </w:t>
      </w:r>
      <w:r>
        <w:rPr>
          <w:sz w:val="24"/>
        </w:rPr>
        <w:t>Pública.</w:t>
      </w:r>
    </w:p>
    <w:p>
      <w:pPr>
        <w:pStyle w:val="BodyText"/>
      </w:pPr>
    </w:p>
    <w:p>
      <w:pPr>
        <w:pStyle w:val="Heading1"/>
        <w:ind w:left="3254" w:right="3281" w:firstLine="981"/>
      </w:pPr>
      <w:r>
        <w:rPr/>
        <w:t>Capítulo Segundo Subsidios para el Desarrollo Social</w:t>
      </w:r>
    </w:p>
    <w:p>
      <w:pPr>
        <w:pStyle w:val="BodyText"/>
        <w:rPr>
          <w:b/>
        </w:rPr>
      </w:pPr>
    </w:p>
    <w:p>
      <w:pPr>
        <w:pStyle w:val="BodyText"/>
        <w:ind w:left="400" w:right="437"/>
        <w:jc w:val="both"/>
      </w:pPr>
      <w:r>
        <w:rPr>
          <w:b/>
        </w:rPr>
        <w:t>Artículo 58.- </w:t>
      </w:r>
      <w:r>
        <w:rPr/>
        <w:t>Subsidios para el desarrollo social son los ingresos que reciba el Municipio de la Federación y del Estado, así como los recursos y apoyos provenientes en forma directa o indirecta del sector público, privado, externo o de organismos y empresas paraestatales como parte de su política económica y social, de acuerdo a las estrategias y prioridades de desarrollo para el sostenimiento y desempeño de sus actividades y la operación de diversos</w:t>
      </w:r>
      <w:r>
        <w:rPr>
          <w:spacing w:val="-3"/>
        </w:rPr>
        <w:t> </w:t>
      </w:r>
      <w:r>
        <w:rPr/>
        <w:t>programas.</w:t>
      </w:r>
    </w:p>
    <w:p>
      <w:pPr>
        <w:pStyle w:val="BodyText"/>
        <w:spacing w:before="1"/>
      </w:pPr>
    </w:p>
    <w:p>
      <w:pPr>
        <w:pStyle w:val="Heading1"/>
        <w:ind w:left="1247" w:right="1282"/>
        <w:jc w:val="center"/>
      </w:pPr>
      <w:r>
        <w:rPr/>
        <w:t>TÍTULO OCTAVO</w:t>
      </w:r>
    </w:p>
    <w:p>
      <w:pPr>
        <w:spacing w:before="0"/>
        <w:ind w:left="1247" w:right="1282" w:firstLine="0"/>
        <w:jc w:val="center"/>
        <w:rPr>
          <w:b/>
          <w:sz w:val="24"/>
        </w:rPr>
      </w:pPr>
      <w:r>
        <w:rPr>
          <w:b/>
          <w:sz w:val="24"/>
        </w:rPr>
        <w:t>INGRESOS DERIVADOS DE FINANCIAMIENTO</w:t>
      </w:r>
    </w:p>
    <w:p>
      <w:pPr>
        <w:pStyle w:val="BodyText"/>
        <w:rPr>
          <w:b/>
        </w:rPr>
      </w:pPr>
    </w:p>
    <w:p>
      <w:pPr>
        <w:spacing w:before="0"/>
        <w:ind w:left="3696" w:right="3507" w:firstLine="720"/>
        <w:jc w:val="left"/>
        <w:rPr>
          <w:b/>
          <w:sz w:val="24"/>
        </w:rPr>
      </w:pPr>
      <w:r>
        <w:rPr>
          <w:b/>
          <w:sz w:val="24"/>
        </w:rPr>
        <w:t>Capítulo Único Créditos y</w:t>
      </w:r>
      <w:r>
        <w:rPr>
          <w:b/>
          <w:spacing w:val="-19"/>
          <w:sz w:val="24"/>
        </w:rPr>
        <w:t> </w:t>
      </w:r>
      <w:r>
        <w:rPr>
          <w:b/>
          <w:sz w:val="24"/>
        </w:rPr>
        <w:t>Financiamientos</w:t>
      </w:r>
    </w:p>
    <w:p>
      <w:pPr>
        <w:pStyle w:val="BodyText"/>
        <w:rPr>
          <w:b/>
        </w:rPr>
      </w:pPr>
    </w:p>
    <w:p>
      <w:pPr>
        <w:pStyle w:val="BodyText"/>
        <w:ind w:left="400" w:right="442"/>
        <w:jc w:val="both"/>
      </w:pPr>
      <w:r>
        <w:rPr>
          <w:b/>
        </w:rPr>
        <w:t>Artículo 59.- </w:t>
      </w:r>
      <w:r>
        <w:rPr/>
        <w:t>Son créditos y financiamientos, las cantidades que obtenga el municipio para la prosecución de sus fines sociales, previa autorización del Ayuntamiento, de conformidad con lo que para el efecto establecen las Leyes de la</w:t>
      </w:r>
      <w:r>
        <w:rPr>
          <w:spacing w:val="-12"/>
        </w:rPr>
        <w:t> </w:t>
      </w:r>
      <w:r>
        <w:rPr/>
        <w:t>materia.</w:t>
      </w:r>
    </w:p>
    <w:p>
      <w:pPr>
        <w:pStyle w:val="BodyText"/>
        <w:spacing w:before="1"/>
      </w:pPr>
    </w:p>
    <w:p>
      <w:pPr>
        <w:pStyle w:val="Heading1"/>
        <w:ind w:left="1247" w:right="1279"/>
        <w:jc w:val="center"/>
      </w:pPr>
      <w:r>
        <w:rPr/>
        <w:t>TÍTULO NOVENO</w:t>
      </w:r>
    </w:p>
    <w:p>
      <w:pPr>
        <w:spacing w:before="0"/>
        <w:ind w:left="1247" w:right="1284" w:firstLine="0"/>
        <w:jc w:val="center"/>
        <w:rPr>
          <w:b/>
          <w:sz w:val="24"/>
        </w:rPr>
      </w:pPr>
      <w:r>
        <w:rPr>
          <w:b/>
          <w:sz w:val="24"/>
        </w:rPr>
        <w:t>FACILIDADES ADMINISTRATIVAS Y ESTIMULOS FISCALES</w:t>
      </w:r>
    </w:p>
    <w:p>
      <w:pPr>
        <w:pStyle w:val="BodyText"/>
        <w:rPr>
          <w:b/>
        </w:rPr>
      </w:pPr>
    </w:p>
    <w:p>
      <w:pPr>
        <w:spacing w:before="0"/>
        <w:ind w:left="1247" w:right="1280" w:firstLine="0"/>
        <w:jc w:val="center"/>
        <w:rPr>
          <w:b/>
          <w:sz w:val="24"/>
        </w:rPr>
      </w:pPr>
      <w:r>
        <w:rPr>
          <w:b/>
          <w:sz w:val="24"/>
        </w:rPr>
        <w:t>Capítulo Único</w:t>
      </w:r>
    </w:p>
    <w:p>
      <w:pPr>
        <w:spacing w:before="0"/>
        <w:ind w:left="1247" w:right="1284" w:firstLine="0"/>
        <w:jc w:val="center"/>
        <w:rPr>
          <w:b/>
          <w:sz w:val="24"/>
        </w:rPr>
      </w:pPr>
      <w:r>
        <w:rPr>
          <w:b/>
          <w:sz w:val="24"/>
        </w:rPr>
        <w:t>Facilidades Administrativas y Estímulos Fiscales</w:t>
      </w:r>
    </w:p>
    <w:p>
      <w:pPr>
        <w:pStyle w:val="BodyText"/>
        <w:spacing w:before="9"/>
        <w:rPr>
          <w:b/>
          <w:sz w:val="23"/>
        </w:rPr>
      </w:pPr>
    </w:p>
    <w:p>
      <w:pPr>
        <w:pStyle w:val="BodyText"/>
        <w:ind w:left="400" w:right="440"/>
        <w:jc w:val="both"/>
      </w:pPr>
      <w:r>
        <w:rPr>
          <w:b/>
        </w:rPr>
        <w:t>Artículo 60.- </w:t>
      </w:r>
      <w:r>
        <w:rPr/>
        <w:t>El Ayuntamiento podrá autorizar a los contribuyentes beneficios a través de disposiciones generales respecto de los accesorios entendidos como: actualizaciones, recargos, multas, gastos de ejecución e indemnizaciones.</w:t>
      </w:r>
    </w:p>
    <w:p>
      <w:pPr>
        <w:pStyle w:val="BodyText"/>
        <w:spacing w:before="1"/>
      </w:pPr>
    </w:p>
    <w:p>
      <w:pPr>
        <w:pStyle w:val="BodyText"/>
        <w:ind w:left="400" w:right="435"/>
        <w:jc w:val="both"/>
      </w:pPr>
      <w:r>
        <w:rPr/>
        <w:t>A los contribuyentes con calidad de adulto mayor, jubilados y pensionados así como aquellas personas con discapacidad que acrediten con credencial expedida por un instituto oficial, dicha condición, serán beneficiadas con una tarifa del 50% en el cobro de los derechos a que se refiere esta Ley. Dicho beneficio se aplicará únicamente respecto de los servicios que requiera y sea titular.</w:t>
      </w:r>
    </w:p>
    <w:p>
      <w:pPr>
        <w:pStyle w:val="BodyText"/>
      </w:pPr>
    </w:p>
    <w:p>
      <w:pPr>
        <w:pStyle w:val="BodyText"/>
        <w:ind w:left="400" w:right="443"/>
        <w:jc w:val="both"/>
      </w:pPr>
      <w:r>
        <w:rPr>
          <w:b/>
        </w:rPr>
        <w:t>Artículo 61.- </w:t>
      </w:r>
      <w:r>
        <w:rPr/>
        <w:t>El Ayuntamiento mediante disposiciones de carácter general establecerá un programa de beneficios para los contribuyentes con la finalidad de recuperar la cartera vencida.</w:t>
      </w:r>
    </w:p>
    <w:p>
      <w:pPr>
        <w:spacing w:after="0"/>
        <w:jc w:val="both"/>
        <w:sectPr>
          <w:pgSz w:w="12250" w:h="15850"/>
          <w:pgMar w:header="730" w:footer="0" w:top="1000" w:bottom="280" w:left="860" w:right="820"/>
        </w:sectPr>
      </w:pPr>
    </w:p>
    <w:p>
      <w:pPr>
        <w:pStyle w:val="BodyText"/>
        <w:spacing w:before="183"/>
        <w:ind w:left="400" w:right="435"/>
        <w:jc w:val="both"/>
      </w:pPr>
      <w:r>
        <w:rPr>
          <w:b/>
        </w:rPr>
        <w:t>Artículo 62.- </w:t>
      </w:r>
      <w:r>
        <w:rPr/>
        <w:t>La junta de gobierno del Sistema Integral de Agua Potable y Alcantarillado de Tepic, emitirá las disposiciones de carácter general a efecto de que el SIAPA por conducto de su Director General celebre los convenios y beneficios para los contribuyentes con la finalidad de recuperar la cartera vencida</w:t>
      </w:r>
    </w:p>
    <w:p>
      <w:pPr>
        <w:pStyle w:val="BodyText"/>
      </w:pPr>
    </w:p>
    <w:p>
      <w:pPr>
        <w:pStyle w:val="Heading1"/>
        <w:ind w:left="1247" w:right="1280"/>
        <w:jc w:val="center"/>
      </w:pPr>
      <w:r>
        <w:rPr/>
        <w:t>TRANSITORIOS:</w:t>
      </w:r>
    </w:p>
    <w:p>
      <w:pPr>
        <w:pStyle w:val="BodyText"/>
        <w:rPr>
          <w:b/>
        </w:rPr>
      </w:pPr>
    </w:p>
    <w:p>
      <w:pPr>
        <w:pStyle w:val="BodyText"/>
        <w:ind w:left="400" w:right="443"/>
        <w:jc w:val="both"/>
      </w:pPr>
      <w:r>
        <w:rPr/>
        <w:drawing>
          <wp:anchor distT="0" distB="0" distL="0" distR="0" allowOverlap="1" layoutInCell="1" locked="0" behindDoc="1" simplePos="0" relativeHeight="227553280">
            <wp:simplePos x="0" y="0"/>
            <wp:positionH relativeFrom="page">
              <wp:posOffset>1239220</wp:posOffset>
            </wp:positionH>
            <wp:positionV relativeFrom="paragraph">
              <wp:posOffset>67257</wp:posOffset>
            </wp:positionV>
            <wp:extent cx="5022641" cy="5144769"/>
            <wp:effectExtent l="0" t="0" r="0" b="0"/>
            <wp:wrapNone/>
            <wp:docPr id="167" name="image79.png"/>
            <wp:cNvGraphicFramePr>
              <a:graphicFrameLocks noChangeAspect="1"/>
            </wp:cNvGraphicFramePr>
            <a:graphic>
              <a:graphicData uri="http://schemas.openxmlformats.org/drawingml/2006/picture">
                <pic:pic>
                  <pic:nvPicPr>
                    <pic:cNvPr id="168" name="image79.png"/>
                    <pic:cNvPicPr/>
                  </pic:nvPicPr>
                  <pic:blipFill>
                    <a:blip r:embed="rId89" cstate="print"/>
                    <a:stretch>
                      <a:fillRect/>
                    </a:stretch>
                  </pic:blipFill>
                  <pic:spPr>
                    <a:xfrm>
                      <a:off x="0" y="0"/>
                      <a:ext cx="5022641" cy="5144769"/>
                    </a:xfrm>
                    <a:prstGeom prst="rect">
                      <a:avLst/>
                    </a:prstGeom>
                  </pic:spPr>
                </pic:pic>
              </a:graphicData>
            </a:graphic>
          </wp:anchor>
        </w:drawing>
      </w:r>
      <w:r>
        <w:rPr>
          <w:b/>
        </w:rPr>
        <w:t>Primero.- </w:t>
      </w:r>
      <w:r>
        <w:rPr/>
        <w:t>La presente Ley surtirá sus efectos legales a partir del día primero de enero del año dos mil veinte y tendrá su vigencia hasta el treinta y uno de diciembre del mismo año, previa publicación en el Periódico Oficial, Órgano del Gobierno del Estado de Nayarit.</w:t>
      </w:r>
    </w:p>
    <w:p>
      <w:pPr>
        <w:pStyle w:val="BodyText"/>
      </w:pPr>
    </w:p>
    <w:p>
      <w:pPr>
        <w:pStyle w:val="BodyText"/>
        <w:spacing w:before="1"/>
        <w:ind w:left="400" w:right="434"/>
        <w:jc w:val="both"/>
      </w:pPr>
      <w:r>
        <w:rPr>
          <w:b/>
        </w:rPr>
        <w:t>Segundo.- </w:t>
      </w:r>
      <w:r>
        <w:rPr/>
        <w:t>Se instruye a los titulares de las dependencias y direcciones a elaborar los lineamientos, catálogos de servicios, así como disposiciones administrativas de observancia general para el cobro de las contribuciones señaladas en el presente decreto, de conformidad en los artículos 4, fracción X y 61 inciso A de la Ley Municipal para el Estado de Nayarit, los cuales deberán estar elaborados previo a la entrada en vigor de la presente ley. Asimismo, se instruye para que publiquen el Catálogo de Giros Comerciales; así como para que elaboren los lineamientos respectivos a efecto de lo que lo señalado en la presente Ley quede definido, colocando especialmente atención en los Lineamientos respecto al cobro de derechos por servicios de agua potable, drenaje y alcantarillado, tratamiento y disposición de aguas residuales, y sus derivados, que deberán comprender la ubicación de las zonas, la especificación de las claves, entre</w:t>
      </w:r>
      <w:r>
        <w:rPr>
          <w:spacing w:val="-11"/>
        </w:rPr>
        <w:t> </w:t>
      </w:r>
      <w:r>
        <w:rPr/>
        <w:t>otros.</w:t>
      </w:r>
    </w:p>
    <w:p>
      <w:pPr>
        <w:pStyle w:val="BodyText"/>
      </w:pPr>
    </w:p>
    <w:p>
      <w:pPr>
        <w:pStyle w:val="BodyText"/>
        <w:ind w:left="400" w:right="437"/>
        <w:jc w:val="both"/>
      </w:pPr>
      <w:r>
        <w:rPr>
          <w:b/>
        </w:rPr>
        <w:t>Tercero.- </w:t>
      </w:r>
      <w:r>
        <w:rPr/>
        <w:t>Dentro de los 180 días siguientes a la entrada en vigor de la presente Ley, el H. Congreso del Estado, la Junta de Gobierno del Sistema Municipal de Agua Potable y Alcantarillado de Tepic (SIAPA), deberán revisar la actualización de las tarifas relativas a los derechos por servicios de agua potable.</w:t>
      </w:r>
    </w:p>
    <w:p>
      <w:pPr>
        <w:pStyle w:val="BodyText"/>
        <w:spacing w:before="1"/>
      </w:pPr>
    </w:p>
    <w:p>
      <w:pPr>
        <w:pStyle w:val="BodyText"/>
        <w:ind w:left="400" w:right="433"/>
        <w:jc w:val="both"/>
      </w:pPr>
      <w:r>
        <w:rPr>
          <w:b/>
        </w:rPr>
        <w:t>Cuarto.- </w:t>
      </w:r>
      <w:r>
        <w:rPr/>
        <w:t>Dentro de los 60 días siguientes a la entrada en vigor de la presente Ley, la Junta de Gobierno del Sistema Municipal de Agua Potable y Alcantarillado de Tepic (SIAPA), emitirá el catálogo de clasificación de usuarios y tarifas para el cobro de la prestación del servicio de agua potable, respecto del artículo 36 de la presente Ley de Ingresos.</w:t>
      </w:r>
    </w:p>
    <w:p>
      <w:pPr>
        <w:pStyle w:val="BodyText"/>
      </w:pPr>
    </w:p>
    <w:p>
      <w:pPr>
        <w:pStyle w:val="BodyText"/>
        <w:ind w:left="400" w:right="433"/>
        <w:jc w:val="both"/>
      </w:pPr>
      <w:r>
        <w:rPr>
          <w:b/>
        </w:rPr>
        <w:t>Quinto.- </w:t>
      </w:r>
      <w:r>
        <w:rPr/>
        <w:t>El Sistema Municipal de Agua Potable y Alcantarillado de Tepic (SIAPA), hará las acciones necesarias para la implementación del servicio medido de la prestación de servicio de agua potable para los usuarios del Municipio Tepic.</w:t>
      </w:r>
    </w:p>
    <w:p>
      <w:pPr>
        <w:pStyle w:val="BodyText"/>
        <w:spacing w:before="1"/>
      </w:pPr>
    </w:p>
    <w:p>
      <w:pPr>
        <w:pStyle w:val="BodyText"/>
        <w:ind w:left="400" w:right="441"/>
        <w:jc w:val="both"/>
      </w:pPr>
      <w:r>
        <w:rPr>
          <w:b/>
        </w:rPr>
        <w:t>Sexto.- </w:t>
      </w:r>
      <w:r>
        <w:rPr/>
        <w:t>El Ayuntamiento, desde el ámbito de sus respectivas competencias deberá contemplar incentivos fiscales a los contribuyentes que cuenten con un certificado de edificio sustentable, para el ejercicio fiscal 2020.</w:t>
      </w:r>
    </w:p>
    <w:p>
      <w:pPr>
        <w:pStyle w:val="BodyText"/>
      </w:pPr>
    </w:p>
    <w:p>
      <w:pPr>
        <w:pStyle w:val="BodyText"/>
        <w:ind w:left="400" w:right="436"/>
        <w:jc w:val="both"/>
      </w:pPr>
      <w:r>
        <w:rPr>
          <w:b/>
        </w:rPr>
        <w:t>Séptimo.- </w:t>
      </w:r>
      <w:r>
        <w:rPr/>
        <w:t>El Ayuntamiento desde el ámbito de sus respectivas competencias deberá otorgar hasta el 50% de descuento en los conceptos correspondientes a las estancias infantiles que quedaron fuera del programa de la Secretaría de Desarrollo Social y no fueron incluidas al programa de la Secretaría de Bienestar del Gobierno de la República.</w:t>
      </w:r>
    </w:p>
    <w:p>
      <w:pPr>
        <w:spacing w:after="0"/>
        <w:jc w:val="both"/>
        <w:sectPr>
          <w:pgSz w:w="12250" w:h="15850"/>
          <w:pgMar w:header="730" w:footer="0" w:top="1000" w:bottom="280" w:left="860" w:right="820"/>
        </w:sectPr>
      </w:pPr>
    </w:p>
    <w:p>
      <w:pPr>
        <w:pStyle w:val="BodyText"/>
        <w:spacing w:before="1"/>
        <w:rPr>
          <w:sz w:val="9"/>
        </w:rPr>
      </w:pPr>
    </w:p>
    <w:p>
      <w:pPr>
        <w:pStyle w:val="BodyText"/>
        <w:spacing w:before="93"/>
        <w:ind w:left="400" w:right="489"/>
        <w:jc w:val="both"/>
      </w:pPr>
      <w:r>
        <w:rPr>
          <w:b/>
        </w:rPr>
        <w:t>D A D O </w:t>
      </w:r>
      <w:r>
        <w:rPr/>
        <w:t>en la Sala de Sesiones “Lic. Benito Juárez García” recinto oficial del Honorable Congreso del Estado Libre y Soberano de Nayarit, en Tepic, su Capital, a los diecisiete días del mes de diciembre del año dos mil diecinueve.</w:t>
      </w:r>
    </w:p>
    <w:p>
      <w:pPr>
        <w:pStyle w:val="BodyText"/>
      </w:pPr>
    </w:p>
    <w:p>
      <w:pPr>
        <w:spacing w:before="0"/>
        <w:ind w:left="400" w:right="0" w:firstLine="0"/>
        <w:jc w:val="both"/>
        <w:rPr>
          <w:b/>
          <w:sz w:val="24"/>
        </w:rPr>
      </w:pPr>
      <w:r>
        <w:rPr>
          <w:b/>
          <w:sz w:val="24"/>
        </w:rPr>
        <w:t>Dip. Leopoldo Domínguez González, </w:t>
      </w:r>
      <w:r>
        <w:rPr>
          <w:sz w:val="24"/>
        </w:rPr>
        <w:t>Presidente.- </w:t>
      </w:r>
      <w:r>
        <w:rPr>
          <w:i/>
          <w:sz w:val="20"/>
        </w:rPr>
        <w:t>Rúbrica.- </w:t>
      </w:r>
      <w:r>
        <w:rPr>
          <w:b/>
          <w:sz w:val="24"/>
        </w:rPr>
        <w:t>Dip. Margarita Morán Flores,</w:t>
      </w:r>
    </w:p>
    <w:p>
      <w:pPr>
        <w:spacing w:before="0"/>
        <w:ind w:left="400" w:right="0" w:firstLine="0"/>
        <w:jc w:val="both"/>
        <w:rPr>
          <w:i/>
          <w:sz w:val="20"/>
        </w:rPr>
      </w:pPr>
      <w:r>
        <w:rPr>
          <w:sz w:val="24"/>
        </w:rPr>
        <w:t>Secretaria.- </w:t>
      </w:r>
      <w:r>
        <w:rPr>
          <w:i/>
          <w:sz w:val="20"/>
        </w:rPr>
        <w:t>Rúbrica.- </w:t>
      </w:r>
      <w:r>
        <w:rPr>
          <w:b/>
          <w:sz w:val="24"/>
        </w:rPr>
        <w:t>Dip. Marisol Sánchez Navarro, </w:t>
      </w:r>
      <w:r>
        <w:rPr>
          <w:sz w:val="24"/>
        </w:rPr>
        <w:t>Secretaria.- </w:t>
      </w:r>
      <w:r>
        <w:rPr>
          <w:i/>
          <w:sz w:val="20"/>
        </w:rPr>
        <w:t>Rúbrica.</w:t>
      </w:r>
    </w:p>
    <w:p>
      <w:pPr>
        <w:pStyle w:val="BodyText"/>
        <w:rPr>
          <w:i/>
          <w:sz w:val="26"/>
        </w:rPr>
      </w:pPr>
    </w:p>
    <w:p>
      <w:pPr>
        <w:spacing w:line="360" w:lineRule="auto" w:before="229"/>
        <w:ind w:left="400" w:right="434" w:firstLine="708"/>
        <w:jc w:val="both"/>
        <w:rPr>
          <w:i/>
          <w:sz w:val="20"/>
        </w:rPr>
      </w:pPr>
      <w:r>
        <w:rPr/>
        <w:drawing>
          <wp:anchor distT="0" distB="0" distL="0" distR="0" allowOverlap="1" layoutInCell="1" locked="0" behindDoc="1" simplePos="0" relativeHeight="227554304">
            <wp:simplePos x="0" y="0"/>
            <wp:positionH relativeFrom="page">
              <wp:posOffset>1252555</wp:posOffset>
            </wp:positionH>
            <wp:positionV relativeFrom="paragraph">
              <wp:posOffset>43787</wp:posOffset>
            </wp:positionV>
            <wp:extent cx="5022641" cy="5144769"/>
            <wp:effectExtent l="0" t="0" r="0" b="0"/>
            <wp:wrapNone/>
            <wp:docPr id="169" name="image80.png"/>
            <wp:cNvGraphicFramePr>
              <a:graphicFrameLocks noChangeAspect="1"/>
            </wp:cNvGraphicFramePr>
            <a:graphic>
              <a:graphicData uri="http://schemas.openxmlformats.org/drawingml/2006/picture">
                <pic:pic>
                  <pic:nvPicPr>
                    <pic:cNvPr id="170" name="image80.png"/>
                    <pic:cNvPicPr/>
                  </pic:nvPicPr>
                  <pic:blipFill>
                    <a:blip r:embed="rId90" cstate="print"/>
                    <a:stretch>
                      <a:fillRect/>
                    </a:stretch>
                  </pic:blipFill>
                  <pic:spPr>
                    <a:xfrm>
                      <a:off x="0" y="0"/>
                      <a:ext cx="5022641" cy="5144769"/>
                    </a:xfrm>
                    <a:prstGeom prst="rect">
                      <a:avLst/>
                    </a:prstGeom>
                  </pic:spPr>
                </pic:pic>
              </a:graphicData>
            </a:graphic>
          </wp:anchor>
        </w:drawing>
      </w:r>
      <w:r>
        <w:rPr>
          <w:sz w:val="22"/>
        </w:rPr>
        <w:t>Y en cumplimiento a lo dispuesto en la Fracción II del Artículo 69 de la Constitución Política del Estado, y para su debida observancia, promulgo el presente Decreto en la Residencia del Poder Ejecutivo de Nayarit en Tepic su capital, a los veinte días del mes de diciembre de dos mil diecinueve.- </w:t>
      </w:r>
      <w:r>
        <w:rPr>
          <w:b/>
          <w:sz w:val="22"/>
        </w:rPr>
        <w:t>L.C. ANTONIO ECHEVARRÍA GARCÍA.- </w:t>
      </w:r>
      <w:r>
        <w:rPr>
          <w:i/>
          <w:sz w:val="20"/>
        </w:rPr>
        <w:t>Rúbrica.- </w:t>
      </w:r>
      <w:r>
        <w:rPr>
          <w:sz w:val="22"/>
        </w:rPr>
        <w:t>El Secretario General de Gobierno, </w:t>
      </w:r>
      <w:r>
        <w:rPr>
          <w:b/>
          <w:sz w:val="22"/>
        </w:rPr>
        <w:t>Lic. José Antonio Serrano Guzmán.-</w:t>
      </w:r>
      <w:r>
        <w:rPr>
          <w:b/>
          <w:spacing w:val="-3"/>
          <w:sz w:val="22"/>
        </w:rPr>
        <w:t> </w:t>
      </w:r>
      <w:r>
        <w:rPr>
          <w:i/>
          <w:sz w:val="20"/>
        </w:rPr>
        <w:t>Rúbrica.</w:t>
      </w:r>
    </w:p>
    <w:p>
      <w:pPr>
        <w:spacing w:after="0" w:line="360" w:lineRule="auto"/>
        <w:jc w:val="both"/>
        <w:rPr>
          <w:sz w:val="20"/>
        </w:rPr>
        <w:sectPr>
          <w:pgSz w:w="12250" w:h="15850"/>
          <w:pgMar w:header="730" w:footer="0" w:top="1000" w:bottom="280" w:left="860" w:right="820"/>
        </w:sectPr>
      </w:pPr>
    </w:p>
    <w:p>
      <w:pPr>
        <w:pStyle w:val="Heading1"/>
        <w:spacing w:before="183"/>
        <w:ind w:left="1247" w:right="1277"/>
        <w:jc w:val="center"/>
      </w:pPr>
      <w:r>
        <w:rPr/>
        <w:t>ANEXO1.-</w:t>
      </w:r>
    </w:p>
    <w:p>
      <w:pPr>
        <w:spacing w:line="360" w:lineRule="auto" w:before="180"/>
        <w:ind w:left="446" w:right="485" w:firstLine="0"/>
        <w:jc w:val="center"/>
        <w:rPr>
          <w:b/>
          <w:sz w:val="24"/>
        </w:rPr>
      </w:pPr>
      <w:r>
        <w:rPr/>
        <w:drawing>
          <wp:anchor distT="0" distB="0" distL="0" distR="0" allowOverlap="1" layoutInCell="1" locked="0" behindDoc="1" simplePos="0" relativeHeight="227555328">
            <wp:simplePos x="0" y="0"/>
            <wp:positionH relativeFrom="page">
              <wp:posOffset>1239220</wp:posOffset>
            </wp:positionH>
            <wp:positionV relativeFrom="paragraph">
              <wp:posOffset>1118817</wp:posOffset>
            </wp:positionV>
            <wp:extent cx="5021401" cy="5143500"/>
            <wp:effectExtent l="0" t="0" r="0" b="0"/>
            <wp:wrapNone/>
            <wp:docPr id="171" name="image81.png"/>
            <wp:cNvGraphicFramePr>
              <a:graphicFrameLocks noChangeAspect="1"/>
            </wp:cNvGraphicFramePr>
            <a:graphic>
              <a:graphicData uri="http://schemas.openxmlformats.org/drawingml/2006/picture">
                <pic:pic>
                  <pic:nvPicPr>
                    <pic:cNvPr id="172" name="image81.png"/>
                    <pic:cNvPicPr/>
                  </pic:nvPicPr>
                  <pic:blipFill>
                    <a:blip r:embed="rId91" cstate="print"/>
                    <a:stretch>
                      <a:fillRect/>
                    </a:stretch>
                  </pic:blipFill>
                  <pic:spPr>
                    <a:xfrm>
                      <a:off x="0" y="0"/>
                      <a:ext cx="5021401" cy="5143500"/>
                    </a:xfrm>
                    <a:prstGeom prst="rect">
                      <a:avLst/>
                    </a:prstGeom>
                  </pic:spPr>
                </pic:pic>
              </a:graphicData>
            </a:graphic>
          </wp:anchor>
        </w:drawing>
      </w:r>
      <w:r>
        <w:rPr>
          <w:b/>
          <w:sz w:val="24"/>
        </w:rPr>
        <w:t>Catálogo de Giros Vigente en el Municipio de Tepic, Nayarit, para la obtención y/o refrendo de Licencia de Funcionamiento, para el Ejercicio Fiscal 2020</w:t>
      </w:r>
    </w:p>
    <w:p>
      <w:pPr>
        <w:pStyle w:val="BodyText"/>
        <w:rPr>
          <w:b/>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9"/>
              <w:rPr>
                <w:b/>
                <w:sz w:val="20"/>
              </w:rPr>
            </w:pPr>
          </w:p>
          <w:p>
            <w:pPr>
              <w:pStyle w:val="TableParagraph"/>
              <w:spacing w:line="255" w:lineRule="exact" w:before="1"/>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3" w:hRule="atLeast"/>
        </w:trPr>
        <w:tc>
          <w:tcPr>
            <w:tcW w:w="2268" w:type="dxa"/>
          </w:tcPr>
          <w:p>
            <w:pPr>
              <w:pStyle w:val="TableParagraph"/>
              <w:spacing w:before="2"/>
              <w:ind w:left="67"/>
              <w:rPr>
                <w:sz w:val="24"/>
              </w:rPr>
            </w:pPr>
            <w:r>
              <w:rPr>
                <w:sz w:val="24"/>
              </w:rPr>
              <w:t>Abarrotes chico</w:t>
            </w:r>
            <w:r>
              <w:rPr>
                <w:spacing w:val="61"/>
                <w:sz w:val="24"/>
              </w:rPr>
              <w:t> </w:t>
            </w:r>
            <w:r>
              <w:rPr>
                <w:sz w:val="24"/>
              </w:rPr>
              <w:t>(1</w:t>
            </w:r>
          </w:p>
          <w:p>
            <w:pPr>
              <w:pStyle w:val="TableParagraph"/>
              <w:spacing w:line="255" w:lineRule="exact"/>
              <w:ind w:left="67"/>
              <w:rPr>
                <w:sz w:val="24"/>
              </w:rPr>
            </w:pPr>
            <w:r>
              <w:rPr>
                <w:sz w:val="24"/>
              </w:rPr>
              <w:t>a 10 mts.2)</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ind w:left="67"/>
              <w:rPr>
                <w:sz w:val="24"/>
              </w:rPr>
            </w:pPr>
            <w:r>
              <w:rPr>
                <w:sz w:val="24"/>
              </w:rPr>
              <w:t>Abarrotes grande</w:t>
            </w:r>
          </w:p>
          <w:p>
            <w:pPr>
              <w:pStyle w:val="TableParagraph"/>
              <w:spacing w:line="270" w:lineRule="atLeast" w:before="1"/>
              <w:ind w:left="67" w:right="837"/>
              <w:rPr>
                <w:sz w:val="24"/>
              </w:rPr>
            </w:pPr>
            <w:r>
              <w:rPr>
                <w:sz w:val="24"/>
              </w:rPr>
              <w:t>(31 mts.2 en adelante)</w:t>
            </w:r>
          </w:p>
        </w:tc>
        <w:tc>
          <w:tcPr>
            <w:tcW w:w="1561" w:type="dxa"/>
          </w:tcPr>
          <w:p>
            <w:pPr>
              <w:pStyle w:val="TableParagraph"/>
              <w:rPr>
                <w:b/>
                <w:sz w:val="26"/>
              </w:rPr>
            </w:pPr>
          </w:p>
          <w:p>
            <w:pPr>
              <w:pStyle w:val="TableParagraph"/>
              <w:rPr>
                <w:b/>
                <w:sz w:val="22"/>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before="1"/>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before="1"/>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before="1"/>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143"/>
              <w:rPr>
                <w:sz w:val="24"/>
              </w:rPr>
            </w:pPr>
            <w:r>
              <w:rPr>
                <w:sz w:val="24"/>
              </w:rPr>
              <w:t>Abarrotes mediano (11 a 30 mts.2)</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ind w:left="67" w:right="823"/>
              <w:rPr>
                <w:sz w:val="24"/>
              </w:rPr>
            </w:pPr>
            <w:r>
              <w:rPr>
                <w:sz w:val="24"/>
              </w:rPr>
              <w:t>Acabado de construcción</w:t>
            </w:r>
          </w:p>
          <w:p>
            <w:pPr>
              <w:pStyle w:val="TableParagraph"/>
              <w:spacing w:line="255" w:lineRule="exact"/>
              <w:ind w:left="67"/>
              <w:rPr>
                <w:sz w:val="24"/>
              </w:rPr>
            </w:pPr>
            <w:r>
              <w:rPr>
                <w:sz w:val="24"/>
              </w:rPr>
              <w:t>(constructora)</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1"/>
              <w:jc w:val="right"/>
              <w:rPr>
                <w:sz w:val="24"/>
              </w:rPr>
            </w:pPr>
            <w:r>
              <w:rPr>
                <w:sz w:val="24"/>
              </w:rPr>
              <w:t>2,220.54</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30"/>
              <w:rPr>
                <w:sz w:val="24"/>
              </w:rPr>
            </w:pPr>
            <w:r>
              <w:rPr>
                <w:sz w:val="24"/>
              </w:rPr>
              <w:t>Academia de artes marciales similares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770"/>
              <w:rPr>
                <w:sz w:val="24"/>
              </w:rPr>
            </w:pPr>
            <w:r>
              <w:rPr>
                <w:sz w:val="24"/>
              </w:rPr>
              <w:t>Academia de idiomas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450"/>
              <w:rPr>
                <w:sz w:val="24"/>
              </w:rPr>
            </w:pPr>
            <w:r>
              <w:rPr>
                <w:sz w:val="24"/>
              </w:rPr>
              <w:t>Accesorios para comunicación</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5" w:hRule="atLeast"/>
        </w:trPr>
        <w:tc>
          <w:tcPr>
            <w:tcW w:w="2268" w:type="dxa"/>
          </w:tcPr>
          <w:p>
            <w:pPr>
              <w:pStyle w:val="TableParagraph"/>
              <w:spacing w:line="276" w:lineRule="exact" w:before="2"/>
              <w:ind w:left="67" w:right="1010"/>
              <w:rPr>
                <w:sz w:val="24"/>
              </w:rPr>
            </w:pPr>
            <w:r>
              <w:rPr>
                <w:sz w:val="24"/>
              </w:rPr>
              <w:t>Aceites y lubricantes (menudeo)</w:t>
            </w:r>
          </w:p>
        </w:tc>
        <w:tc>
          <w:tcPr>
            <w:tcW w:w="1561" w:type="dxa"/>
          </w:tcPr>
          <w:p>
            <w:pPr>
              <w:pStyle w:val="TableParagraph"/>
              <w:rPr>
                <w:b/>
                <w:sz w:val="26"/>
              </w:rPr>
            </w:pPr>
          </w:p>
          <w:p>
            <w:pPr>
              <w:pStyle w:val="TableParagraph"/>
              <w:spacing w:before="9"/>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9"/>
              <w:rPr>
                <w:b/>
                <w:sz w:val="21"/>
              </w:rPr>
            </w:pPr>
          </w:p>
          <w:p>
            <w:pPr>
              <w:pStyle w:val="TableParagraph"/>
              <w:spacing w:line="255" w:lineRule="exact"/>
              <w:ind w:right="61"/>
              <w:jc w:val="right"/>
              <w:rPr>
                <w:sz w:val="24"/>
              </w:rPr>
            </w:pPr>
            <w:r>
              <w:rPr>
                <w:sz w:val="24"/>
              </w:rPr>
              <w:t>154.46</w:t>
            </w:r>
          </w:p>
        </w:tc>
        <w:tc>
          <w:tcPr>
            <w:tcW w:w="1324" w:type="dxa"/>
          </w:tcPr>
          <w:p>
            <w:pPr>
              <w:pStyle w:val="TableParagraph"/>
              <w:rPr>
                <w:b/>
                <w:sz w:val="26"/>
              </w:rPr>
            </w:pPr>
          </w:p>
          <w:p>
            <w:pPr>
              <w:pStyle w:val="TableParagraph"/>
              <w:spacing w:before="9"/>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9"/>
              <w:rPr>
                <w:b/>
                <w:sz w:val="21"/>
              </w:rPr>
            </w:pPr>
          </w:p>
          <w:p>
            <w:pPr>
              <w:pStyle w:val="TableParagraph"/>
              <w:spacing w:line="255" w:lineRule="exact"/>
              <w:ind w:right="66"/>
              <w:jc w:val="right"/>
              <w:rPr>
                <w:sz w:val="24"/>
              </w:rPr>
            </w:pPr>
            <w:r>
              <w:rPr>
                <w:sz w:val="24"/>
              </w:rPr>
              <w:t>322.32</w:t>
            </w:r>
          </w:p>
        </w:tc>
      </w:tr>
      <w:tr>
        <w:trPr>
          <w:trHeight w:val="822" w:hRule="atLeast"/>
        </w:trPr>
        <w:tc>
          <w:tcPr>
            <w:tcW w:w="2268" w:type="dxa"/>
          </w:tcPr>
          <w:p>
            <w:pPr>
              <w:pStyle w:val="TableParagraph"/>
              <w:spacing w:line="276" w:lineRule="exact"/>
              <w:ind w:left="67" w:right="1010"/>
              <w:rPr>
                <w:sz w:val="24"/>
              </w:rPr>
            </w:pPr>
            <w:r>
              <w:rPr>
                <w:sz w:val="24"/>
              </w:rPr>
              <w:t>Aceites y lubricantes (mayoreo)</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6"/>
              <w:jc w:val="right"/>
              <w:rPr>
                <w:sz w:val="24"/>
              </w:rPr>
            </w:pPr>
            <w:r>
              <w:rPr>
                <w:sz w:val="24"/>
              </w:rPr>
              <w:t>322.32</w:t>
            </w:r>
          </w:p>
        </w:tc>
      </w:tr>
      <w:tr>
        <w:trPr>
          <w:trHeight w:val="546" w:hRule="atLeast"/>
        </w:trPr>
        <w:tc>
          <w:tcPr>
            <w:tcW w:w="2268" w:type="dxa"/>
          </w:tcPr>
          <w:p>
            <w:pPr>
              <w:pStyle w:val="TableParagraph"/>
              <w:spacing w:line="271" w:lineRule="exact"/>
              <w:ind w:left="67"/>
              <w:rPr>
                <w:sz w:val="24"/>
              </w:rPr>
            </w:pPr>
            <w:r>
              <w:rPr>
                <w:sz w:val="24"/>
              </w:rPr>
              <w:t>Actividades</w:t>
            </w:r>
          </w:p>
          <w:p>
            <w:pPr>
              <w:pStyle w:val="TableParagraph"/>
              <w:spacing w:line="255" w:lineRule="exact"/>
              <w:ind w:left="67"/>
              <w:rPr>
                <w:sz w:val="24"/>
              </w:rPr>
            </w:pPr>
            <w:r>
              <w:rPr>
                <w:sz w:val="24"/>
              </w:rPr>
              <w:t>educativas</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6"/>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Acuario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6" w:lineRule="exact" w:before="4"/>
              <w:ind w:left="67" w:right="663"/>
              <w:rPr>
                <w:sz w:val="24"/>
              </w:rPr>
            </w:pPr>
            <w:r>
              <w:rPr>
                <w:sz w:val="24"/>
              </w:rPr>
              <w:t>Afianzadora (aseguradora)</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N/A</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823" w:hRule="atLeast"/>
        </w:trPr>
        <w:tc>
          <w:tcPr>
            <w:tcW w:w="2268" w:type="dxa"/>
          </w:tcPr>
          <w:p>
            <w:pPr>
              <w:pStyle w:val="TableParagraph"/>
              <w:spacing w:line="276" w:lineRule="exact"/>
              <w:ind w:left="67" w:right="303"/>
              <w:rPr>
                <w:sz w:val="24"/>
              </w:rPr>
            </w:pPr>
            <w:r>
              <w:rPr>
                <w:sz w:val="24"/>
              </w:rPr>
              <w:t>Agencia de automóviles y camiones nuevos</w:t>
            </w:r>
          </w:p>
        </w:tc>
        <w:tc>
          <w:tcPr>
            <w:tcW w:w="1561" w:type="dxa"/>
          </w:tcPr>
          <w:p>
            <w:pPr>
              <w:pStyle w:val="TableParagraph"/>
              <w:rPr>
                <w:b/>
                <w:sz w:val="26"/>
              </w:rPr>
            </w:pPr>
          </w:p>
          <w:p>
            <w:pPr>
              <w:pStyle w:val="TableParagraph"/>
              <w:spacing w:before="8"/>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8"/>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8"/>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8"/>
              <w:rPr>
                <w:b/>
                <w:sz w:val="21"/>
              </w:rPr>
            </w:pPr>
          </w:p>
          <w:p>
            <w:pPr>
              <w:pStyle w:val="TableParagraph"/>
              <w:spacing w:line="255" w:lineRule="exact"/>
              <w:ind w:right="63"/>
              <w:jc w:val="right"/>
              <w:rPr>
                <w:sz w:val="24"/>
              </w:rPr>
            </w:pPr>
            <w:r>
              <w:rPr>
                <w:w w:val="99"/>
                <w:sz w:val="24"/>
              </w:rPr>
              <w:t>-</w:t>
            </w:r>
          </w:p>
        </w:tc>
      </w:tr>
      <w:tr>
        <w:trPr>
          <w:trHeight w:val="823" w:hRule="atLeast"/>
        </w:trPr>
        <w:tc>
          <w:tcPr>
            <w:tcW w:w="2268" w:type="dxa"/>
          </w:tcPr>
          <w:p>
            <w:pPr>
              <w:pStyle w:val="TableParagraph"/>
              <w:spacing w:line="276" w:lineRule="exact"/>
              <w:ind w:left="67" w:right="960"/>
              <w:jc w:val="both"/>
              <w:rPr>
                <w:sz w:val="24"/>
              </w:rPr>
            </w:pPr>
            <w:r>
              <w:rPr>
                <w:sz w:val="24"/>
              </w:rPr>
              <w:t>Agencia de bicicletas y refacciones</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N/A</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548" w:hRule="atLeast"/>
        </w:trPr>
        <w:tc>
          <w:tcPr>
            <w:tcW w:w="2268" w:type="dxa"/>
          </w:tcPr>
          <w:p>
            <w:pPr>
              <w:pStyle w:val="TableParagraph"/>
              <w:spacing w:line="276" w:lineRule="exact" w:before="2"/>
              <w:ind w:left="67" w:right="970"/>
              <w:rPr>
                <w:sz w:val="24"/>
              </w:rPr>
            </w:pPr>
            <w:r>
              <w:rPr>
                <w:sz w:val="24"/>
              </w:rPr>
              <w:t>Agencia de colocación</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823" w:hRule="atLeast"/>
        </w:trPr>
        <w:tc>
          <w:tcPr>
            <w:tcW w:w="2268" w:type="dxa"/>
          </w:tcPr>
          <w:p>
            <w:pPr>
              <w:pStyle w:val="TableParagraph"/>
              <w:ind w:left="67" w:right="783"/>
              <w:rPr>
                <w:sz w:val="24"/>
              </w:rPr>
            </w:pPr>
            <w:r>
              <w:rPr>
                <w:sz w:val="24"/>
              </w:rPr>
              <w:t>Agencia de investigación</w:t>
            </w:r>
          </w:p>
          <w:p>
            <w:pPr>
              <w:pStyle w:val="TableParagraph"/>
              <w:spacing w:line="255" w:lineRule="exact"/>
              <w:ind w:left="67"/>
              <w:rPr>
                <w:sz w:val="24"/>
              </w:rPr>
            </w:pPr>
            <w:r>
              <w:rPr>
                <w:sz w:val="24"/>
              </w:rPr>
              <w:t>privada</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N/A</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56352">
            <wp:simplePos x="0" y="0"/>
            <wp:positionH relativeFrom="page">
              <wp:posOffset>1252555</wp:posOffset>
            </wp:positionH>
            <wp:positionV relativeFrom="page">
              <wp:posOffset>2058161</wp:posOffset>
            </wp:positionV>
            <wp:extent cx="5021401" cy="5143500"/>
            <wp:effectExtent l="0" t="0" r="0" b="0"/>
            <wp:wrapNone/>
            <wp:docPr id="173" name="image82.png"/>
            <wp:cNvGraphicFramePr>
              <a:graphicFrameLocks noChangeAspect="1"/>
            </wp:cNvGraphicFramePr>
            <a:graphic>
              <a:graphicData uri="http://schemas.openxmlformats.org/drawingml/2006/picture">
                <pic:pic>
                  <pic:nvPicPr>
                    <pic:cNvPr id="174" name="image82.png"/>
                    <pic:cNvPicPr/>
                  </pic:nvPicPr>
                  <pic:blipFill>
                    <a:blip r:embed="rId92"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837"/>
              <w:rPr>
                <w:sz w:val="24"/>
              </w:rPr>
            </w:pPr>
            <w:r>
              <w:rPr>
                <w:sz w:val="24"/>
              </w:rPr>
              <w:t>Agencia de motocicletas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970"/>
              <w:rPr>
                <w:sz w:val="24"/>
              </w:rPr>
            </w:pPr>
            <w:r>
              <w:rPr>
                <w:sz w:val="24"/>
              </w:rPr>
              <w:t>Agencia de publicidad</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9" w:hRule="atLeast"/>
        </w:trPr>
        <w:tc>
          <w:tcPr>
            <w:tcW w:w="2268" w:type="dxa"/>
          </w:tcPr>
          <w:p>
            <w:pPr>
              <w:pStyle w:val="TableParagraph"/>
              <w:spacing w:line="270" w:lineRule="atLeast" w:before="2"/>
              <w:ind w:left="67" w:right="450"/>
              <w:rPr>
                <w:sz w:val="24"/>
              </w:rPr>
            </w:pPr>
            <w:r>
              <w:rPr>
                <w:sz w:val="24"/>
              </w:rPr>
              <w:t>Agencia de tractores y maq. Agrícola</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Agencia de viajes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spacing w:line="270" w:lineRule="atLeast" w:before="1"/>
              <w:ind w:left="67" w:right="450"/>
              <w:rPr>
                <w:sz w:val="24"/>
              </w:rPr>
            </w:pPr>
            <w:r>
              <w:rPr>
                <w:sz w:val="24"/>
              </w:rPr>
              <w:t>Agroindustrias y similares (menudeo)</w:t>
            </w:r>
          </w:p>
        </w:tc>
        <w:tc>
          <w:tcPr>
            <w:tcW w:w="1561" w:type="dxa"/>
          </w:tcPr>
          <w:p>
            <w:pPr>
              <w:pStyle w:val="TableParagraph"/>
              <w:rPr>
                <w:b/>
                <w:sz w:val="26"/>
              </w:rPr>
            </w:pPr>
          </w:p>
          <w:p>
            <w:pPr>
              <w:pStyle w:val="TableParagraph"/>
              <w:rPr>
                <w:b/>
                <w:sz w:val="22"/>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before="1"/>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before="1"/>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before="1"/>
              <w:ind w:right="66"/>
              <w:jc w:val="right"/>
              <w:rPr>
                <w:sz w:val="24"/>
              </w:rPr>
            </w:pPr>
            <w:r>
              <w:rPr>
                <w:sz w:val="24"/>
              </w:rPr>
              <w:t>241.07</w:t>
            </w:r>
          </w:p>
        </w:tc>
      </w:tr>
      <w:tr>
        <w:trPr>
          <w:trHeight w:val="550" w:hRule="atLeast"/>
        </w:trPr>
        <w:tc>
          <w:tcPr>
            <w:tcW w:w="2268" w:type="dxa"/>
          </w:tcPr>
          <w:p>
            <w:pPr>
              <w:pStyle w:val="TableParagraph"/>
              <w:spacing w:line="276" w:lineRule="exact" w:before="4"/>
              <w:ind w:left="67" w:right="63"/>
              <w:rPr>
                <w:sz w:val="24"/>
              </w:rPr>
            </w:pPr>
            <w:r>
              <w:rPr>
                <w:sz w:val="24"/>
              </w:rPr>
              <w:t>Agroindustrias y similares (mayoreo)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822" w:hRule="atLeast"/>
        </w:trPr>
        <w:tc>
          <w:tcPr>
            <w:tcW w:w="2268" w:type="dxa"/>
          </w:tcPr>
          <w:p>
            <w:pPr>
              <w:pStyle w:val="TableParagraph"/>
              <w:ind w:left="67" w:right="89"/>
              <w:rPr>
                <w:sz w:val="24"/>
              </w:rPr>
            </w:pPr>
            <w:r>
              <w:rPr>
                <w:sz w:val="24"/>
              </w:rPr>
              <w:t>Alarmas venta de equipo doméstico e</w:t>
            </w:r>
          </w:p>
          <w:p>
            <w:pPr>
              <w:pStyle w:val="TableParagraph"/>
              <w:spacing w:line="255" w:lineRule="exact"/>
              <w:ind w:left="67"/>
              <w:rPr>
                <w:sz w:val="24"/>
              </w:rPr>
            </w:pPr>
            <w:r>
              <w:rPr>
                <w:sz w:val="24"/>
              </w:rPr>
              <w:t>industrial</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104"/>
              <w:rPr>
                <w:sz w:val="24"/>
              </w:rPr>
            </w:pPr>
            <w:r>
              <w:rPr>
                <w:sz w:val="24"/>
              </w:rPr>
              <w:t>Alarmas y seguridad</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Alfarería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line="270" w:lineRule="atLeast" w:before="2"/>
              <w:ind w:left="67" w:right="956"/>
              <w:rPr>
                <w:sz w:val="24"/>
              </w:rPr>
            </w:pPr>
            <w:r>
              <w:rPr>
                <w:sz w:val="24"/>
              </w:rPr>
              <w:t>Alimentos preparados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876"/>
              <w:rPr>
                <w:sz w:val="24"/>
              </w:rPr>
            </w:pPr>
            <w:r>
              <w:rPr>
                <w:sz w:val="24"/>
              </w:rPr>
              <w:t>Alineación y balanceo</w:t>
            </w:r>
          </w:p>
        </w:tc>
        <w:tc>
          <w:tcPr>
            <w:tcW w:w="1561" w:type="dxa"/>
          </w:tcPr>
          <w:p>
            <w:pPr>
              <w:pStyle w:val="TableParagraph"/>
              <w:rPr>
                <w:b/>
                <w:sz w:val="24"/>
              </w:rPr>
            </w:pPr>
          </w:p>
          <w:p>
            <w:pPr>
              <w:pStyle w:val="TableParagraph"/>
              <w:spacing w:line="255"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1103" w:hRule="atLeast"/>
        </w:trPr>
        <w:tc>
          <w:tcPr>
            <w:tcW w:w="2268" w:type="dxa"/>
          </w:tcPr>
          <w:p>
            <w:pPr>
              <w:pStyle w:val="TableParagraph"/>
              <w:spacing w:line="270" w:lineRule="atLeast"/>
              <w:ind w:left="67" w:right="530"/>
              <w:rPr>
                <w:sz w:val="24"/>
              </w:rPr>
            </w:pPr>
            <w:r>
              <w:rPr>
                <w:sz w:val="24"/>
              </w:rPr>
              <w:t>Almacén o distribuidora de bebidas no alcohólicas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0"/>
              <w:ind w:right="66"/>
              <w:jc w:val="right"/>
              <w:rPr>
                <w:sz w:val="24"/>
              </w:rPr>
            </w:pPr>
            <w:r>
              <w:rPr>
                <w:sz w:val="24"/>
              </w:rPr>
              <w:t>322.32</w:t>
            </w:r>
          </w:p>
        </w:tc>
      </w:tr>
      <w:tr>
        <w:trPr>
          <w:trHeight w:val="550" w:hRule="atLeast"/>
        </w:trPr>
        <w:tc>
          <w:tcPr>
            <w:tcW w:w="2268" w:type="dxa"/>
          </w:tcPr>
          <w:p>
            <w:pPr>
              <w:pStyle w:val="TableParagraph"/>
              <w:spacing w:line="276" w:lineRule="exact" w:before="4"/>
              <w:ind w:left="67" w:right="943"/>
              <w:rPr>
                <w:sz w:val="24"/>
              </w:rPr>
            </w:pPr>
            <w:r>
              <w:rPr>
                <w:sz w:val="24"/>
              </w:rPr>
              <w:t>Aluminios y cristales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2"/>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3" w:hRule="atLeast"/>
        </w:trPr>
        <w:tc>
          <w:tcPr>
            <w:tcW w:w="2268" w:type="dxa"/>
          </w:tcPr>
          <w:p>
            <w:pPr>
              <w:pStyle w:val="TableParagraph"/>
              <w:spacing w:line="271" w:lineRule="exact"/>
              <w:ind w:left="67"/>
              <w:rPr>
                <w:sz w:val="24"/>
              </w:rPr>
            </w:pPr>
            <w:r>
              <w:rPr>
                <w:sz w:val="24"/>
              </w:rPr>
              <w:t>Aparatos</w:t>
            </w:r>
          </w:p>
          <w:p>
            <w:pPr>
              <w:pStyle w:val="TableParagraph"/>
              <w:spacing w:line="270" w:lineRule="atLeast"/>
              <w:ind w:left="67" w:right="690"/>
              <w:rPr>
                <w:sz w:val="24"/>
              </w:rPr>
            </w:pPr>
            <w:r>
              <w:rPr>
                <w:sz w:val="24"/>
              </w:rPr>
              <w:t>comerciales e industriales</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30"/>
              <w:rPr>
                <w:sz w:val="24"/>
              </w:rPr>
            </w:pPr>
            <w:r>
              <w:rPr>
                <w:sz w:val="24"/>
              </w:rPr>
              <w:t>Aparatos eléctricos y electrónicos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409"/>
              <w:rPr>
                <w:sz w:val="24"/>
              </w:rPr>
            </w:pPr>
            <w:r>
              <w:rPr>
                <w:sz w:val="24"/>
              </w:rPr>
              <w:t>Aparatos para la sordera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0"/>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617" w:hRule="atLeast"/>
        </w:trPr>
        <w:tc>
          <w:tcPr>
            <w:tcW w:w="2268" w:type="dxa"/>
          </w:tcPr>
          <w:p>
            <w:pPr>
              <w:pStyle w:val="TableParagraph"/>
              <w:spacing w:before="9"/>
              <w:rPr>
                <w:b/>
                <w:sz w:val="29"/>
              </w:rPr>
            </w:pPr>
          </w:p>
          <w:p>
            <w:pPr>
              <w:pStyle w:val="TableParagraph"/>
              <w:spacing w:line="255" w:lineRule="exact"/>
              <w:ind w:left="67"/>
              <w:rPr>
                <w:sz w:val="24"/>
              </w:rPr>
            </w:pPr>
            <w:r>
              <w:rPr>
                <w:sz w:val="24"/>
              </w:rPr>
              <w:t>Armerías</w:t>
            </w:r>
          </w:p>
        </w:tc>
        <w:tc>
          <w:tcPr>
            <w:tcW w:w="1561" w:type="dxa"/>
          </w:tcPr>
          <w:p>
            <w:pPr>
              <w:pStyle w:val="TableParagraph"/>
              <w:spacing w:before="9"/>
              <w:rPr>
                <w:b/>
                <w:sz w:val="29"/>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9"/>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9"/>
              </w:rPr>
            </w:pPr>
          </w:p>
          <w:p>
            <w:pPr>
              <w:pStyle w:val="TableParagraph"/>
              <w:spacing w:line="255" w:lineRule="exact"/>
              <w:ind w:right="63"/>
              <w:jc w:val="right"/>
              <w:rPr>
                <w:sz w:val="24"/>
              </w:rPr>
            </w:pPr>
            <w:r>
              <w:rPr>
                <w:sz w:val="24"/>
              </w:rPr>
              <w:t>367.86</w:t>
            </w:r>
          </w:p>
        </w:tc>
        <w:tc>
          <w:tcPr>
            <w:tcW w:w="1304" w:type="dxa"/>
          </w:tcPr>
          <w:p>
            <w:pPr>
              <w:pStyle w:val="TableParagraph"/>
              <w:spacing w:before="9"/>
              <w:rPr>
                <w:b/>
                <w:sz w:val="29"/>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Arreglos frutales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4" w:hRule="atLeast"/>
        </w:trPr>
        <w:tc>
          <w:tcPr>
            <w:tcW w:w="2268" w:type="dxa"/>
          </w:tcPr>
          <w:p>
            <w:pPr>
              <w:pStyle w:val="TableParagraph"/>
              <w:spacing w:line="276" w:lineRule="exact" w:before="4"/>
              <w:ind w:left="67" w:right="503"/>
              <w:rPr>
                <w:sz w:val="24"/>
              </w:rPr>
            </w:pPr>
            <w:r>
              <w:rPr>
                <w:sz w:val="24"/>
              </w:rPr>
              <w:t>Arrendadora de autos</w:t>
            </w:r>
          </w:p>
        </w:tc>
        <w:tc>
          <w:tcPr>
            <w:tcW w:w="1561" w:type="dxa"/>
          </w:tcPr>
          <w:p>
            <w:pPr>
              <w:pStyle w:val="TableParagraph"/>
              <w:rPr>
                <w:b/>
                <w:sz w:val="24"/>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8" w:lineRule="exact"/>
              <w:ind w:right="62"/>
              <w:jc w:val="right"/>
              <w:rPr>
                <w:sz w:val="24"/>
              </w:rPr>
            </w:pPr>
            <w:r>
              <w:rPr>
                <w:sz w:val="24"/>
              </w:rPr>
              <w:t>384.82</w:t>
            </w:r>
          </w:p>
        </w:tc>
        <w:tc>
          <w:tcPr>
            <w:tcW w:w="1324" w:type="dxa"/>
          </w:tcPr>
          <w:p>
            <w:pPr>
              <w:pStyle w:val="TableParagraph"/>
              <w:rPr>
                <w:b/>
                <w:sz w:val="24"/>
              </w:rPr>
            </w:pPr>
          </w:p>
          <w:p>
            <w:pPr>
              <w:pStyle w:val="TableParagraph"/>
              <w:spacing w:line="258" w:lineRule="exact"/>
              <w:ind w:right="63"/>
              <w:jc w:val="right"/>
              <w:rPr>
                <w:sz w:val="24"/>
              </w:rPr>
            </w:pPr>
            <w:r>
              <w:rPr>
                <w:sz w:val="24"/>
              </w:rPr>
              <w:t>367.86</w:t>
            </w:r>
          </w:p>
        </w:tc>
        <w:tc>
          <w:tcPr>
            <w:tcW w:w="1304" w:type="dxa"/>
          </w:tcPr>
          <w:p>
            <w:pPr>
              <w:pStyle w:val="TableParagraph"/>
              <w:rPr>
                <w:b/>
                <w:sz w:val="24"/>
              </w:rPr>
            </w:pPr>
          </w:p>
          <w:p>
            <w:pPr>
              <w:pStyle w:val="TableParagraph"/>
              <w:spacing w:line="258" w:lineRule="exact"/>
              <w:ind w:right="63"/>
              <w:jc w:val="right"/>
              <w:rPr>
                <w:sz w:val="24"/>
              </w:rPr>
            </w:pPr>
            <w:r>
              <w:rPr>
                <w:w w:val="99"/>
                <w:sz w:val="24"/>
              </w:rPr>
              <w:t>-</w:t>
            </w:r>
          </w:p>
        </w:tc>
      </w:tr>
    </w:tbl>
    <w:p>
      <w:pPr>
        <w:spacing w:after="0" w:line="258"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57376">
            <wp:simplePos x="0" y="0"/>
            <wp:positionH relativeFrom="page">
              <wp:posOffset>1239220</wp:posOffset>
            </wp:positionH>
            <wp:positionV relativeFrom="page">
              <wp:posOffset>2058161</wp:posOffset>
            </wp:positionV>
            <wp:extent cx="5021401" cy="5143500"/>
            <wp:effectExtent l="0" t="0" r="0" b="0"/>
            <wp:wrapNone/>
            <wp:docPr id="175" name="image83.png"/>
            <wp:cNvGraphicFramePr>
              <a:graphicFrameLocks noChangeAspect="1"/>
            </wp:cNvGraphicFramePr>
            <a:graphic>
              <a:graphicData uri="http://schemas.openxmlformats.org/drawingml/2006/picture">
                <pic:pic>
                  <pic:nvPicPr>
                    <pic:cNvPr id="176" name="image83.png"/>
                    <pic:cNvPicPr/>
                  </pic:nvPicPr>
                  <pic:blipFill>
                    <a:blip r:embed="rId93"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
              <w:rPr>
                <w:b/>
                <w:sz w:val="21"/>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30" w:hRule="atLeast"/>
        </w:trPr>
        <w:tc>
          <w:tcPr>
            <w:tcW w:w="2268" w:type="dxa"/>
            <w:vMerge/>
            <w:tcBorders>
              <w:top w:val="nil"/>
            </w:tcBorders>
          </w:tcPr>
          <w:p>
            <w:pPr>
              <w:rPr>
                <w:sz w:val="2"/>
                <w:szCs w:val="2"/>
              </w:rPr>
            </w:pPr>
          </w:p>
        </w:tc>
        <w:tc>
          <w:tcPr>
            <w:tcW w:w="1561" w:type="dxa"/>
          </w:tcPr>
          <w:p>
            <w:pPr>
              <w:pStyle w:val="TableParagraph"/>
              <w:spacing w:before="3"/>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spacing w:before="3"/>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spacing w:before="3"/>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spacing w:before="3"/>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spacing w:before="3"/>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1103" w:hRule="atLeast"/>
        </w:trPr>
        <w:tc>
          <w:tcPr>
            <w:tcW w:w="2268" w:type="dxa"/>
          </w:tcPr>
          <w:p>
            <w:pPr>
              <w:pStyle w:val="TableParagraph"/>
              <w:spacing w:line="270" w:lineRule="atLeast"/>
              <w:ind w:left="67" w:right="356"/>
              <w:rPr>
                <w:sz w:val="24"/>
              </w:rPr>
            </w:pPr>
            <w:r>
              <w:rPr>
                <w:sz w:val="24"/>
              </w:rPr>
              <w:t>Arrendamiento administrativo de muebles e inmuebles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Artesanías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96"/>
              <w:rPr>
                <w:sz w:val="24"/>
              </w:rPr>
            </w:pPr>
            <w:r>
              <w:rPr>
                <w:sz w:val="24"/>
              </w:rPr>
              <w:t>Articulo y equipo para pesca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6" w:lineRule="exact" w:before="4"/>
              <w:ind w:left="67" w:right="650"/>
              <w:rPr>
                <w:sz w:val="24"/>
              </w:rPr>
            </w:pPr>
            <w:r>
              <w:rPr>
                <w:sz w:val="24"/>
              </w:rPr>
              <w:t>Artículos agropecuarios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47" w:hRule="atLeast"/>
        </w:trPr>
        <w:tc>
          <w:tcPr>
            <w:tcW w:w="2268" w:type="dxa"/>
          </w:tcPr>
          <w:p>
            <w:pPr>
              <w:pStyle w:val="TableParagraph"/>
              <w:spacing w:line="276" w:lineRule="exact"/>
              <w:ind w:left="67" w:right="343"/>
              <w:rPr>
                <w:sz w:val="24"/>
              </w:rPr>
            </w:pPr>
            <w:r>
              <w:rPr>
                <w:sz w:val="24"/>
              </w:rPr>
              <w:t>Artículos básicos merc. En general</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7"/>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line="276" w:lineRule="exact"/>
              <w:ind w:left="67" w:right="903"/>
              <w:rPr>
                <w:sz w:val="24"/>
              </w:rPr>
            </w:pPr>
            <w:r>
              <w:rPr>
                <w:sz w:val="24"/>
              </w:rPr>
              <w:t>Artículos de decoración</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241.07</w:t>
            </w:r>
          </w:p>
        </w:tc>
      </w:tr>
      <w:tr>
        <w:trPr>
          <w:trHeight w:val="548" w:hRule="atLeast"/>
        </w:trPr>
        <w:tc>
          <w:tcPr>
            <w:tcW w:w="2268" w:type="dxa"/>
          </w:tcPr>
          <w:p>
            <w:pPr>
              <w:pStyle w:val="TableParagraph"/>
              <w:spacing w:line="276" w:lineRule="exact" w:before="2"/>
              <w:ind w:left="67" w:right="903"/>
              <w:rPr>
                <w:sz w:val="24"/>
              </w:rPr>
            </w:pPr>
            <w:r>
              <w:rPr>
                <w:sz w:val="24"/>
              </w:rPr>
              <w:t>Artículos de limpieza</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spacing w:line="271" w:lineRule="exact"/>
              <w:ind w:left="67"/>
              <w:rPr>
                <w:sz w:val="24"/>
              </w:rPr>
            </w:pPr>
            <w:r>
              <w:rPr>
                <w:sz w:val="24"/>
              </w:rPr>
              <w:t>Artículos de oficina</w:t>
            </w:r>
          </w:p>
          <w:p>
            <w:pPr>
              <w:pStyle w:val="TableParagraph"/>
              <w:spacing w:line="270" w:lineRule="atLeast"/>
              <w:ind w:left="67" w:right="116"/>
              <w:rPr>
                <w:sz w:val="24"/>
              </w:rPr>
            </w:pPr>
            <w:r>
              <w:rPr>
                <w:sz w:val="24"/>
              </w:rPr>
              <w:t>y papelería en peq. De 10 a 30 mts.2</w:t>
            </w:r>
          </w:p>
        </w:tc>
        <w:tc>
          <w:tcPr>
            <w:tcW w:w="1561" w:type="dxa"/>
          </w:tcPr>
          <w:p>
            <w:pPr>
              <w:pStyle w:val="TableParagraph"/>
              <w:rPr>
                <w:b/>
                <w:sz w:val="26"/>
              </w:rPr>
            </w:pPr>
          </w:p>
          <w:p>
            <w:pPr>
              <w:pStyle w:val="TableParagraph"/>
              <w:spacing w:before="6"/>
              <w:rPr>
                <w:b/>
                <w:sz w:val="21"/>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before="1"/>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before="1"/>
              <w:ind w:right="63"/>
              <w:jc w:val="right"/>
              <w:rPr>
                <w:sz w:val="24"/>
              </w:rPr>
            </w:pPr>
            <w:r>
              <w:rPr>
                <w:sz w:val="24"/>
              </w:rPr>
              <w:t>367.86</w:t>
            </w:r>
          </w:p>
        </w:tc>
        <w:tc>
          <w:tcPr>
            <w:tcW w:w="1304" w:type="dxa"/>
          </w:tcPr>
          <w:p>
            <w:pPr>
              <w:pStyle w:val="TableParagraph"/>
              <w:rPr>
                <w:b/>
                <w:sz w:val="26"/>
              </w:rPr>
            </w:pPr>
          </w:p>
          <w:p>
            <w:pPr>
              <w:pStyle w:val="TableParagraph"/>
              <w:spacing w:before="6"/>
              <w:rPr>
                <w:b/>
                <w:sz w:val="21"/>
              </w:rPr>
            </w:pPr>
          </w:p>
          <w:p>
            <w:pPr>
              <w:pStyle w:val="TableParagraph"/>
              <w:spacing w:line="255" w:lineRule="exact" w:before="1"/>
              <w:ind w:right="63"/>
              <w:jc w:val="right"/>
              <w:rPr>
                <w:sz w:val="24"/>
              </w:rPr>
            </w:pPr>
            <w:r>
              <w:rPr>
                <w:w w:val="99"/>
                <w:sz w:val="24"/>
              </w:rPr>
              <w:t>-</w:t>
            </w:r>
          </w:p>
        </w:tc>
      </w:tr>
      <w:tr>
        <w:trPr>
          <w:trHeight w:val="826" w:hRule="atLeast"/>
        </w:trPr>
        <w:tc>
          <w:tcPr>
            <w:tcW w:w="2268" w:type="dxa"/>
          </w:tcPr>
          <w:p>
            <w:pPr>
              <w:pStyle w:val="TableParagraph"/>
              <w:spacing w:line="276" w:lineRule="exact"/>
              <w:ind w:left="67"/>
              <w:rPr>
                <w:sz w:val="24"/>
              </w:rPr>
            </w:pPr>
            <w:r>
              <w:rPr>
                <w:sz w:val="24"/>
              </w:rPr>
              <w:t>Artículos de oficina</w:t>
            </w:r>
          </w:p>
          <w:p>
            <w:pPr>
              <w:pStyle w:val="TableParagraph"/>
              <w:spacing w:line="270" w:lineRule="atLeast"/>
              <w:ind w:left="67" w:right="983"/>
              <w:rPr>
                <w:sz w:val="24"/>
              </w:rPr>
            </w:pPr>
            <w:r>
              <w:rPr>
                <w:sz w:val="24"/>
              </w:rPr>
              <w:t>y papelería mayoreo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1103" w:hRule="atLeast"/>
        </w:trPr>
        <w:tc>
          <w:tcPr>
            <w:tcW w:w="2268" w:type="dxa"/>
          </w:tcPr>
          <w:p>
            <w:pPr>
              <w:pStyle w:val="TableParagraph"/>
              <w:spacing w:line="270" w:lineRule="atLeast"/>
              <w:ind w:left="67" w:right="68"/>
              <w:rPr>
                <w:sz w:val="24"/>
              </w:rPr>
            </w:pPr>
            <w:r>
              <w:rPr>
                <w:sz w:val="24"/>
              </w:rPr>
              <w:t>artículos de oficina y papelería mediano de 31 a </w:t>
            </w:r>
            <w:r>
              <w:rPr>
                <w:spacing w:val="-7"/>
                <w:sz w:val="24"/>
              </w:rPr>
              <w:t>50 </w:t>
            </w:r>
            <w:r>
              <w:rPr>
                <w:sz w:val="24"/>
              </w:rPr>
              <w:t>mts.2</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903"/>
              <w:rPr>
                <w:sz w:val="24"/>
              </w:rPr>
            </w:pPr>
            <w:r>
              <w:rPr>
                <w:sz w:val="24"/>
              </w:rPr>
              <w:t>Artículos de plástico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1153" w:hRule="atLeast"/>
        </w:trPr>
        <w:tc>
          <w:tcPr>
            <w:tcW w:w="2268" w:type="dxa"/>
          </w:tcPr>
          <w:p>
            <w:pPr>
              <w:pStyle w:val="TableParagraph"/>
              <w:spacing w:line="270" w:lineRule="atLeast" w:before="50"/>
              <w:ind w:left="67" w:right="223"/>
              <w:rPr>
                <w:sz w:val="24"/>
              </w:rPr>
            </w:pPr>
            <w:r>
              <w:rPr>
                <w:sz w:val="24"/>
              </w:rPr>
              <w:t>Artículos de plomería y accesorios p/baño y azulejos</w:t>
            </w:r>
          </w:p>
        </w:tc>
        <w:tc>
          <w:tcPr>
            <w:tcW w:w="1561" w:type="dxa"/>
          </w:tcPr>
          <w:p>
            <w:pPr>
              <w:pStyle w:val="TableParagraph"/>
              <w:rPr>
                <w:b/>
                <w:sz w:val="26"/>
              </w:rPr>
            </w:pPr>
          </w:p>
          <w:p>
            <w:pPr>
              <w:pStyle w:val="TableParagraph"/>
              <w:rPr>
                <w:b/>
                <w:sz w:val="26"/>
              </w:rPr>
            </w:pPr>
          </w:p>
          <w:p>
            <w:pPr>
              <w:pStyle w:val="TableParagraph"/>
              <w:spacing w:before="4"/>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before="4"/>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before="4"/>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before="4"/>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before="1"/>
              <w:ind w:left="67"/>
              <w:rPr>
                <w:sz w:val="24"/>
              </w:rPr>
            </w:pPr>
            <w:r>
              <w:rPr>
                <w:sz w:val="24"/>
              </w:rPr>
              <w:t>Artículos deportivos</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930"/>
              <w:rPr>
                <w:sz w:val="24"/>
              </w:rPr>
            </w:pPr>
            <w:r>
              <w:rPr>
                <w:sz w:val="24"/>
              </w:rPr>
              <w:t>Artículos fotográficos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line="270" w:lineRule="atLeast" w:before="2"/>
              <w:ind w:left="67" w:right="103"/>
              <w:rPr>
                <w:sz w:val="24"/>
              </w:rPr>
            </w:pPr>
            <w:r>
              <w:rPr>
                <w:sz w:val="24"/>
              </w:rPr>
              <w:t>Artículos higiénicos desechables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97"/>
              <w:rPr>
                <w:sz w:val="24"/>
              </w:rPr>
            </w:pPr>
            <w:r>
              <w:rPr>
                <w:sz w:val="24"/>
              </w:rPr>
              <w:t>Artículos medico dentales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Artículos para bebe</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ind w:left="67" w:right="436"/>
              <w:rPr>
                <w:sz w:val="24"/>
              </w:rPr>
            </w:pPr>
            <w:r>
              <w:rPr>
                <w:sz w:val="24"/>
              </w:rPr>
              <w:t>Artículos para el hogar</w:t>
            </w:r>
          </w:p>
        </w:tc>
        <w:tc>
          <w:tcPr>
            <w:tcW w:w="1561" w:type="dxa"/>
          </w:tcPr>
          <w:p>
            <w:pPr>
              <w:pStyle w:val="TableParagraph"/>
              <w:rPr>
                <w:b/>
                <w:sz w:val="24"/>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6" w:lineRule="exact"/>
              <w:ind w:right="62"/>
              <w:jc w:val="right"/>
              <w:rPr>
                <w:sz w:val="24"/>
              </w:rPr>
            </w:pPr>
            <w:r>
              <w:rPr>
                <w:sz w:val="24"/>
              </w:rPr>
              <w:t>154.46</w:t>
            </w:r>
          </w:p>
        </w:tc>
        <w:tc>
          <w:tcPr>
            <w:tcW w:w="1324" w:type="dxa"/>
          </w:tcPr>
          <w:p>
            <w:pPr>
              <w:pStyle w:val="TableParagraph"/>
              <w:rPr>
                <w:b/>
                <w:sz w:val="24"/>
              </w:rPr>
            </w:pPr>
          </w:p>
          <w:p>
            <w:pPr>
              <w:pStyle w:val="TableParagraph"/>
              <w:spacing w:line="256" w:lineRule="exact"/>
              <w:ind w:right="63"/>
              <w:jc w:val="right"/>
              <w:rPr>
                <w:sz w:val="24"/>
              </w:rPr>
            </w:pPr>
            <w:r>
              <w:rPr>
                <w:sz w:val="24"/>
              </w:rPr>
              <w:t>183.93</w:t>
            </w:r>
          </w:p>
        </w:tc>
        <w:tc>
          <w:tcPr>
            <w:tcW w:w="1304" w:type="dxa"/>
          </w:tcPr>
          <w:p>
            <w:pPr>
              <w:pStyle w:val="TableParagraph"/>
              <w:rPr>
                <w:b/>
                <w:sz w:val="24"/>
              </w:rPr>
            </w:pPr>
          </w:p>
          <w:p>
            <w:pPr>
              <w:pStyle w:val="TableParagraph"/>
              <w:spacing w:line="256" w:lineRule="exact"/>
              <w:ind w:right="63"/>
              <w:jc w:val="right"/>
              <w:rPr>
                <w:sz w:val="24"/>
              </w:rPr>
            </w:pPr>
            <w:r>
              <w:rPr>
                <w:w w:val="99"/>
                <w:sz w:val="24"/>
              </w:rPr>
              <w:t>-</w:t>
            </w:r>
          </w:p>
        </w:tc>
      </w:tr>
    </w:tbl>
    <w:p>
      <w:pPr>
        <w:spacing w:after="0" w:line="256"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58400">
            <wp:simplePos x="0" y="0"/>
            <wp:positionH relativeFrom="page">
              <wp:posOffset>1252555</wp:posOffset>
            </wp:positionH>
            <wp:positionV relativeFrom="page">
              <wp:posOffset>2058161</wp:posOffset>
            </wp:positionV>
            <wp:extent cx="5021401" cy="5143500"/>
            <wp:effectExtent l="0" t="0" r="0" b="0"/>
            <wp:wrapNone/>
            <wp:docPr id="177" name="image84.png"/>
            <wp:cNvGraphicFramePr>
              <a:graphicFrameLocks noChangeAspect="1"/>
            </wp:cNvGraphicFramePr>
            <a:graphic>
              <a:graphicData uri="http://schemas.openxmlformats.org/drawingml/2006/picture">
                <pic:pic>
                  <pic:nvPicPr>
                    <pic:cNvPr id="178" name="image84.png"/>
                    <pic:cNvPicPr/>
                  </pic:nvPicPr>
                  <pic:blipFill>
                    <a:blip r:embed="rId9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449"/>
              <w:rPr>
                <w:sz w:val="24"/>
              </w:rPr>
            </w:pPr>
            <w:r>
              <w:rPr>
                <w:sz w:val="24"/>
              </w:rPr>
              <w:t>Artículos para regalos y ornato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Artículos religiosos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Artículos usados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Artículos varios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6" w:lineRule="exact" w:before="4"/>
              <w:ind w:left="67" w:right="50"/>
              <w:rPr>
                <w:sz w:val="24"/>
              </w:rPr>
            </w:pPr>
            <w:r>
              <w:rPr>
                <w:sz w:val="24"/>
              </w:rPr>
              <w:t>Artículos y aparatos ortopédicos</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547" w:hRule="atLeast"/>
        </w:trPr>
        <w:tc>
          <w:tcPr>
            <w:tcW w:w="2268" w:type="dxa"/>
          </w:tcPr>
          <w:p>
            <w:pPr>
              <w:pStyle w:val="TableParagraph"/>
              <w:spacing w:line="276" w:lineRule="exact" w:before="1"/>
              <w:ind w:left="67" w:right="543"/>
              <w:rPr>
                <w:sz w:val="24"/>
              </w:rPr>
            </w:pPr>
            <w:r>
              <w:rPr>
                <w:sz w:val="24"/>
              </w:rPr>
              <w:t>Aseguradoras (aseguradoras)</w:t>
            </w:r>
          </w:p>
        </w:tc>
        <w:tc>
          <w:tcPr>
            <w:tcW w:w="1561" w:type="dxa"/>
          </w:tcPr>
          <w:p>
            <w:pPr>
              <w:pStyle w:val="TableParagraph"/>
              <w:spacing w:before="8"/>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8"/>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8"/>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8"/>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line="271" w:lineRule="exact"/>
              <w:ind w:left="67"/>
              <w:rPr>
                <w:sz w:val="24"/>
              </w:rPr>
            </w:pPr>
            <w:r>
              <w:rPr>
                <w:sz w:val="24"/>
              </w:rPr>
              <w:t>Aserraderos (y</w:t>
            </w:r>
          </w:p>
          <w:p>
            <w:pPr>
              <w:pStyle w:val="TableParagraph"/>
              <w:spacing w:line="255" w:lineRule="exact"/>
              <w:ind w:left="67"/>
              <w:rPr>
                <w:sz w:val="24"/>
              </w:rPr>
            </w:pPr>
            <w:r>
              <w:rPr>
                <w:sz w:val="24"/>
              </w:rPr>
              <w:t>maderería)</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Asesoría contable</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03"/>
              <w:rPr>
                <w:sz w:val="24"/>
              </w:rPr>
            </w:pPr>
            <w:r>
              <w:rPr>
                <w:sz w:val="24"/>
              </w:rPr>
              <w:t>Asesoría de serv. De prestación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line="270" w:lineRule="atLeast" w:before="2"/>
              <w:ind w:left="67" w:right="703"/>
              <w:rPr>
                <w:sz w:val="24"/>
              </w:rPr>
            </w:pPr>
            <w:r>
              <w:rPr>
                <w:sz w:val="24"/>
              </w:rPr>
              <w:t>Aspiradoras y accesorios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ind w:left="67" w:right="303"/>
              <w:rPr>
                <w:sz w:val="24"/>
              </w:rPr>
            </w:pPr>
            <w:r>
              <w:rPr>
                <w:sz w:val="24"/>
              </w:rPr>
              <w:t>Automóviles y camiones usados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Balatas y repuestos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rFonts w:ascii="Times New Roman"/>
                <w:sz w:val="24"/>
              </w:rPr>
            </w:pP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Baleros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223"/>
              <w:rPr>
                <w:sz w:val="24"/>
              </w:rPr>
            </w:pPr>
            <w:r>
              <w:rPr>
                <w:sz w:val="24"/>
              </w:rPr>
              <w:t>Balnearios (centro recreativo)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Baños públicos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050"/>
              <w:rPr>
                <w:sz w:val="24"/>
              </w:rPr>
            </w:pPr>
            <w:r>
              <w:rPr>
                <w:sz w:val="24"/>
              </w:rPr>
              <w:t>Basculas pesadoras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before="2"/>
              <w:rPr>
                <w:b/>
                <w:sz w:val="24"/>
              </w:rPr>
            </w:pPr>
          </w:p>
          <w:p>
            <w:pPr>
              <w:pStyle w:val="TableParagraph"/>
              <w:spacing w:line="255" w:lineRule="exact" w:before="1"/>
              <w:ind w:left="67"/>
              <w:rPr>
                <w:sz w:val="24"/>
              </w:rPr>
            </w:pPr>
            <w:r>
              <w:rPr>
                <w:sz w:val="24"/>
              </w:rPr>
              <w:t>Bazar</w:t>
            </w:r>
          </w:p>
        </w:tc>
        <w:tc>
          <w:tcPr>
            <w:tcW w:w="1561" w:type="dxa"/>
          </w:tcPr>
          <w:p>
            <w:pPr>
              <w:pStyle w:val="TableParagraph"/>
              <w:spacing w:before="2"/>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before="1"/>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03"/>
              <w:rPr>
                <w:sz w:val="24"/>
              </w:rPr>
            </w:pPr>
            <w:r>
              <w:rPr>
                <w:sz w:val="24"/>
              </w:rPr>
              <w:t>Billares (1 a 4 mesas)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1"/>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330"/>
              <w:rPr>
                <w:sz w:val="24"/>
              </w:rPr>
            </w:pPr>
            <w:r>
              <w:rPr>
                <w:sz w:val="24"/>
              </w:rPr>
              <w:t>Billares (5 mesas en adelante)</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Billetes de lotería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Birrierias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4" w:hRule="atLeast"/>
        </w:trPr>
        <w:tc>
          <w:tcPr>
            <w:tcW w:w="2268" w:type="dxa"/>
          </w:tcPr>
          <w:p>
            <w:pPr>
              <w:pStyle w:val="TableParagraph"/>
              <w:rPr>
                <w:b/>
                <w:sz w:val="24"/>
              </w:rPr>
            </w:pPr>
          </w:p>
          <w:p>
            <w:pPr>
              <w:pStyle w:val="TableParagraph"/>
              <w:spacing w:line="258" w:lineRule="exact"/>
              <w:ind w:left="67"/>
              <w:rPr>
                <w:sz w:val="24"/>
              </w:rPr>
            </w:pPr>
            <w:r>
              <w:rPr>
                <w:sz w:val="24"/>
              </w:rPr>
              <w:t>Biselados y espejos</w:t>
            </w:r>
          </w:p>
        </w:tc>
        <w:tc>
          <w:tcPr>
            <w:tcW w:w="1561" w:type="dxa"/>
          </w:tcPr>
          <w:p>
            <w:pPr>
              <w:pStyle w:val="TableParagraph"/>
              <w:rPr>
                <w:b/>
                <w:sz w:val="24"/>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8" w:lineRule="exact"/>
              <w:ind w:right="62"/>
              <w:jc w:val="right"/>
              <w:rPr>
                <w:sz w:val="24"/>
              </w:rPr>
            </w:pPr>
            <w:r>
              <w:rPr>
                <w:sz w:val="24"/>
              </w:rPr>
              <w:t>154.46</w:t>
            </w:r>
          </w:p>
        </w:tc>
        <w:tc>
          <w:tcPr>
            <w:tcW w:w="1324" w:type="dxa"/>
          </w:tcPr>
          <w:p>
            <w:pPr>
              <w:pStyle w:val="TableParagraph"/>
              <w:rPr>
                <w:b/>
                <w:sz w:val="24"/>
              </w:rPr>
            </w:pPr>
          </w:p>
          <w:p>
            <w:pPr>
              <w:pStyle w:val="TableParagraph"/>
              <w:spacing w:line="258" w:lineRule="exact"/>
              <w:ind w:right="63"/>
              <w:jc w:val="right"/>
              <w:rPr>
                <w:sz w:val="24"/>
              </w:rPr>
            </w:pPr>
            <w:r>
              <w:rPr>
                <w:sz w:val="24"/>
              </w:rPr>
              <w:t>183.93</w:t>
            </w:r>
          </w:p>
        </w:tc>
        <w:tc>
          <w:tcPr>
            <w:tcW w:w="1304" w:type="dxa"/>
          </w:tcPr>
          <w:p>
            <w:pPr>
              <w:pStyle w:val="TableParagraph"/>
              <w:rPr>
                <w:b/>
                <w:sz w:val="24"/>
              </w:rPr>
            </w:pPr>
          </w:p>
          <w:p>
            <w:pPr>
              <w:pStyle w:val="TableParagraph"/>
              <w:spacing w:line="258" w:lineRule="exact"/>
              <w:ind w:right="63"/>
              <w:jc w:val="right"/>
              <w:rPr>
                <w:sz w:val="24"/>
              </w:rPr>
            </w:pPr>
            <w:r>
              <w:rPr>
                <w:w w:val="99"/>
                <w:sz w:val="24"/>
              </w:rPr>
              <w:t>-</w:t>
            </w:r>
          </w:p>
        </w:tc>
      </w:tr>
    </w:tbl>
    <w:p>
      <w:pPr>
        <w:spacing w:after="0" w:line="258"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59424">
            <wp:simplePos x="0" y="0"/>
            <wp:positionH relativeFrom="page">
              <wp:posOffset>1239220</wp:posOffset>
            </wp:positionH>
            <wp:positionV relativeFrom="page">
              <wp:posOffset>2058161</wp:posOffset>
            </wp:positionV>
            <wp:extent cx="5021401" cy="5143500"/>
            <wp:effectExtent l="0" t="0" r="0" b="0"/>
            <wp:wrapNone/>
            <wp:docPr id="179" name="image85.png"/>
            <wp:cNvGraphicFramePr>
              <a:graphicFrameLocks noChangeAspect="1"/>
            </wp:cNvGraphicFramePr>
            <a:graphic>
              <a:graphicData uri="http://schemas.openxmlformats.org/drawingml/2006/picture">
                <pic:pic>
                  <pic:nvPicPr>
                    <pic:cNvPr id="180" name="image85.png"/>
                    <pic:cNvPicPr/>
                  </pic:nvPicPr>
                  <pic:blipFill>
                    <a:blip r:embed="rId95"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
              <w:rPr>
                <w:b/>
                <w:sz w:val="21"/>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30" w:hRule="atLeast"/>
        </w:trPr>
        <w:tc>
          <w:tcPr>
            <w:tcW w:w="2268" w:type="dxa"/>
            <w:vMerge/>
            <w:tcBorders>
              <w:top w:val="nil"/>
            </w:tcBorders>
          </w:tcPr>
          <w:p>
            <w:pPr>
              <w:rPr>
                <w:sz w:val="2"/>
                <w:szCs w:val="2"/>
              </w:rPr>
            </w:pPr>
          </w:p>
        </w:tc>
        <w:tc>
          <w:tcPr>
            <w:tcW w:w="1561" w:type="dxa"/>
          </w:tcPr>
          <w:p>
            <w:pPr>
              <w:pStyle w:val="TableParagraph"/>
              <w:spacing w:before="3"/>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spacing w:before="3"/>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spacing w:before="3"/>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spacing w:before="3"/>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spacing w:before="3"/>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970"/>
              <w:rPr>
                <w:sz w:val="24"/>
              </w:rPr>
            </w:pPr>
            <w:r>
              <w:rPr>
                <w:sz w:val="24"/>
              </w:rPr>
              <w:t>Bisutería y cosméticos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Blancos chico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Blancos mediano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Bodegas varias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rPr>
                <w:b/>
                <w:sz w:val="24"/>
              </w:rPr>
            </w:pPr>
          </w:p>
          <w:p>
            <w:pPr>
              <w:pStyle w:val="TableParagraph"/>
              <w:spacing w:line="255" w:lineRule="exact" w:before="1"/>
              <w:ind w:left="67"/>
              <w:rPr>
                <w:sz w:val="24"/>
              </w:rPr>
            </w:pPr>
            <w:r>
              <w:rPr>
                <w:sz w:val="24"/>
              </w:rPr>
              <w:t>Boliches</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rPr>
                <w:b/>
                <w:sz w:val="24"/>
              </w:rPr>
            </w:pPr>
          </w:p>
          <w:p>
            <w:pPr>
              <w:pStyle w:val="TableParagraph"/>
              <w:spacing w:line="255" w:lineRule="exact" w:before="1"/>
              <w:ind w:right="66"/>
              <w:jc w:val="right"/>
              <w:rPr>
                <w:sz w:val="24"/>
              </w:rPr>
            </w:pPr>
            <w:r>
              <w:rPr>
                <w:sz w:val="24"/>
              </w:rPr>
              <w:t>807.14</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Bolos y recuerdos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line="270" w:lineRule="atLeast" w:before="2"/>
              <w:ind w:left="67" w:right="290"/>
              <w:rPr>
                <w:sz w:val="24"/>
              </w:rPr>
            </w:pPr>
            <w:r>
              <w:rPr>
                <w:sz w:val="24"/>
              </w:rPr>
              <w:t>Bolsas y artículos de piel</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Bonetería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96"/>
              <w:rPr>
                <w:sz w:val="24"/>
              </w:rPr>
            </w:pPr>
            <w:r>
              <w:rPr>
                <w:sz w:val="24"/>
              </w:rPr>
              <w:t>Bonetería en pequeño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476"/>
              <w:rPr>
                <w:sz w:val="24"/>
              </w:rPr>
            </w:pPr>
            <w:r>
              <w:rPr>
                <w:sz w:val="24"/>
              </w:rPr>
              <w:t>Bordados computarizados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1"/>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Boutique</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450"/>
              <w:rPr>
                <w:sz w:val="24"/>
              </w:rPr>
            </w:pPr>
            <w:r>
              <w:rPr>
                <w:sz w:val="24"/>
              </w:rPr>
              <w:t>C/v de auto tractores refacc.</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30"/>
              <w:rPr>
                <w:sz w:val="24"/>
              </w:rPr>
            </w:pPr>
            <w:r>
              <w:rPr>
                <w:sz w:val="24"/>
              </w:rPr>
              <w:t>C/v. De hules automotrices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before="2"/>
              <w:rPr>
                <w:b/>
                <w:sz w:val="24"/>
              </w:rPr>
            </w:pPr>
          </w:p>
          <w:p>
            <w:pPr>
              <w:pStyle w:val="TableParagraph"/>
              <w:spacing w:line="255" w:lineRule="exact"/>
              <w:ind w:left="67"/>
              <w:rPr>
                <w:sz w:val="24"/>
              </w:rPr>
            </w:pPr>
            <w:r>
              <w:rPr>
                <w:sz w:val="24"/>
              </w:rPr>
              <w:t>C/v. De tornillos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719" w:hRule="atLeast"/>
        </w:trPr>
        <w:tc>
          <w:tcPr>
            <w:tcW w:w="2268" w:type="dxa"/>
          </w:tcPr>
          <w:p>
            <w:pPr>
              <w:pStyle w:val="TableParagraph"/>
              <w:spacing w:line="270" w:lineRule="atLeast" w:before="168"/>
              <w:ind w:left="67" w:right="543"/>
              <w:rPr>
                <w:sz w:val="24"/>
              </w:rPr>
            </w:pPr>
            <w:r>
              <w:rPr>
                <w:sz w:val="24"/>
              </w:rPr>
              <w:t>C/v. Import. Y export. De café</w:t>
            </w:r>
          </w:p>
        </w:tc>
        <w:tc>
          <w:tcPr>
            <w:tcW w:w="1561" w:type="dxa"/>
          </w:tcPr>
          <w:p>
            <w:pPr>
              <w:pStyle w:val="TableParagraph"/>
              <w:spacing w:before="7"/>
              <w:rPr>
                <w:b/>
                <w:sz w:val="38"/>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38"/>
              </w:rPr>
            </w:pPr>
          </w:p>
          <w:p>
            <w:pPr>
              <w:pStyle w:val="TableParagraph"/>
              <w:spacing w:line="255" w:lineRule="exact"/>
              <w:ind w:right="62"/>
              <w:jc w:val="right"/>
              <w:rPr>
                <w:sz w:val="24"/>
              </w:rPr>
            </w:pPr>
            <w:r>
              <w:rPr>
                <w:sz w:val="24"/>
              </w:rPr>
              <w:t>384.82</w:t>
            </w:r>
          </w:p>
        </w:tc>
        <w:tc>
          <w:tcPr>
            <w:tcW w:w="1324" w:type="dxa"/>
          </w:tcPr>
          <w:p>
            <w:pPr>
              <w:pStyle w:val="TableParagraph"/>
              <w:spacing w:before="7"/>
              <w:rPr>
                <w:b/>
                <w:sz w:val="38"/>
              </w:rPr>
            </w:pPr>
          </w:p>
          <w:p>
            <w:pPr>
              <w:pStyle w:val="TableParagraph"/>
              <w:spacing w:line="255" w:lineRule="exact"/>
              <w:ind w:right="62"/>
              <w:jc w:val="right"/>
              <w:rPr>
                <w:sz w:val="24"/>
              </w:rPr>
            </w:pPr>
            <w:r>
              <w:rPr>
                <w:sz w:val="24"/>
              </w:rPr>
              <w:t>367.86</w:t>
            </w:r>
          </w:p>
        </w:tc>
        <w:tc>
          <w:tcPr>
            <w:tcW w:w="1304" w:type="dxa"/>
          </w:tcPr>
          <w:p>
            <w:pPr>
              <w:pStyle w:val="TableParagraph"/>
              <w:spacing w:before="7"/>
              <w:rPr>
                <w:b/>
                <w:sz w:val="38"/>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ind w:left="67"/>
              <w:rPr>
                <w:sz w:val="24"/>
              </w:rPr>
            </w:pPr>
            <w:r>
              <w:rPr>
                <w:sz w:val="24"/>
              </w:rPr>
              <w:t>C/v. Rep. De maq.</w:t>
            </w:r>
          </w:p>
          <w:p>
            <w:pPr>
              <w:pStyle w:val="TableParagraph"/>
              <w:spacing w:line="270" w:lineRule="atLeast"/>
              <w:ind w:left="67" w:right="930"/>
              <w:rPr>
                <w:sz w:val="24"/>
              </w:rPr>
            </w:pPr>
            <w:r>
              <w:rPr>
                <w:sz w:val="24"/>
              </w:rPr>
              <w:t>Agric. Todo relacionado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276"/>
              <w:rPr>
                <w:sz w:val="24"/>
              </w:rPr>
            </w:pPr>
            <w:r>
              <w:rPr>
                <w:sz w:val="24"/>
              </w:rPr>
              <w:t>C/v. Y admón. De bienes raíces (inmobiliaria)</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Cafetería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276"/>
              <w:rPr>
                <w:sz w:val="24"/>
              </w:rPr>
            </w:pPr>
            <w:r>
              <w:rPr>
                <w:sz w:val="24"/>
              </w:rPr>
              <w:t>Cajas de ahorro y préstamo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Campamentos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2"/>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before="3"/>
              <w:rPr>
                <w:b/>
                <w:sz w:val="24"/>
              </w:rPr>
            </w:pPr>
          </w:p>
          <w:p>
            <w:pPr>
              <w:pStyle w:val="TableParagraph"/>
              <w:spacing w:line="255" w:lineRule="exact"/>
              <w:ind w:left="67"/>
              <w:rPr>
                <w:sz w:val="24"/>
              </w:rPr>
            </w:pPr>
            <w:r>
              <w:rPr>
                <w:sz w:val="24"/>
              </w:rPr>
              <w:t>Canchas de frontón</w:t>
            </w:r>
          </w:p>
        </w:tc>
        <w:tc>
          <w:tcPr>
            <w:tcW w:w="1561" w:type="dxa"/>
          </w:tcPr>
          <w:p>
            <w:pPr>
              <w:pStyle w:val="TableParagraph"/>
              <w:spacing w:before="3"/>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3"/>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3"/>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3"/>
              <w:rPr>
                <w:b/>
                <w:sz w:val="24"/>
              </w:rPr>
            </w:pPr>
          </w:p>
          <w:p>
            <w:pPr>
              <w:pStyle w:val="TableParagraph"/>
              <w:spacing w:line="255" w:lineRule="exact"/>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60448">
            <wp:simplePos x="0" y="0"/>
            <wp:positionH relativeFrom="page">
              <wp:posOffset>1252555</wp:posOffset>
            </wp:positionH>
            <wp:positionV relativeFrom="page">
              <wp:posOffset>2058161</wp:posOffset>
            </wp:positionV>
            <wp:extent cx="5021401" cy="5143500"/>
            <wp:effectExtent l="0" t="0" r="0" b="0"/>
            <wp:wrapNone/>
            <wp:docPr id="181" name="image86.png"/>
            <wp:cNvGraphicFramePr>
              <a:graphicFrameLocks noChangeAspect="1"/>
            </wp:cNvGraphicFramePr>
            <a:graphic>
              <a:graphicData uri="http://schemas.openxmlformats.org/drawingml/2006/picture">
                <pic:pic>
                  <pic:nvPicPr>
                    <pic:cNvPr id="182" name="image86.png"/>
                    <pic:cNvPicPr/>
                  </pic:nvPicPr>
                  <pic:blipFill>
                    <a:blip r:embed="rId96"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275" w:hRule="atLeast"/>
        </w:trPr>
        <w:tc>
          <w:tcPr>
            <w:tcW w:w="2268" w:type="dxa"/>
          </w:tcPr>
          <w:p>
            <w:pPr>
              <w:pStyle w:val="TableParagraph"/>
              <w:spacing w:line="255" w:lineRule="exact"/>
              <w:ind w:left="67"/>
              <w:rPr>
                <w:sz w:val="24"/>
              </w:rPr>
            </w:pPr>
            <w:r>
              <w:rPr>
                <w:sz w:val="24"/>
              </w:rPr>
              <w:t>Carbonería</w:t>
            </w:r>
          </w:p>
        </w:tc>
        <w:tc>
          <w:tcPr>
            <w:tcW w:w="1561" w:type="dxa"/>
          </w:tcPr>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0"/>
              </w:rPr>
            </w:pPr>
          </w:p>
        </w:tc>
        <w:tc>
          <w:tcPr>
            <w:tcW w:w="1230" w:type="dxa"/>
          </w:tcPr>
          <w:p>
            <w:pPr>
              <w:pStyle w:val="TableParagraph"/>
              <w:spacing w:line="255" w:lineRule="exact"/>
              <w:ind w:right="62"/>
              <w:jc w:val="right"/>
              <w:rPr>
                <w:sz w:val="24"/>
              </w:rPr>
            </w:pPr>
            <w:r>
              <w:rPr>
                <w:sz w:val="24"/>
              </w:rPr>
              <w:t>384.82</w:t>
            </w:r>
          </w:p>
        </w:tc>
        <w:tc>
          <w:tcPr>
            <w:tcW w:w="1324" w:type="dxa"/>
          </w:tcPr>
          <w:p>
            <w:pPr>
              <w:pStyle w:val="TableParagraph"/>
              <w:spacing w:line="255" w:lineRule="exact"/>
              <w:ind w:right="63"/>
              <w:jc w:val="right"/>
              <w:rPr>
                <w:sz w:val="24"/>
              </w:rPr>
            </w:pPr>
            <w:r>
              <w:rPr>
                <w:sz w:val="24"/>
              </w:rPr>
              <w:t>1,382.14</w:t>
            </w:r>
          </w:p>
        </w:tc>
        <w:tc>
          <w:tcPr>
            <w:tcW w:w="1304" w:type="dxa"/>
          </w:tcPr>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Carnes frías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Carnicería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116"/>
              <w:rPr>
                <w:sz w:val="24"/>
              </w:rPr>
            </w:pPr>
            <w:r>
              <w:rPr>
                <w:sz w:val="24"/>
              </w:rPr>
              <w:t>Carpintería de 10 a 30 mts.2</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828" w:hRule="atLeast"/>
        </w:trPr>
        <w:tc>
          <w:tcPr>
            <w:tcW w:w="2268" w:type="dxa"/>
          </w:tcPr>
          <w:p>
            <w:pPr>
              <w:pStyle w:val="TableParagraph"/>
              <w:ind w:left="67" w:right="169"/>
              <w:rPr>
                <w:sz w:val="24"/>
              </w:rPr>
            </w:pPr>
            <w:r>
              <w:rPr>
                <w:sz w:val="24"/>
              </w:rPr>
              <w:t>Carpintería grande de 31 mts.2 en</w:t>
            </w:r>
          </w:p>
          <w:p>
            <w:pPr>
              <w:pStyle w:val="TableParagraph"/>
              <w:spacing w:line="255" w:lineRule="exact"/>
              <w:ind w:left="67"/>
              <w:rPr>
                <w:sz w:val="24"/>
              </w:rPr>
            </w:pPr>
            <w:r>
              <w:rPr>
                <w:sz w:val="24"/>
              </w:rPr>
              <w:t>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370"/>
              <w:rPr>
                <w:sz w:val="24"/>
              </w:rPr>
            </w:pPr>
            <w:r>
              <w:rPr>
                <w:sz w:val="24"/>
              </w:rPr>
              <w:t>Carrocerías para vehículos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263"/>
              <w:rPr>
                <w:sz w:val="24"/>
              </w:rPr>
            </w:pPr>
            <w:r>
              <w:rPr>
                <w:sz w:val="24"/>
              </w:rPr>
              <w:t>Casa de cambio (divisa extranjera)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6" w:hRule="atLeast"/>
        </w:trPr>
        <w:tc>
          <w:tcPr>
            <w:tcW w:w="2268" w:type="dxa"/>
          </w:tcPr>
          <w:p>
            <w:pPr>
              <w:pStyle w:val="TableParagraph"/>
              <w:spacing w:line="276" w:lineRule="exact" w:before="4"/>
              <w:ind w:left="67" w:right="796"/>
              <w:rPr>
                <w:sz w:val="24"/>
              </w:rPr>
            </w:pPr>
            <w:r>
              <w:rPr>
                <w:sz w:val="24"/>
              </w:rPr>
              <w:t>Casa de huéspedes o asistencia</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6"/>
              <w:jc w:val="right"/>
              <w:rPr>
                <w:sz w:val="24"/>
              </w:rPr>
            </w:pPr>
            <w:r>
              <w:rPr>
                <w:sz w:val="24"/>
              </w:rPr>
              <w:t>322.32</w:t>
            </w:r>
          </w:p>
        </w:tc>
      </w:tr>
      <w:tr>
        <w:trPr>
          <w:trHeight w:val="546" w:hRule="atLeast"/>
        </w:trPr>
        <w:tc>
          <w:tcPr>
            <w:tcW w:w="2268" w:type="dxa"/>
          </w:tcPr>
          <w:p>
            <w:pPr>
              <w:pStyle w:val="TableParagraph"/>
              <w:spacing w:line="271" w:lineRule="exact"/>
              <w:ind w:left="67"/>
              <w:rPr>
                <w:sz w:val="24"/>
              </w:rPr>
            </w:pPr>
            <w:r>
              <w:rPr>
                <w:sz w:val="24"/>
              </w:rPr>
              <w:t>Caseta de larga</w:t>
            </w:r>
          </w:p>
          <w:p>
            <w:pPr>
              <w:pStyle w:val="TableParagraph"/>
              <w:spacing w:line="255" w:lineRule="exact"/>
              <w:ind w:left="67"/>
              <w:rPr>
                <w:sz w:val="24"/>
              </w:rPr>
            </w:pPr>
            <w:r>
              <w:rPr>
                <w:sz w:val="24"/>
              </w:rPr>
              <w:t>distancia</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6"/>
              <w:rPr>
                <w:b/>
                <w:sz w:val="23"/>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line="270" w:lineRule="atLeast" w:before="2"/>
              <w:ind w:left="67" w:right="116"/>
              <w:rPr>
                <w:sz w:val="24"/>
              </w:rPr>
            </w:pPr>
            <w:r>
              <w:rPr>
                <w:sz w:val="24"/>
              </w:rPr>
              <w:t>Casino para fiestas infantiles</w:t>
            </w:r>
          </w:p>
        </w:tc>
        <w:tc>
          <w:tcPr>
            <w:tcW w:w="1561" w:type="dxa"/>
          </w:tcPr>
          <w:p>
            <w:pPr>
              <w:pStyle w:val="TableParagraph"/>
              <w:spacing w:before="3"/>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3"/>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3"/>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3"/>
              <w:rPr>
                <w:b/>
                <w:sz w:val="24"/>
              </w:rPr>
            </w:pPr>
          </w:p>
          <w:p>
            <w:pPr>
              <w:pStyle w:val="TableParagraph"/>
              <w:spacing w:line="255" w:lineRule="exact"/>
              <w:ind w:right="66"/>
              <w:jc w:val="right"/>
              <w:rPr>
                <w:sz w:val="24"/>
              </w:rPr>
            </w:pPr>
            <w:r>
              <w:rPr>
                <w:sz w:val="24"/>
              </w:rPr>
              <w:t>322.32</w:t>
            </w:r>
          </w:p>
        </w:tc>
      </w:tr>
      <w:tr>
        <w:trPr>
          <w:trHeight w:val="1103" w:hRule="atLeast"/>
        </w:trPr>
        <w:tc>
          <w:tcPr>
            <w:tcW w:w="2268" w:type="dxa"/>
          </w:tcPr>
          <w:p>
            <w:pPr>
              <w:pStyle w:val="TableParagraph"/>
              <w:ind w:left="67" w:right="116"/>
              <w:rPr>
                <w:sz w:val="24"/>
              </w:rPr>
            </w:pPr>
            <w:r>
              <w:rPr>
                <w:sz w:val="24"/>
              </w:rPr>
              <w:t>Casino para fiestas infantiles (201 a</w:t>
            </w:r>
          </w:p>
          <w:p>
            <w:pPr>
              <w:pStyle w:val="TableParagraph"/>
              <w:spacing w:line="270" w:lineRule="atLeast"/>
              <w:ind w:left="67" w:right="1063"/>
              <w:rPr>
                <w:sz w:val="24"/>
              </w:rPr>
            </w:pPr>
            <w:r>
              <w:rPr>
                <w:sz w:val="24"/>
              </w:rPr>
              <w:t>500 mts2 superficie)</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0"/>
              <w:ind w:right="66"/>
              <w:jc w:val="right"/>
              <w:rPr>
                <w:sz w:val="24"/>
              </w:rPr>
            </w:pPr>
            <w:r>
              <w:rPr>
                <w:sz w:val="24"/>
              </w:rPr>
              <w:t>160.71</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Cenaduría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Centro abarrotero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357"/>
              <w:rPr>
                <w:sz w:val="24"/>
              </w:rPr>
            </w:pPr>
            <w:r>
              <w:rPr>
                <w:sz w:val="24"/>
              </w:rPr>
              <w:t>Centro comercial grande</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1"/>
              <w:jc w:val="right"/>
              <w:rPr>
                <w:sz w:val="24"/>
              </w:rPr>
            </w:pPr>
            <w:r>
              <w:rPr>
                <w:sz w:val="24"/>
              </w:rPr>
              <w:t>2,220.54</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552" w:hRule="atLeast"/>
        </w:trPr>
        <w:tc>
          <w:tcPr>
            <w:tcW w:w="2268" w:type="dxa"/>
          </w:tcPr>
          <w:p>
            <w:pPr>
              <w:pStyle w:val="TableParagraph"/>
              <w:spacing w:line="276" w:lineRule="exact" w:before="4"/>
              <w:ind w:left="67" w:right="357"/>
              <w:rPr>
                <w:sz w:val="24"/>
              </w:rPr>
            </w:pPr>
            <w:r>
              <w:rPr>
                <w:sz w:val="24"/>
              </w:rPr>
              <w:t>Centro comercial mediano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5"/>
              <w:jc w:val="right"/>
              <w:rPr>
                <w:sz w:val="24"/>
              </w:rPr>
            </w:pPr>
            <w:r>
              <w:rPr>
                <w:sz w:val="24"/>
              </w:rPr>
              <w:t>1,211.61</w:t>
            </w:r>
          </w:p>
        </w:tc>
      </w:tr>
      <w:tr>
        <w:trPr>
          <w:trHeight w:val="823" w:hRule="atLeast"/>
        </w:trPr>
        <w:tc>
          <w:tcPr>
            <w:tcW w:w="2268" w:type="dxa"/>
          </w:tcPr>
          <w:p>
            <w:pPr>
              <w:pStyle w:val="TableParagraph"/>
              <w:spacing w:line="276" w:lineRule="exact"/>
              <w:ind w:left="67" w:right="49"/>
              <w:rPr>
                <w:sz w:val="24"/>
              </w:rPr>
            </w:pPr>
            <w:r>
              <w:rPr>
                <w:sz w:val="24"/>
              </w:rPr>
              <w:t>Centro de apuestas remotas y salas de sorteos de números</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1"/>
              <w:jc w:val="right"/>
              <w:rPr>
                <w:sz w:val="24"/>
              </w:rPr>
            </w:pPr>
            <w:r>
              <w:rPr>
                <w:sz w:val="24"/>
              </w:rPr>
              <w:t>2,220.54</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6"/>
              <w:jc w:val="right"/>
              <w:rPr>
                <w:sz w:val="24"/>
              </w:rPr>
            </w:pPr>
            <w:r>
              <w:rPr>
                <w:sz w:val="24"/>
              </w:rPr>
              <w:t>2,018.65</w:t>
            </w:r>
          </w:p>
        </w:tc>
      </w:tr>
      <w:tr>
        <w:trPr>
          <w:trHeight w:val="548" w:hRule="atLeast"/>
        </w:trPr>
        <w:tc>
          <w:tcPr>
            <w:tcW w:w="2268" w:type="dxa"/>
          </w:tcPr>
          <w:p>
            <w:pPr>
              <w:pStyle w:val="TableParagraph"/>
              <w:spacing w:line="276" w:lineRule="exact" w:before="2"/>
              <w:ind w:left="67" w:right="836"/>
              <w:rPr>
                <w:sz w:val="24"/>
              </w:rPr>
            </w:pPr>
            <w:r>
              <w:rPr>
                <w:sz w:val="24"/>
              </w:rPr>
              <w:t>Centro de capacitación</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line="276" w:lineRule="exact"/>
              <w:ind w:left="67" w:right="209"/>
              <w:rPr>
                <w:sz w:val="24"/>
              </w:rPr>
            </w:pPr>
            <w:r>
              <w:rPr>
                <w:sz w:val="24"/>
              </w:rPr>
              <w:t>Centro de copiado (integral)</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1"/>
              <w:jc w:val="right"/>
              <w:rPr>
                <w:sz w:val="24"/>
              </w:rPr>
            </w:pPr>
            <w:r>
              <w:rPr>
                <w:sz w:val="24"/>
              </w:rPr>
              <w:t>384.82</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ind w:left="67" w:right="1076"/>
              <w:rPr>
                <w:sz w:val="24"/>
              </w:rPr>
            </w:pPr>
            <w:r>
              <w:rPr>
                <w:sz w:val="24"/>
              </w:rPr>
              <w:t>Centro de educación</w:t>
            </w:r>
          </w:p>
          <w:p>
            <w:pPr>
              <w:pStyle w:val="TableParagraph"/>
              <w:spacing w:line="255" w:lineRule="exact"/>
              <w:ind w:left="67"/>
              <w:rPr>
                <w:sz w:val="24"/>
              </w:rPr>
            </w:pPr>
            <w:r>
              <w:rPr>
                <w:sz w:val="24"/>
              </w:rPr>
              <w:t>avanzada</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6" w:lineRule="exact" w:before="4"/>
              <w:ind w:left="67" w:right="770"/>
              <w:rPr>
                <w:sz w:val="24"/>
              </w:rPr>
            </w:pPr>
            <w:r>
              <w:rPr>
                <w:sz w:val="24"/>
              </w:rPr>
              <w:t>Centro de espectáculos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2"/>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61472">
            <wp:simplePos x="0" y="0"/>
            <wp:positionH relativeFrom="page">
              <wp:posOffset>1239220</wp:posOffset>
            </wp:positionH>
            <wp:positionV relativeFrom="page">
              <wp:posOffset>2058161</wp:posOffset>
            </wp:positionV>
            <wp:extent cx="5021401" cy="5143500"/>
            <wp:effectExtent l="0" t="0" r="0" b="0"/>
            <wp:wrapNone/>
            <wp:docPr id="183" name="image87.png"/>
            <wp:cNvGraphicFramePr>
              <a:graphicFrameLocks noChangeAspect="1"/>
            </wp:cNvGraphicFramePr>
            <a:graphic>
              <a:graphicData uri="http://schemas.openxmlformats.org/drawingml/2006/picture">
                <pic:pic>
                  <pic:nvPicPr>
                    <pic:cNvPr id="184" name="image87.png"/>
                    <pic:cNvPicPr/>
                  </pic:nvPicPr>
                  <pic:blipFill>
                    <a:blip r:embed="rId97"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
              <w:rPr>
                <w:b/>
                <w:sz w:val="21"/>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30" w:hRule="atLeast"/>
        </w:trPr>
        <w:tc>
          <w:tcPr>
            <w:tcW w:w="2268" w:type="dxa"/>
            <w:vMerge/>
            <w:tcBorders>
              <w:top w:val="nil"/>
            </w:tcBorders>
          </w:tcPr>
          <w:p>
            <w:pPr>
              <w:rPr>
                <w:sz w:val="2"/>
                <w:szCs w:val="2"/>
              </w:rPr>
            </w:pPr>
          </w:p>
        </w:tc>
        <w:tc>
          <w:tcPr>
            <w:tcW w:w="1561" w:type="dxa"/>
          </w:tcPr>
          <w:p>
            <w:pPr>
              <w:pStyle w:val="TableParagraph"/>
              <w:spacing w:before="3"/>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spacing w:before="3"/>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spacing w:before="3"/>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spacing w:before="3"/>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spacing w:before="3"/>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556"/>
              <w:rPr>
                <w:sz w:val="24"/>
              </w:rPr>
            </w:pPr>
            <w:r>
              <w:rPr>
                <w:sz w:val="24"/>
              </w:rPr>
              <w:t>públicos de 1 a 1000 personas</w:t>
            </w:r>
          </w:p>
        </w:tc>
        <w:tc>
          <w:tcPr>
            <w:tcW w:w="1561" w:type="dxa"/>
          </w:tcPr>
          <w:p>
            <w:pPr>
              <w:pStyle w:val="TableParagraph"/>
              <w:rPr>
                <w:rFonts w:ascii="Times New Roman"/>
                <w:sz w:val="24"/>
              </w:rPr>
            </w:pPr>
          </w:p>
        </w:tc>
        <w:tc>
          <w:tcPr>
            <w:tcW w:w="1986" w:type="dxa"/>
          </w:tcPr>
          <w:p>
            <w:pPr>
              <w:pStyle w:val="TableParagraph"/>
              <w:rPr>
                <w:rFonts w:ascii="Times New Roman"/>
                <w:sz w:val="24"/>
              </w:rPr>
            </w:pPr>
          </w:p>
        </w:tc>
        <w:tc>
          <w:tcPr>
            <w:tcW w:w="1230" w:type="dxa"/>
          </w:tcPr>
          <w:p>
            <w:pPr>
              <w:pStyle w:val="TableParagraph"/>
              <w:rPr>
                <w:rFonts w:ascii="Times New Roman"/>
                <w:sz w:val="24"/>
              </w:rPr>
            </w:pPr>
          </w:p>
        </w:tc>
        <w:tc>
          <w:tcPr>
            <w:tcW w:w="1324" w:type="dxa"/>
          </w:tcPr>
          <w:p>
            <w:pPr>
              <w:pStyle w:val="TableParagraph"/>
              <w:rPr>
                <w:rFonts w:ascii="Times New Roman"/>
                <w:sz w:val="24"/>
              </w:rPr>
            </w:pPr>
          </w:p>
        </w:tc>
        <w:tc>
          <w:tcPr>
            <w:tcW w:w="1304" w:type="dxa"/>
          </w:tcPr>
          <w:p>
            <w:pPr>
              <w:pStyle w:val="TableParagraph"/>
              <w:rPr>
                <w:rFonts w:ascii="Times New Roman"/>
                <w:sz w:val="24"/>
              </w:rPr>
            </w:pPr>
          </w:p>
        </w:tc>
      </w:tr>
      <w:tr>
        <w:trPr>
          <w:trHeight w:val="1103" w:hRule="atLeast"/>
        </w:trPr>
        <w:tc>
          <w:tcPr>
            <w:tcW w:w="2268" w:type="dxa"/>
          </w:tcPr>
          <w:p>
            <w:pPr>
              <w:pStyle w:val="TableParagraph"/>
              <w:spacing w:line="270" w:lineRule="atLeast"/>
              <w:ind w:left="67" w:right="156"/>
              <w:rPr>
                <w:sz w:val="24"/>
              </w:rPr>
            </w:pPr>
            <w:r>
              <w:rPr>
                <w:sz w:val="24"/>
              </w:rPr>
              <w:t>Centro de espectáculos públicos de 1001 a 4000 personas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0"/>
              <w:ind w:right="66"/>
              <w:jc w:val="right"/>
              <w:rPr>
                <w:sz w:val="24"/>
              </w:rPr>
            </w:pPr>
            <w:r>
              <w:rPr>
                <w:sz w:val="24"/>
              </w:rPr>
              <w:t>2,018.65</w:t>
            </w:r>
          </w:p>
        </w:tc>
      </w:tr>
      <w:tr>
        <w:trPr>
          <w:trHeight w:val="1103" w:hRule="atLeast"/>
        </w:trPr>
        <w:tc>
          <w:tcPr>
            <w:tcW w:w="2268" w:type="dxa"/>
          </w:tcPr>
          <w:p>
            <w:pPr>
              <w:pStyle w:val="TableParagraph"/>
              <w:ind w:left="67" w:right="356"/>
              <w:rPr>
                <w:sz w:val="24"/>
              </w:rPr>
            </w:pPr>
            <w:r>
              <w:rPr>
                <w:sz w:val="24"/>
              </w:rPr>
              <w:t>Centro de espectáculos públicos de 4001</w:t>
            </w:r>
          </w:p>
          <w:p>
            <w:pPr>
              <w:pStyle w:val="TableParagraph"/>
              <w:spacing w:line="255" w:lineRule="exact"/>
              <w:ind w:left="67"/>
              <w:rPr>
                <w:sz w:val="24"/>
              </w:rPr>
            </w:pPr>
            <w:r>
              <w:rPr>
                <w:sz w:val="24"/>
              </w:rPr>
              <w:t>en adelante</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0"/>
              <w:ind w:right="65"/>
              <w:jc w:val="right"/>
              <w:rPr>
                <w:sz w:val="24"/>
              </w:rPr>
            </w:pPr>
            <w:r>
              <w:rPr>
                <w:sz w:val="24"/>
              </w:rPr>
              <w:t>2,018.65</w:t>
            </w:r>
          </w:p>
        </w:tc>
      </w:tr>
      <w:tr>
        <w:trPr>
          <w:trHeight w:val="551" w:hRule="atLeast"/>
        </w:trPr>
        <w:tc>
          <w:tcPr>
            <w:tcW w:w="2268" w:type="dxa"/>
          </w:tcPr>
          <w:p>
            <w:pPr>
              <w:pStyle w:val="TableParagraph"/>
              <w:spacing w:line="270" w:lineRule="atLeast"/>
              <w:ind w:left="67" w:right="329"/>
              <w:rPr>
                <w:sz w:val="24"/>
              </w:rPr>
            </w:pPr>
            <w:r>
              <w:rPr>
                <w:sz w:val="24"/>
              </w:rPr>
              <w:t>Centro de lectura de cartas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56"/>
              <w:rPr>
                <w:sz w:val="24"/>
              </w:rPr>
            </w:pPr>
            <w:r>
              <w:rPr>
                <w:sz w:val="24"/>
              </w:rPr>
              <w:t>Centro de rehabilitación</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826" w:hRule="atLeast"/>
        </w:trPr>
        <w:tc>
          <w:tcPr>
            <w:tcW w:w="2268" w:type="dxa"/>
          </w:tcPr>
          <w:p>
            <w:pPr>
              <w:pStyle w:val="TableParagraph"/>
              <w:spacing w:line="276" w:lineRule="exact" w:before="4"/>
              <w:ind w:left="67" w:right="129"/>
              <w:rPr>
                <w:sz w:val="24"/>
              </w:rPr>
            </w:pPr>
            <w:r>
              <w:rPr>
                <w:sz w:val="24"/>
              </w:rPr>
              <w:t>Centro de revelado e impresión fotográfica</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1"/>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548" w:hRule="atLeast"/>
        </w:trPr>
        <w:tc>
          <w:tcPr>
            <w:tcW w:w="2268" w:type="dxa"/>
          </w:tcPr>
          <w:p>
            <w:pPr>
              <w:pStyle w:val="TableParagraph"/>
              <w:spacing w:line="276" w:lineRule="exact" w:before="2"/>
              <w:ind w:left="67" w:right="330"/>
              <w:rPr>
                <w:sz w:val="24"/>
              </w:rPr>
            </w:pPr>
            <w:r>
              <w:rPr>
                <w:sz w:val="24"/>
              </w:rPr>
              <w:t>Centro recreativo (club deportivo)</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9"/>
              <w:rPr>
                <w:b/>
                <w:sz w:val="23"/>
              </w:rPr>
            </w:pPr>
          </w:p>
          <w:p>
            <w:pPr>
              <w:pStyle w:val="TableParagraph"/>
              <w:spacing w:line="255" w:lineRule="exact"/>
              <w:ind w:right="66"/>
              <w:jc w:val="right"/>
              <w:rPr>
                <w:sz w:val="24"/>
              </w:rPr>
            </w:pPr>
            <w:r>
              <w:rPr>
                <w:sz w:val="24"/>
              </w:rPr>
              <w:t>807.14</w:t>
            </w:r>
          </w:p>
        </w:tc>
      </w:tr>
      <w:tr>
        <w:trPr>
          <w:trHeight w:val="823" w:hRule="atLeast"/>
        </w:trPr>
        <w:tc>
          <w:tcPr>
            <w:tcW w:w="2268" w:type="dxa"/>
          </w:tcPr>
          <w:p>
            <w:pPr>
              <w:pStyle w:val="TableParagraph"/>
              <w:ind w:left="67" w:right="810"/>
              <w:rPr>
                <w:sz w:val="24"/>
              </w:rPr>
            </w:pPr>
            <w:r>
              <w:rPr>
                <w:sz w:val="24"/>
              </w:rPr>
              <w:t>Cercas y protecciones</w:t>
            </w:r>
          </w:p>
          <w:p>
            <w:pPr>
              <w:pStyle w:val="TableParagraph"/>
              <w:spacing w:line="255" w:lineRule="exact"/>
              <w:ind w:left="67"/>
              <w:rPr>
                <w:sz w:val="24"/>
              </w:rPr>
            </w:pPr>
            <w:r>
              <w:rPr>
                <w:sz w:val="24"/>
              </w:rPr>
              <w:t>diversas</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Cereales a granel</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spacing w:line="270" w:lineRule="atLeast"/>
              <w:ind w:left="67" w:right="516"/>
              <w:rPr>
                <w:sz w:val="24"/>
              </w:rPr>
            </w:pPr>
            <w:r>
              <w:rPr>
                <w:sz w:val="24"/>
              </w:rPr>
              <w:t>Cerrajería (elaboración de llaves)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917"/>
              <w:rPr>
                <w:sz w:val="24"/>
              </w:rPr>
            </w:pPr>
            <w:r>
              <w:rPr>
                <w:sz w:val="24"/>
              </w:rPr>
              <w:t>Ciber (1 a 4 máquinas)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1"/>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50" w:hRule="atLeast"/>
        </w:trPr>
        <w:tc>
          <w:tcPr>
            <w:tcW w:w="2268" w:type="dxa"/>
          </w:tcPr>
          <w:p>
            <w:pPr>
              <w:pStyle w:val="TableParagraph"/>
              <w:spacing w:line="276" w:lineRule="exact" w:before="4"/>
              <w:ind w:left="67" w:right="210"/>
              <w:rPr>
                <w:sz w:val="24"/>
              </w:rPr>
            </w:pPr>
            <w:r>
              <w:rPr>
                <w:sz w:val="24"/>
              </w:rPr>
              <w:t>Ciber (5 máquinas en adelante)</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883" w:hRule="atLeast"/>
        </w:trPr>
        <w:tc>
          <w:tcPr>
            <w:tcW w:w="2268" w:type="dxa"/>
          </w:tcPr>
          <w:p>
            <w:pPr>
              <w:pStyle w:val="TableParagraph"/>
              <w:spacing w:before="55"/>
              <w:ind w:left="67"/>
              <w:rPr>
                <w:sz w:val="24"/>
              </w:rPr>
            </w:pPr>
            <w:r>
              <w:rPr>
                <w:sz w:val="24"/>
              </w:rPr>
              <w:t>Clínica (servicios</w:t>
            </w:r>
          </w:p>
          <w:p>
            <w:pPr>
              <w:pStyle w:val="TableParagraph"/>
              <w:spacing w:line="270" w:lineRule="atLeast" w:before="1"/>
              <w:ind w:left="67" w:right="90"/>
              <w:rPr>
                <w:sz w:val="24"/>
              </w:rPr>
            </w:pPr>
            <w:r>
              <w:rPr>
                <w:sz w:val="24"/>
              </w:rPr>
              <w:t>médicos integrales) hospitales</w:t>
            </w:r>
          </w:p>
        </w:tc>
        <w:tc>
          <w:tcPr>
            <w:tcW w:w="1561" w:type="dxa"/>
          </w:tcPr>
          <w:p>
            <w:pPr>
              <w:pStyle w:val="TableParagraph"/>
              <w:rPr>
                <w:b/>
                <w:sz w:val="26"/>
              </w:rPr>
            </w:pPr>
          </w:p>
          <w:p>
            <w:pPr>
              <w:pStyle w:val="TableParagraph"/>
              <w:spacing w:before="9"/>
              <w:rPr>
                <w:b/>
                <w:sz w:val="26"/>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9"/>
              <w:rPr>
                <w:b/>
                <w:sz w:val="26"/>
              </w:rPr>
            </w:pPr>
          </w:p>
          <w:p>
            <w:pPr>
              <w:pStyle w:val="TableParagraph"/>
              <w:spacing w:line="255" w:lineRule="exact" w:before="1"/>
              <w:ind w:right="62"/>
              <w:jc w:val="right"/>
              <w:rPr>
                <w:sz w:val="24"/>
              </w:rPr>
            </w:pPr>
            <w:r>
              <w:rPr>
                <w:sz w:val="24"/>
              </w:rPr>
              <w:t>384.82</w:t>
            </w:r>
          </w:p>
        </w:tc>
        <w:tc>
          <w:tcPr>
            <w:tcW w:w="1324" w:type="dxa"/>
          </w:tcPr>
          <w:p>
            <w:pPr>
              <w:pStyle w:val="TableParagraph"/>
              <w:rPr>
                <w:b/>
                <w:sz w:val="26"/>
              </w:rPr>
            </w:pPr>
          </w:p>
          <w:p>
            <w:pPr>
              <w:pStyle w:val="TableParagraph"/>
              <w:spacing w:before="9"/>
              <w:rPr>
                <w:b/>
                <w:sz w:val="26"/>
              </w:rPr>
            </w:pPr>
          </w:p>
          <w:p>
            <w:pPr>
              <w:pStyle w:val="TableParagraph"/>
              <w:spacing w:line="255" w:lineRule="exact" w:before="1"/>
              <w:ind w:right="63"/>
              <w:jc w:val="right"/>
              <w:rPr>
                <w:sz w:val="24"/>
              </w:rPr>
            </w:pPr>
            <w:r>
              <w:rPr>
                <w:sz w:val="24"/>
              </w:rPr>
              <w:t>1,382.14</w:t>
            </w:r>
          </w:p>
        </w:tc>
        <w:tc>
          <w:tcPr>
            <w:tcW w:w="1304" w:type="dxa"/>
          </w:tcPr>
          <w:p>
            <w:pPr>
              <w:pStyle w:val="TableParagraph"/>
              <w:rPr>
                <w:b/>
                <w:sz w:val="26"/>
              </w:rPr>
            </w:pPr>
          </w:p>
          <w:p>
            <w:pPr>
              <w:pStyle w:val="TableParagraph"/>
              <w:spacing w:before="9"/>
              <w:rPr>
                <w:b/>
                <w:sz w:val="26"/>
              </w:rPr>
            </w:pPr>
          </w:p>
          <w:p>
            <w:pPr>
              <w:pStyle w:val="TableParagraph"/>
              <w:spacing w:line="255" w:lineRule="exact" w:before="1"/>
              <w:ind w:right="66"/>
              <w:jc w:val="right"/>
              <w:rPr>
                <w:sz w:val="24"/>
              </w:rPr>
            </w:pPr>
            <w:r>
              <w:rPr>
                <w:sz w:val="24"/>
              </w:rPr>
              <w:t>807.14</w:t>
            </w:r>
          </w:p>
        </w:tc>
      </w:tr>
      <w:tr>
        <w:trPr>
          <w:trHeight w:val="552" w:hRule="atLeast"/>
        </w:trPr>
        <w:tc>
          <w:tcPr>
            <w:tcW w:w="2268" w:type="dxa"/>
          </w:tcPr>
          <w:p>
            <w:pPr>
              <w:pStyle w:val="TableParagraph"/>
              <w:spacing w:line="270" w:lineRule="atLeast" w:before="2"/>
              <w:ind w:left="67" w:right="329"/>
              <w:rPr>
                <w:sz w:val="24"/>
              </w:rPr>
            </w:pPr>
            <w:r>
              <w:rPr>
                <w:sz w:val="24"/>
              </w:rPr>
              <w:t>Clínica (solo consulta externa)</w:t>
            </w:r>
          </w:p>
        </w:tc>
        <w:tc>
          <w:tcPr>
            <w:tcW w:w="1561" w:type="dxa"/>
          </w:tcPr>
          <w:p>
            <w:pPr>
              <w:pStyle w:val="TableParagraph"/>
              <w:spacing w:before="1"/>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spacing w:before="1"/>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spacing w:before="1"/>
              <w:rPr>
                <w:b/>
                <w:sz w:val="24"/>
              </w:rPr>
            </w:pPr>
          </w:p>
          <w:p>
            <w:pPr>
              <w:pStyle w:val="TableParagraph"/>
              <w:spacing w:line="255" w:lineRule="exact" w:before="1"/>
              <w:ind w:right="66"/>
              <w:jc w:val="right"/>
              <w:rPr>
                <w:sz w:val="24"/>
              </w:rPr>
            </w:pPr>
            <w:r>
              <w:rPr>
                <w:sz w:val="24"/>
              </w:rPr>
              <w:t>807.14</w:t>
            </w:r>
          </w:p>
        </w:tc>
      </w:tr>
      <w:tr>
        <w:trPr>
          <w:trHeight w:val="550" w:hRule="atLeast"/>
        </w:trPr>
        <w:tc>
          <w:tcPr>
            <w:tcW w:w="2268" w:type="dxa"/>
          </w:tcPr>
          <w:p>
            <w:pPr>
              <w:pStyle w:val="TableParagraph"/>
              <w:spacing w:line="276" w:lineRule="exact" w:before="4"/>
              <w:ind w:left="67" w:right="209"/>
              <w:rPr>
                <w:sz w:val="24"/>
              </w:rPr>
            </w:pPr>
            <w:r>
              <w:rPr>
                <w:sz w:val="24"/>
              </w:rPr>
              <w:t>Clínica para reducción de peso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46" w:hRule="atLeast"/>
        </w:trPr>
        <w:tc>
          <w:tcPr>
            <w:tcW w:w="2268" w:type="dxa"/>
          </w:tcPr>
          <w:p>
            <w:pPr>
              <w:pStyle w:val="TableParagraph"/>
              <w:spacing w:before="6"/>
              <w:rPr>
                <w:b/>
                <w:sz w:val="23"/>
              </w:rPr>
            </w:pPr>
          </w:p>
          <w:p>
            <w:pPr>
              <w:pStyle w:val="TableParagraph"/>
              <w:spacing w:line="255" w:lineRule="exact"/>
              <w:ind w:left="67"/>
              <w:rPr>
                <w:sz w:val="24"/>
              </w:rPr>
            </w:pPr>
            <w:r>
              <w:rPr>
                <w:sz w:val="24"/>
              </w:rPr>
              <w:t>Clínica veterinaria</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0"/>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223"/>
              <w:rPr>
                <w:sz w:val="24"/>
              </w:rPr>
            </w:pPr>
            <w:r>
              <w:rPr>
                <w:sz w:val="24"/>
              </w:rPr>
              <w:t>Club deportivo (centro recreativo)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spacing w:before="11"/>
              <w:rPr>
                <w:b/>
                <w:sz w:val="23"/>
              </w:rPr>
            </w:pPr>
          </w:p>
          <w:p>
            <w:pPr>
              <w:pStyle w:val="TableParagraph"/>
              <w:spacing w:line="256" w:lineRule="exact"/>
              <w:ind w:left="67"/>
              <w:rPr>
                <w:sz w:val="24"/>
              </w:rPr>
            </w:pPr>
            <w:r>
              <w:rPr>
                <w:sz w:val="24"/>
              </w:rPr>
              <w:t>Cocina económica</w:t>
            </w:r>
          </w:p>
        </w:tc>
        <w:tc>
          <w:tcPr>
            <w:tcW w:w="1561" w:type="dxa"/>
          </w:tcPr>
          <w:p>
            <w:pPr>
              <w:pStyle w:val="TableParagraph"/>
              <w:spacing w:before="11"/>
              <w:rPr>
                <w:b/>
                <w:sz w:val="23"/>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6"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6"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6" w:lineRule="exact"/>
              <w:ind w:right="66"/>
              <w:jc w:val="right"/>
              <w:rPr>
                <w:sz w:val="24"/>
              </w:rPr>
            </w:pPr>
            <w:r>
              <w:rPr>
                <w:sz w:val="24"/>
              </w:rPr>
              <w:t>241.07</w:t>
            </w:r>
          </w:p>
        </w:tc>
      </w:tr>
    </w:tbl>
    <w:p>
      <w:pPr>
        <w:spacing w:after="0" w:line="256"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62496">
            <wp:simplePos x="0" y="0"/>
            <wp:positionH relativeFrom="page">
              <wp:posOffset>1252555</wp:posOffset>
            </wp:positionH>
            <wp:positionV relativeFrom="page">
              <wp:posOffset>2058161</wp:posOffset>
            </wp:positionV>
            <wp:extent cx="5021401" cy="5143500"/>
            <wp:effectExtent l="0" t="0" r="0" b="0"/>
            <wp:wrapNone/>
            <wp:docPr id="185" name="image88.png"/>
            <wp:cNvGraphicFramePr>
              <a:graphicFrameLocks noChangeAspect="1"/>
            </wp:cNvGraphicFramePr>
            <a:graphic>
              <a:graphicData uri="http://schemas.openxmlformats.org/drawingml/2006/picture">
                <pic:pic>
                  <pic:nvPicPr>
                    <pic:cNvPr id="186" name="image88.png"/>
                    <pic:cNvPicPr/>
                  </pic:nvPicPr>
                  <pic:blipFill>
                    <a:blip r:embed="rId98"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170"/>
              <w:rPr>
                <w:sz w:val="24"/>
              </w:rPr>
            </w:pPr>
            <w:r>
              <w:rPr>
                <w:sz w:val="24"/>
              </w:rPr>
              <w:t>Com. Consig. Dist. Rep. Art. Belleza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362"/>
              <w:jc w:val="both"/>
              <w:rPr>
                <w:sz w:val="24"/>
              </w:rPr>
            </w:pPr>
            <w:r>
              <w:rPr>
                <w:w w:val="95"/>
                <w:sz w:val="24"/>
              </w:rPr>
              <w:t>Comercialización </w:t>
            </w:r>
            <w:r>
              <w:rPr>
                <w:sz w:val="24"/>
              </w:rPr>
              <w:t>de toda clase de productos</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552.68</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6"/>
              <w:jc w:val="right"/>
              <w:rPr>
                <w:sz w:val="24"/>
              </w:rPr>
            </w:pPr>
            <w:r>
              <w:rPr>
                <w:sz w:val="24"/>
              </w:rPr>
              <w:t>322.32</w:t>
            </w:r>
          </w:p>
        </w:tc>
      </w:tr>
      <w:tr>
        <w:trPr>
          <w:trHeight w:val="829" w:hRule="atLeast"/>
        </w:trPr>
        <w:tc>
          <w:tcPr>
            <w:tcW w:w="2268" w:type="dxa"/>
          </w:tcPr>
          <w:p>
            <w:pPr>
              <w:pStyle w:val="TableParagraph"/>
              <w:spacing w:line="270" w:lineRule="atLeast" w:before="2"/>
              <w:ind w:left="67" w:right="436"/>
              <w:rPr>
                <w:sz w:val="24"/>
              </w:rPr>
            </w:pPr>
            <w:r>
              <w:rPr>
                <w:sz w:val="24"/>
              </w:rPr>
              <w:t>Comisión consignación de vehículos</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6" w:lineRule="exact" w:before="4"/>
              <w:ind w:left="67" w:right="329"/>
              <w:rPr>
                <w:sz w:val="24"/>
              </w:rPr>
            </w:pPr>
            <w:r>
              <w:rPr>
                <w:sz w:val="24"/>
              </w:rPr>
              <w:t>Compra venta de aceros y perfiles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823" w:hRule="atLeast"/>
        </w:trPr>
        <w:tc>
          <w:tcPr>
            <w:tcW w:w="2268" w:type="dxa"/>
          </w:tcPr>
          <w:p>
            <w:pPr>
              <w:pStyle w:val="TableParagraph"/>
              <w:spacing w:line="276" w:lineRule="exact"/>
              <w:ind w:left="67" w:right="329"/>
              <w:rPr>
                <w:sz w:val="24"/>
              </w:rPr>
            </w:pPr>
            <w:r>
              <w:rPr>
                <w:sz w:val="24"/>
              </w:rPr>
              <w:t>Compra venta de acumuladores exclusivamente</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line="271" w:lineRule="exact"/>
              <w:ind w:left="67"/>
              <w:rPr>
                <w:sz w:val="24"/>
              </w:rPr>
            </w:pPr>
            <w:r>
              <w:rPr>
                <w:sz w:val="24"/>
              </w:rPr>
              <w:t>Compra venta de</w:t>
            </w:r>
          </w:p>
          <w:p>
            <w:pPr>
              <w:pStyle w:val="TableParagraph"/>
              <w:spacing w:line="255" w:lineRule="exact"/>
              <w:ind w:left="67"/>
              <w:rPr>
                <w:sz w:val="24"/>
              </w:rPr>
            </w:pPr>
            <w:r>
              <w:rPr>
                <w:sz w:val="24"/>
              </w:rPr>
              <w:t>cristales para auto</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29"/>
              <w:rPr>
                <w:sz w:val="24"/>
              </w:rPr>
            </w:pPr>
            <w:r>
              <w:rPr>
                <w:sz w:val="24"/>
              </w:rPr>
              <w:t>Compra/venta de fierro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Confección de ropa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ind w:left="67"/>
              <w:rPr>
                <w:sz w:val="24"/>
              </w:rPr>
            </w:pPr>
            <w:r>
              <w:rPr>
                <w:sz w:val="24"/>
              </w:rPr>
              <w:t>Construcción de</w:t>
            </w:r>
          </w:p>
          <w:p>
            <w:pPr>
              <w:pStyle w:val="TableParagraph"/>
              <w:spacing w:line="270" w:lineRule="atLeast"/>
              <w:ind w:left="67" w:right="1023"/>
              <w:rPr>
                <w:sz w:val="24"/>
              </w:rPr>
            </w:pPr>
            <w:r>
              <w:rPr>
                <w:sz w:val="24"/>
              </w:rPr>
              <w:t>albercas y accesorios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Consultorio dental</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Consultorio medico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957"/>
              <w:rPr>
                <w:sz w:val="24"/>
              </w:rPr>
            </w:pPr>
            <w:r>
              <w:rPr>
                <w:sz w:val="24"/>
              </w:rPr>
              <w:t>Consultorio pediátrico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796"/>
              <w:rPr>
                <w:sz w:val="24"/>
              </w:rPr>
            </w:pPr>
            <w:r>
              <w:rPr>
                <w:sz w:val="24"/>
              </w:rPr>
              <w:t>Consultorio quiropráctico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Copiadoras (venta)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before="1"/>
              <w:ind w:left="67"/>
              <w:rPr>
                <w:sz w:val="24"/>
              </w:rPr>
            </w:pPr>
            <w:r>
              <w:rPr>
                <w:sz w:val="24"/>
              </w:rPr>
              <w:t>Corsetería</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Crematorio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Cremería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590" w:hRule="atLeast"/>
        </w:trPr>
        <w:tc>
          <w:tcPr>
            <w:tcW w:w="2268" w:type="dxa"/>
          </w:tcPr>
          <w:p>
            <w:pPr>
              <w:pStyle w:val="TableParagraph"/>
              <w:spacing w:line="270" w:lineRule="atLeast" w:before="38"/>
              <w:ind w:left="67" w:right="477"/>
              <w:rPr>
                <w:sz w:val="24"/>
              </w:rPr>
            </w:pPr>
            <w:r>
              <w:rPr>
                <w:sz w:val="24"/>
              </w:rPr>
              <w:t>Decoraciones interiores varias</w:t>
            </w:r>
          </w:p>
        </w:tc>
        <w:tc>
          <w:tcPr>
            <w:tcW w:w="1561" w:type="dxa"/>
          </w:tcPr>
          <w:p>
            <w:pPr>
              <w:pStyle w:val="TableParagraph"/>
              <w:spacing w:before="4"/>
              <w:rPr>
                <w:b/>
                <w:sz w:val="27"/>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4"/>
              <w:rPr>
                <w:b/>
                <w:sz w:val="27"/>
              </w:rPr>
            </w:pPr>
          </w:p>
          <w:p>
            <w:pPr>
              <w:pStyle w:val="TableParagraph"/>
              <w:spacing w:line="255" w:lineRule="exact"/>
              <w:ind w:right="62"/>
              <w:jc w:val="right"/>
              <w:rPr>
                <w:sz w:val="24"/>
              </w:rPr>
            </w:pPr>
            <w:r>
              <w:rPr>
                <w:sz w:val="24"/>
              </w:rPr>
              <w:t>384.82</w:t>
            </w:r>
          </w:p>
        </w:tc>
        <w:tc>
          <w:tcPr>
            <w:tcW w:w="1324" w:type="dxa"/>
          </w:tcPr>
          <w:p>
            <w:pPr>
              <w:pStyle w:val="TableParagraph"/>
              <w:spacing w:before="4"/>
              <w:rPr>
                <w:b/>
                <w:sz w:val="27"/>
              </w:rPr>
            </w:pPr>
          </w:p>
          <w:p>
            <w:pPr>
              <w:pStyle w:val="TableParagraph"/>
              <w:spacing w:line="255" w:lineRule="exact"/>
              <w:ind w:right="63"/>
              <w:jc w:val="right"/>
              <w:rPr>
                <w:sz w:val="24"/>
              </w:rPr>
            </w:pPr>
            <w:r>
              <w:rPr>
                <w:sz w:val="24"/>
              </w:rPr>
              <w:t>183.93</w:t>
            </w:r>
          </w:p>
        </w:tc>
        <w:tc>
          <w:tcPr>
            <w:tcW w:w="1304" w:type="dxa"/>
          </w:tcPr>
          <w:p>
            <w:pPr>
              <w:pStyle w:val="TableParagraph"/>
              <w:spacing w:before="4"/>
              <w:rPr>
                <w:b/>
                <w:sz w:val="27"/>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676"/>
              <w:rPr>
                <w:sz w:val="24"/>
              </w:rPr>
            </w:pPr>
            <w:r>
              <w:rPr>
                <w:sz w:val="24"/>
              </w:rPr>
              <w:t>Despacho arquitectónico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before="11"/>
              <w:rPr>
                <w:b/>
                <w:sz w:val="23"/>
              </w:rPr>
            </w:pPr>
          </w:p>
          <w:p>
            <w:pPr>
              <w:pStyle w:val="TableParagraph"/>
              <w:spacing w:line="256" w:lineRule="exact"/>
              <w:ind w:left="67"/>
              <w:rPr>
                <w:sz w:val="24"/>
              </w:rPr>
            </w:pPr>
            <w:r>
              <w:rPr>
                <w:sz w:val="24"/>
              </w:rPr>
              <w:t>Despacho contable</w:t>
            </w:r>
          </w:p>
        </w:tc>
        <w:tc>
          <w:tcPr>
            <w:tcW w:w="1561" w:type="dxa"/>
          </w:tcPr>
          <w:p>
            <w:pPr>
              <w:pStyle w:val="TableParagraph"/>
              <w:spacing w:before="11"/>
              <w:rPr>
                <w:b/>
                <w:sz w:val="23"/>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6"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6"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6" w:lineRule="exact"/>
              <w:ind w:right="63"/>
              <w:jc w:val="right"/>
              <w:rPr>
                <w:sz w:val="24"/>
              </w:rPr>
            </w:pPr>
            <w:r>
              <w:rPr>
                <w:w w:val="99"/>
                <w:sz w:val="24"/>
              </w:rPr>
              <w:t>-</w:t>
            </w:r>
          </w:p>
        </w:tc>
      </w:tr>
    </w:tbl>
    <w:p>
      <w:pPr>
        <w:spacing w:after="0" w:line="256"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63520">
            <wp:simplePos x="0" y="0"/>
            <wp:positionH relativeFrom="page">
              <wp:posOffset>1239220</wp:posOffset>
            </wp:positionH>
            <wp:positionV relativeFrom="page">
              <wp:posOffset>2058161</wp:posOffset>
            </wp:positionV>
            <wp:extent cx="5021401" cy="5143500"/>
            <wp:effectExtent l="0" t="0" r="0" b="0"/>
            <wp:wrapNone/>
            <wp:docPr id="187" name="image89.png"/>
            <wp:cNvGraphicFramePr>
              <a:graphicFrameLocks noChangeAspect="1"/>
            </wp:cNvGraphicFramePr>
            <a:graphic>
              <a:graphicData uri="http://schemas.openxmlformats.org/drawingml/2006/picture">
                <pic:pic>
                  <pic:nvPicPr>
                    <pic:cNvPr id="188" name="image89.png"/>
                    <pic:cNvPicPr/>
                  </pic:nvPicPr>
                  <pic:blipFill>
                    <a:blip r:embed="rId99"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
              <w:rPr>
                <w:b/>
                <w:sz w:val="21"/>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30" w:hRule="atLeast"/>
        </w:trPr>
        <w:tc>
          <w:tcPr>
            <w:tcW w:w="2268" w:type="dxa"/>
            <w:vMerge/>
            <w:tcBorders>
              <w:top w:val="nil"/>
            </w:tcBorders>
          </w:tcPr>
          <w:p>
            <w:pPr>
              <w:rPr>
                <w:sz w:val="2"/>
                <w:szCs w:val="2"/>
              </w:rPr>
            </w:pPr>
          </w:p>
        </w:tc>
        <w:tc>
          <w:tcPr>
            <w:tcW w:w="1561" w:type="dxa"/>
          </w:tcPr>
          <w:p>
            <w:pPr>
              <w:pStyle w:val="TableParagraph"/>
              <w:spacing w:before="3"/>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spacing w:before="3"/>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spacing w:before="3"/>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spacing w:before="3"/>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spacing w:before="3"/>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Despacho jurídico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Discos compactos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63"/>
              <w:rPr>
                <w:sz w:val="24"/>
              </w:rPr>
            </w:pPr>
            <w:r>
              <w:rPr>
                <w:sz w:val="24"/>
              </w:rPr>
              <w:t>Discotecas (centros de baile)</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827" w:hRule="atLeast"/>
        </w:trPr>
        <w:tc>
          <w:tcPr>
            <w:tcW w:w="2268" w:type="dxa"/>
          </w:tcPr>
          <w:p>
            <w:pPr>
              <w:pStyle w:val="TableParagraph"/>
              <w:ind w:left="67" w:right="383"/>
              <w:rPr>
                <w:sz w:val="24"/>
              </w:rPr>
            </w:pPr>
            <w:r>
              <w:rPr>
                <w:sz w:val="24"/>
              </w:rPr>
              <w:t>Diseño vta./serv. De elect. T.v.</w:t>
            </w:r>
          </w:p>
          <w:p>
            <w:pPr>
              <w:pStyle w:val="TableParagraph"/>
              <w:spacing w:line="255" w:lineRule="exact"/>
              <w:ind w:left="67"/>
              <w:rPr>
                <w:sz w:val="24"/>
              </w:rPr>
            </w:pPr>
            <w:r>
              <w:rPr>
                <w:sz w:val="24"/>
              </w:rPr>
              <w:t>Satélite</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1104" w:hRule="atLeast"/>
        </w:trPr>
        <w:tc>
          <w:tcPr>
            <w:tcW w:w="2268" w:type="dxa"/>
          </w:tcPr>
          <w:p>
            <w:pPr>
              <w:pStyle w:val="TableParagraph"/>
              <w:spacing w:before="1"/>
              <w:ind w:left="67" w:right="383"/>
              <w:rPr>
                <w:sz w:val="24"/>
              </w:rPr>
            </w:pPr>
            <w:r>
              <w:rPr>
                <w:sz w:val="24"/>
              </w:rPr>
              <w:t>Diseño vta./serv. De elect. T.v.</w:t>
            </w:r>
          </w:p>
          <w:p>
            <w:pPr>
              <w:pStyle w:val="TableParagraph"/>
              <w:spacing w:line="270" w:lineRule="atLeast"/>
              <w:ind w:left="67" w:right="223"/>
              <w:rPr>
                <w:sz w:val="24"/>
              </w:rPr>
            </w:pPr>
            <w:r>
              <w:rPr>
                <w:sz w:val="24"/>
              </w:rPr>
              <w:t>Satélite (centro de cobro)</w:t>
            </w:r>
          </w:p>
        </w:tc>
        <w:tc>
          <w:tcPr>
            <w:tcW w:w="1561" w:type="dxa"/>
          </w:tcPr>
          <w:p>
            <w:pPr>
              <w:pStyle w:val="TableParagraph"/>
              <w:rPr>
                <w:b/>
                <w:sz w:val="26"/>
              </w:rPr>
            </w:pPr>
          </w:p>
          <w:p>
            <w:pPr>
              <w:pStyle w:val="TableParagraph"/>
              <w:rPr>
                <w:b/>
                <w:sz w:val="26"/>
              </w:rPr>
            </w:pPr>
          </w:p>
          <w:p>
            <w:pPr>
              <w:pStyle w:val="TableParagraph"/>
              <w:spacing w:line="255" w:lineRule="exact" w:before="23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1"/>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1"/>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1"/>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49"/>
              <w:rPr>
                <w:sz w:val="24"/>
              </w:rPr>
            </w:pPr>
            <w:r>
              <w:rPr>
                <w:sz w:val="24"/>
              </w:rPr>
              <w:t>Dist. Y vta. De botanas y golosinas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49" w:hRule="atLeast"/>
        </w:trPr>
        <w:tc>
          <w:tcPr>
            <w:tcW w:w="2268" w:type="dxa"/>
          </w:tcPr>
          <w:p>
            <w:pPr>
              <w:pStyle w:val="TableParagraph"/>
              <w:spacing w:line="276" w:lineRule="exact" w:before="2"/>
              <w:ind w:left="67" w:right="583"/>
              <w:rPr>
                <w:sz w:val="24"/>
              </w:rPr>
            </w:pPr>
            <w:r>
              <w:rPr>
                <w:sz w:val="24"/>
              </w:rPr>
              <w:t>Distribución de cigarros</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ind w:left="67" w:right="583"/>
              <w:rPr>
                <w:sz w:val="24"/>
              </w:rPr>
            </w:pPr>
            <w:r>
              <w:rPr>
                <w:sz w:val="24"/>
              </w:rPr>
              <w:t>Distribución de productos</w:t>
            </w:r>
          </w:p>
          <w:p>
            <w:pPr>
              <w:pStyle w:val="TableParagraph"/>
              <w:spacing w:line="255" w:lineRule="exact"/>
              <w:ind w:left="67"/>
              <w:rPr>
                <w:sz w:val="24"/>
              </w:rPr>
            </w:pPr>
            <w:r>
              <w:rPr>
                <w:sz w:val="24"/>
              </w:rPr>
              <w:t>farmacéuticos</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ind w:left="67" w:right="343"/>
              <w:rPr>
                <w:sz w:val="24"/>
              </w:rPr>
            </w:pPr>
            <w:r>
              <w:rPr>
                <w:sz w:val="24"/>
              </w:rPr>
              <w:t>Distribución de tortillas de harina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ind w:left="67" w:right="76"/>
              <w:rPr>
                <w:sz w:val="24"/>
              </w:rPr>
            </w:pPr>
            <w:r>
              <w:rPr>
                <w:sz w:val="24"/>
              </w:rPr>
              <w:t>Distribución y venta de produc.</w:t>
            </w:r>
          </w:p>
          <w:p>
            <w:pPr>
              <w:pStyle w:val="TableParagraph"/>
              <w:spacing w:line="255" w:lineRule="exact"/>
              <w:ind w:left="67"/>
              <w:rPr>
                <w:sz w:val="24"/>
              </w:rPr>
            </w:pPr>
            <w:r>
              <w:rPr>
                <w:sz w:val="24"/>
              </w:rPr>
              <w:t>Alimenticios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623"/>
              <w:rPr>
                <w:sz w:val="24"/>
              </w:rPr>
            </w:pPr>
            <w:r>
              <w:rPr>
                <w:sz w:val="24"/>
              </w:rPr>
              <w:t>Distribuidor de huevos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729" w:hRule="atLeast"/>
        </w:trPr>
        <w:tc>
          <w:tcPr>
            <w:tcW w:w="2268" w:type="dxa"/>
          </w:tcPr>
          <w:p>
            <w:pPr>
              <w:pStyle w:val="TableParagraph"/>
              <w:spacing w:line="270" w:lineRule="atLeast" w:before="177"/>
              <w:ind w:left="67" w:right="62"/>
              <w:rPr>
                <w:sz w:val="24"/>
              </w:rPr>
            </w:pPr>
            <w:r>
              <w:rPr>
                <w:sz w:val="24"/>
              </w:rPr>
              <w:t>Dulcería grande de 31 mts.2 en delante</w:t>
            </w:r>
          </w:p>
        </w:tc>
        <w:tc>
          <w:tcPr>
            <w:tcW w:w="1561" w:type="dxa"/>
          </w:tcPr>
          <w:p>
            <w:pPr>
              <w:pStyle w:val="TableParagraph"/>
              <w:rPr>
                <w:b/>
                <w:sz w:val="26"/>
              </w:rPr>
            </w:pPr>
          </w:p>
          <w:p>
            <w:pPr>
              <w:pStyle w:val="TableParagraph"/>
              <w:spacing w:line="255" w:lineRule="exact" w:before="154"/>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line="255" w:lineRule="exact" w:before="154"/>
              <w:ind w:right="62"/>
              <w:jc w:val="right"/>
              <w:rPr>
                <w:sz w:val="24"/>
              </w:rPr>
            </w:pPr>
            <w:r>
              <w:rPr>
                <w:sz w:val="24"/>
              </w:rPr>
              <w:t>384.82</w:t>
            </w:r>
          </w:p>
        </w:tc>
        <w:tc>
          <w:tcPr>
            <w:tcW w:w="1324" w:type="dxa"/>
          </w:tcPr>
          <w:p>
            <w:pPr>
              <w:pStyle w:val="TableParagraph"/>
              <w:rPr>
                <w:b/>
                <w:sz w:val="26"/>
              </w:rPr>
            </w:pPr>
          </w:p>
          <w:p>
            <w:pPr>
              <w:pStyle w:val="TableParagraph"/>
              <w:spacing w:line="255" w:lineRule="exact" w:before="154"/>
              <w:ind w:right="63"/>
              <w:jc w:val="right"/>
              <w:rPr>
                <w:sz w:val="24"/>
              </w:rPr>
            </w:pPr>
            <w:r>
              <w:rPr>
                <w:sz w:val="24"/>
              </w:rPr>
              <w:t>367.86</w:t>
            </w:r>
          </w:p>
        </w:tc>
        <w:tc>
          <w:tcPr>
            <w:tcW w:w="1304" w:type="dxa"/>
          </w:tcPr>
          <w:p>
            <w:pPr>
              <w:pStyle w:val="TableParagraph"/>
              <w:rPr>
                <w:b/>
                <w:sz w:val="26"/>
              </w:rPr>
            </w:pPr>
          </w:p>
          <w:p>
            <w:pPr>
              <w:pStyle w:val="TableParagraph"/>
              <w:spacing w:line="255" w:lineRule="exact" w:before="154"/>
              <w:ind w:right="66"/>
              <w:jc w:val="right"/>
              <w:rPr>
                <w:sz w:val="24"/>
              </w:rPr>
            </w:pPr>
            <w:r>
              <w:rPr>
                <w:sz w:val="24"/>
              </w:rPr>
              <w:t>241.07</w:t>
            </w:r>
          </w:p>
        </w:tc>
      </w:tr>
      <w:tr>
        <w:trPr>
          <w:trHeight w:val="712" w:hRule="atLeast"/>
        </w:trPr>
        <w:tc>
          <w:tcPr>
            <w:tcW w:w="2268" w:type="dxa"/>
          </w:tcPr>
          <w:p>
            <w:pPr>
              <w:pStyle w:val="TableParagraph"/>
              <w:spacing w:line="270" w:lineRule="atLeast" w:before="161"/>
              <w:ind w:left="67" w:right="76"/>
              <w:rPr>
                <w:sz w:val="24"/>
              </w:rPr>
            </w:pPr>
            <w:r>
              <w:rPr>
                <w:sz w:val="24"/>
              </w:rPr>
              <w:t>Dulcerías chicas de 1 a 30 mts.2</w:t>
            </w:r>
          </w:p>
        </w:tc>
        <w:tc>
          <w:tcPr>
            <w:tcW w:w="1561" w:type="dxa"/>
          </w:tcPr>
          <w:p>
            <w:pPr>
              <w:pStyle w:val="TableParagraph"/>
              <w:rPr>
                <w:b/>
                <w:sz w:val="38"/>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38"/>
              </w:rPr>
            </w:pPr>
          </w:p>
          <w:p>
            <w:pPr>
              <w:pStyle w:val="TableParagraph"/>
              <w:spacing w:line="255" w:lineRule="exact"/>
              <w:ind w:right="62"/>
              <w:jc w:val="right"/>
              <w:rPr>
                <w:sz w:val="24"/>
              </w:rPr>
            </w:pPr>
            <w:r>
              <w:rPr>
                <w:sz w:val="24"/>
              </w:rPr>
              <w:t>154.46</w:t>
            </w:r>
          </w:p>
        </w:tc>
        <w:tc>
          <w:tcPr>
            <w:tcW w:w="1324" w:type="dxa"/>
          </w:tcPr>
          <w:p>
            <w:pPr>
              <w:pStyle w:val="TableParagraph"/>
              <w:rPr>
                <w:b/>
                <w:sz w:val="38"/>
              </w:rPr>
            </w:pPr>
          </w:p>
          <w:p>
            <w:pPr>
              <w:pStyle w:val="TableParagraph"/>
              <w:spacing w:line="255" w:lineRule="exact"/>
              <w:ind w:right="63"/>
              <w:jc w:val="right"/>
              <w:rPr>
                <w:sz w:val="24"/>
              </w:rPr>
            </w:pPr>
            <w:r>
              <w:rPr>
                <w:sz w:val="24"/>
              </w:rPr>
              <w:t>183.93</w:t>
            </w:r>
          </w:p>
        </w:tc>
        <w:tc>
          <w:tcPr>
            <w:tcW w:w="1304" w:type="dxa"/>
          </w:tcPr>
          <w:p>
            <w:pPr>
              <w:pStyle w:val="TableParagraph"/>
              <w:rPr>
                <w:b/>
                <w:sz w:val="38"/>
              </w:rPr>
            </w:pPr>
          </w:p>
          <w:p>
            <w:pPr>
              <w:pStyle w:val="TableParagraph"/>
              <w:spacing w:line="255" w:lineRule="exact"/>
              <w:ind w:right="65"/>
              <w:jc w:val="right"/>
              <w:rPr>
                <w:sz w:val="24"/>
              </w:rPr>
            </w:pPr>
            <w:r>
              <w:rPr>
                <w:sz w:val="24"/>
              </w:rPr>
              <w:t>241.07</w:t>
            </w:r>
          </w:p>
        </w:tc>
      </w:tr>
      <w:tr>
        <w:trPr>
          <w:trHeight w:val="604" w:hRule="atLeast"/>
        </w:trPr>
        <w:tc>
          <w:tcPr>
            <w:tcW w:w="2268" w:type="dxa"/>
          </w:tcPr>
          <w:p>
            <w:pPr>
              <w:pStyle w:val="TableParagraph"/>
              <w:spacing w:line="270" w:lineRule="atLeast" w:before="53"/>
              <w:ind w:left="67" w:right="569"/>
              <w:rPr>
                <w:sz w:val="24"/>
              </w:rPr>
            </w:pPr>
            <w:r>
              <w:rPr>
                <w:sz w:val="24"/>
              </w:rPr>
              <w:t>Elaboración de bolis</w:t>
            </w:r>
          </w:p>
        </w:tc>
        <w:tc>
          <w:tcPr>
            <w:tcW w:w="1561" w:type="dxa"/>
          </w:tcPr>
          <w:p>
            <w:pPr>
              <w:pStyle w:val="TableParagraph"/>
              <w:spacing w:before="7"/>
              <w:rPr>
                <w:b/>
                <w:sz w:val="28"/>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8"/>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8"/>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8"/>
              </w:rPr>
            </w:pPr>
          </w:p>
          <w:p>
            <w:pPr>
              <w:pStyle w:val="TableParagraph"/>
              <w:spacing w:line="255" w:lineRule="exact"/>
              <w:ind w:right="66"/>
              <w:jc w:val="right"/>
              <w:rPr>
                <w:sz w:val="24"/>
              </w:rPr>
            </w:pPr>
            <w:r>
              <w:rPr>
                <w:sz w:val="24"/>
              </w:rPr>
              <w:t>241.07</w:t>
            </w:r>
          </w:p>
        </w:tc>
      </w:tr>
      <w:tr>
        <w:trPr>
          <w:trHeight w:val="696" w:hRule="atLeast"/>
        </w:trPr>
        <w:tc>
          <w:tcPr>
            <w:tcW w:w="2268" w:type="dxa"/>
          </w:tcPr>
          <w:p>
            <w:pPr>
              <w:pStyle w:val="TableParagraph"/>
              <w:spacing w:line="270" w:lineRule="atLeast" w:before="146"/>
              <w:ind w:left="67" w:right="569"/>
              <w:rPr>
                <w:sz w:val="24"/>
              </w:rPr>
            </w:pPr>
            <w:r>
              <w:rPr>
                <w:sz w:val="24"/>
              </w:rPr>
              <w:t>Elaboración de chorizo</w:t>
            </w:r>
          </w:p>
        </w:tc>
        <w:tc>
          <w:tcPr>
            <w:tcW w:w="1561" w:type="dxa"/>
          </w:tcPr>
          <w:p>
            <w:pPr>
              <w:pStyle w:val="TableParagraph"/>
              <w:spacing w:before="8"/>
              <w:rPr>
                <w:b/>
                <w:sz w:val="36"/>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8"/>
              <w:rPr>
                <w:b/>
                <w:sz w:val="36"/>
              </w:rPr>
            </w:pPr>
          </w:p>
          <w:p>
            <w:pPr>
              <w:pStyle w:val="TableParagraph"/>
              <w:spacing w:line="255" w:lineRule="exact"/>
              <w:ind w:right="62"/>
              <w:jc w:val="right"/>
              <w:rPr>
                <w:sz w:val="24"/>
              </w:rPr>
            </w:pPr>
            <w:r>
              <w:rPr>
                <w:sz w:val="24"/>
              </w:rPr>
              <w:t>154.46</w:t>
            </w:r>
          </w:p>
        </w:tc>
        <w:tc>
          <w:tcPr>
            <w:tcW w:w="1324" w:type="dxa"/>
          </w:tcPr>
          <w:p>
            <w:pPr>
              <w:pStyle w:val="TableParagraph"/>
              <w:spacing w:before="8"/>
              <w:rPr>
                <w:b/>
                <w:sz w:val="36"/>
              </w:rPr>
            </w:pPr>
          </w:p>
          <w:p>
            <w:pPr>
              <w:pStyle w:val="TableParagraph"/>
              <w:spacing w:line="255" w:lineRule="exact"/>
              <w:ind w:right="63"/>
              <w:jc w:val="right"/>
              <w:rPr>
                <w:sz w:val="24"/>
              </w:rPr>
            </w:pPr>
            <w:r>
              <w:rPr>
                <w:sz w:val="24"/>
              </w:rPr>
              <w:t>183.93</w:t>
            </w:r>
          </w:p>
        </w:tc>
        <w:tc>
          <w:tcPr>
            <w:tcW w:w="1304" w:type="dxa"/>
          </w:tcPr>
          <w:p>
            <w:pPr>
              <w:pStyle w:val="TableParagraph"/>
              <w:spacing w:before="8"/>
              <w:rPr>
                <w:b/>
                <w:sz w:val="36"/>
              </w:rPr>
            </w:pPr>
          </w:p>
          <w:p>
            <w:pPr>
              <w:pStyle w:val="TableParagraph"/>
              <w:spacing w:line="255" w:lineRule="exact"/>
              <w:ind w:right="66"/>
              <w:jc w:val="right"/>
              <w:rPr>
                <w:sz w:val="24"/>
              </w:rPr>
            </w:pPr>
            <w:r>
              <w:rPr>
                <w:sz w:val="24"/>
              </w:rPr>
              <w:t>241.07</w:t>
            </w:r>
          </w:p>
        </w:tc>
      </w:tr>
      <w:tr>
        <w:trPr>
          <w:trHeight w:val="550" w:hRule="atLeast"/>
        </w:trPr>
        <w:tc>
          <w:tcPr>
            <w:tcW w:w="2268" w:type="dxa"/>
          </w:tcPr>
          <w:p>
            <w:pPr>
              <w:pStyle w:val="TableParagraph"/>
              <w:spacing w:line="276" w:lineRule="exact" w:before="4"/>
              <w:ind w:left="67" w:right="569"/>
              <w:rPr>
                <w:sz w:val="24"/>
              </w:rPr>
            </w:pPr>
            <w:r>
              <w:rPr>
                <w:sz w:val="24"/>
              </w:rPr>
              <w:t>Elaboración de piñatas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608" w:hRule="atLeast"/>
        </w:trPr>
        <w:tc>
          <w:tcPr>
            <w:tcW w:w="2268" w:type="dxa"/>
          </w:tcPr>
          <w:p>
            <w:pPr>
              <w:pStyle w:val="TableParagraph"/>
              <w:spacing w:line="270" w:lineRule="atLeast" w:before="57"/>
              <w:ind w:left="67" w:right="569"/>
              <w:rPr>
                <w:sz w:val="24"/>
              </w:rPr>
            </w:pPr>
            <w:r>
              <w:rPr>
                <w:sz w:val="24"/>
              </w:rPr>
              <w:t>Elaboración de sellos</w:t>
            </w:r>
          </w:p>
        </w:tc>
        <w:tc>
          <w:tcPr>
            <w:tcW w:w="1561" w:type="dxa"/>
          </w:tcPr>
          <w:p>
            <w:pPr>
              <w:pStyle w:val="TableParagraph"/>
              <w:rPr>
                <w:b/>
                <w:sz w:val="29"/>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9"/>
              </w:rPr>
            </w:pPr>
          </w:p>
          <w:p>
            <w:pPr>
              <w:pStyle w:val="TableParagraph"/>
              <w:spacing w:line="255" w:lineRule="exact"/>
              <w:ind w:right="62"/>
              <w:jc w:val="right"/>
              <w:rPr>
                <w:sz w:val="24"/>
              </w:rPr>
            </w:pPr>
            <w:r>
              <w:rPr>
                <w:sz w:val="24"/>
              </w:rPr>
              <w:t>933.93</w:t>
            </w:r>
          </w:p>
        </w:tc>
        <w:tc>
          <w:tcPr>
            <w:tcW w:w="1324" w:type="dxa"/>
          </w:tcPr>
          <w:p>
            <w:pPr>
              <w:pStyle w:val="TableParagraph"/>
              <w:rPr>
                <w:b/>
                <w:sz w:val="29"/>
              </w:rPr>
            </w:pPr>
          </w:p>
          <w:p>
            <w:pPr>
              <w:pStyle w:val="TableParagraph"/>
              <w:spacing w:line="255" w:lineRule="exact"/>
              <w:ind w:right="63"/>
              <w:jc w:val="right"/>
              <w:rPr>
                <w:sz w:val="24"/>
              </w:rPr>
            </w:pPr>
            <w:r>
              <w:rPr>
                <w:sz w:val="24"/>
              </w:rPr>
              <w:t>183.93</w:t>
            </w:r>
          </w:p>
        </w:tc>
        <w:tc>
          <w:tcPr>
            <w:tcW w:w="1304" w:type="dxa"/>
          </w:tcPr>
          <w:p>
            <w:pPr>
              <w:pStyle w:val="TableParagraph"/>
              <w:rPr>
                <w:b/>
                <w:sz w:val="29"/>
              </w:rPr>
            </w:pPr>
          </w:p>
          <w:p>
            <w:pPr>
              <w:pStyle w:val="TableParagraph"/>
              <w:spacing w:line="255" w:lineRule="exact"/>
              <w:ind w:right="63"/>
              <w:jc w:val="right"/>
              <w:rPr>
                <w:sz w:val="24"/>
              </w:rPr>
            </w:pPr>
            <w:r>
              <w:rPr>
                <w:w w:val="99"/>
                <w:sz w:val="24"/>
              </w:rPr>
              <w:t>-</w:t>
            </w:r>
          </w:p>
        </w:tc>
      </w:tr>
      <w:tr>
        <w:trPr>
          <w:trHeight w:val="830" w:hRule="atLeast"/>
        </w:trPr>
        <w:tc>
          <w:tcPr>
            <w:tcW w:w="2268" w:type="dxa"/>
          </w:tcPr>
          <w:p>
            <w:pPr>
              <w:pStyle w:val="TableParagraph"/>
              <w:spacing w:line="270" w:lineRule="atLeast"/>
              <w:ind w:left="67" w:right="129"/>
              <w:rPr>
                <w:sz w:val="24"/>
              </w:rPr>
            </w:pPr>
            <w:r>
              <w:rPr>
                <w:sz w:val="24"/>
              </w:rPr>
              <w:t>Elaboración de vestidos de novia y accesorios</w:t>
            </w:r>
          </w:p>
        </w:tc>
        <w:tc>
          <w:tcPr>
            <w:tcW w:w="1561" w:type="dxa"/>
          </w:tcPr>
          <w:p>
            <w:pPr>
              <w:pStyle w:val="TableParagraph"/>
              <w:rPr>
                <w:b/>
                <w:sz w:val="26"/>
              </w:rPr>
            </w:pPr>
          </w:p>
          <w:p>
            <w:pPr>
              <w:pStyle w:val="TableParagraph"/>
              <w:rPr>
                <w:b/>
                <w:sz w:val="22"/>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8"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8"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8" w:lineRule="exact"/>
              <w:ind w:right="63"/>
              <w:jc w:val="right"/>
              <w:rPr>
                <w:sz w:val="24"/>
              </w:rPr>
            </w:pPr>
            <w:r>
              <w:rPr>
                <w:w w:val="99"/>
                <w:sz w:val="24"/>
              </w:rPr>
              <w:t>-</w:t>
            </w:r>
          </w:p>
        </w:tc>
      </w:tr>
    </w:tbl>
    <w:p>
      <w:pPr>
        <w:spacing w:after="0" w:line="258"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64544">
            <wp:simplePos x="0" y="0"/>
            <wp:positionH relativeFrom="page">
              <wp:posOffset>1252555</wp:posOffset>
            </wp:positionH>
            <wp:positionV relativeFrom="page">
              <wp:posOffset>2058161</wp:posOffset>
            </wp:positionV>
            <wp:extent cx="5021401" cy="5143500"/>
            <wp:effectExtent l="0" t="0" r="0" b="0"/>
            <wp:wrapNone/>
            <wp:docPr id="189" name="image90.png"/>
            <wp:cNvGraphicFramePr>
              <a:graphicFrameLocks noChangeAspect="1"/>
            </wp:cNvGraphicFramePr>
            <a:graphic>
              <a:graphicData uri="http://schemas.openxmlformats.org/drawingml/2006/picture">
                <pic:pic>
                  <pic:nvPicPr>
                    <pic:cNvPr id="190" name="image90.png"/>
                    <pic:cNvPicPr/>
                  </pic:nvPicPr>
                  <pic:blipFill>
                    <a:blip r:embed="rId100"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716"/>
              <w:rPr>
                <w:sz w:val="24"/>
              </w:rPr>
            </w:pPr>
            <w:r>
              <w:rPr>
                <w:sz w:val="24"/>
              </w:rPr>
              <w:t>Elaboración y envasado de bebidas</w:t>
            </w:r>
          </w:p>
        </w:tc>
        <w:tc>
          <w:tcPr>
            <w:tcW w:w="1561" w:type="dxa"/>
          </w:tcPr>
          <w:p>
            <w:pPr>
              <w:pStyle w:val="TableParagraph"/>
              <w:rPr>
                <w:b/>
                <w:sz w:val="26"/>
              </w:rPr>
            </w:pPr>
          </w:p>
          <w:p>
            <w:pPr>
              <w:pStyle w:val="TableParagraph"/>
              <w:rPr>
                <w:b/>
                <w:sz w:val="22"/>
              </w:rPr>
            </w:pPr>
          </w:p>
          <w:p>
            <w:pPr>
              <w:pStyle w:val="TableParagraph"/>
              <w:spacing w:line="255"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552.68</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spacing w:line="270" w:lineRule="atLeast"/>
              <w:ind w:left="67" w:right="236"/>
              <w:rPr>
                <w:sz w:val="24"/>
              </w:rPr>
            </w:pPr>
            <w:r>
              <w:rPr>
                <w:sz w:val="24"/>
              </w:rPr>
              <w:t>Embotelladora y/o distribuidora de gaseosas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2,018.65</w:t>
            </w:r>
          </w:p>
        </w:tc>
      </w:tr>
      <w:tr>
        <w:trPr>
          <w:trHeight w:val="553" w:hRule="atLeast"/>
        </w:trPr>
        <w:tc>
          <w:tcPr>
            <w:tcW w:w="2268" w:type="dxa"/>
          </w:tcPr>
          <w:p>
            <w:pPr>
              <w:pStyle w:val="TableParagraph"/>
              <w:spacing w:line="270" w:lineRule="atLeast" w:before="2"/>
              <w:ind w:left="67" w:right="276"/>
              <w:rPr>
                <w:sz w:val="24"/>
              </w:rPr>
            </w:pPr>
            <w:r>
              <w:rPr>
                <w:sz w:val="24"/>
              </w:rPr>
              <w:t>Empacadora de prod. Alimenticios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1,382.14</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2,018.65</w:t>
            </w:r>
          </w:p>
        </w:tc>
      </w:tr>
      <w:tr>
        <w:trPr>
          <w:trHeight w:val="827" w:hRule="atLeast"/>
        </w:trPr>
        <w:tc>
          <w:tcPr>
            <w:tcW w:w="2268" w:type="dxa"/>
          </w:tcPr>
          <w:p>
            <w:pPr>
              <w:pStyle w:val="TableParagraph"/>
              <w:spacing w:line="276" w:lineRule="exact"/>
              <w:ind w:left="67"/>
              <w:rPr>
                <w:sz w:val="24"/>
              </w:rPr>
            </w:pPr>
            <w:r>
              <w:rPr>
                <w:sz w:val="24"/>
              </w:rPr>
              <w:t>Equipo de sonido</w:t>
            </w:r>
          </w:p>
          <w:p>
            <w:pPr>
              <w:pStyle w:val="TableParagraph"/>
              <w:spacing w:line="270" w:lineRule="atLeast"/>
              <w:ind w:left="67" w:right="410"/>
              <w:rPr>
                <w:sz w:val="24"/>
              </w:rPr>
            </w:pPr>
            <w:r>
              <w:rPr>
                <w:sz w:val="24"/>
              </w:rPr>
              <w:t>ambulante (luz y sonido)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03"/>
              <w:rPr>
                <w:sz w:val="24"/>
              </w:rPr>
            </w:pPr>
            <w:r>
              <w:rPr>
                <w:sz w:val="24"/>
              </w:rPr>
              <w:t>Equipos de comunicación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850"/>
              <w:rPr>
                <w:sz w:val="24"/>
              </w:rPr>
            </w:pPr>
            <w:r>
              <w:rPr>
                <w:sz w:val="24"/>
              </w:rPr>
              <w:t>Equipos de seguridad (y accesorios)</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Escritorio publico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96"/>
              <w:rPr>
                <w:sz w:val="24"/>
              </w:rPr>
            </w:pPr>
            <w:r>
              <w:rPr>
                <w:sz w:val="24"/>
              </w:rPr>
              <w:t>Escuela de corte y confección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2" w:hRule="atLeast"/>
        </w:trPr>
        <w:tc>
          <w:tcPr>
            <w:tcW w:w="2268" w:type="dxa"/>
          </w:tcPr>
          <w:p>
            <w:pPr>
              <w:pStyle w:val="TableParagraph"/>
              <w:spacing w:line="270" w:lineRule="atLeast"/>
              <w:ind w:left="67" w:right="76"/>
              <w:rPr>
                <w:sz w:val="24"/>
              </w:rPr>
            </w:pPr>
            <w:r>
              <w:rPr>
                <w:sz w:val="24"/>
              </w:rPr>
              <w:t>Escuela de danza y baile</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Escuela de manejo</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369"/>
              <w:rPr>
                <w:sz w:val="24"/>
              </w:rPr>
            </w:pPr>
            <w:r>
              <w:rPr>
                <w:sz w:val="24"/>
              </w:rPr>
              <w:t>Escuela especial de belleza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56"/>
              <w:rPr>
                <w:sz w:val="24"/>
              </w:rPr>
            </w:pPr>
            <w:r>
              <w:rPr>
                <w:sz w:val="24"/>
              </w:rPr>
              <w:t>Escuelas (educación básica)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552.68</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826" w:hRule="atLeast"/>
        </w:trPr>
        <w:tc>
          <w:tcPr>
            <w:tcW w:w="2268" w:type="dxa"/>
          </w:tcPr>
          <w:p>
            <w:pPr>
              <w:pStyle w:val="TableParagraph"/>
              <w:spacing w:line="276" w:lineRule="exact" w:before="4"/>
              <w:ind w:left="67" w:right="276"/>
              <w:rPr>
                <w:sz w:val="24"/>
              </w:rPr>
            </w:pPr>
            <w:r>
              <w:rPr>
                <w:sz w:val="24"/>
              </w:rPr>
              <w:t>Escuelas (educación media superior)</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4"/>
              <w:jc w:val="right"/>
              <w:rPr>
                <w:sz w:val="24"/>
              </w:rPr>
            </w:pPr>
            <w:r>
              <w:rPr>
                <w:sz w:val="24"/>
              </w:rPr>
              <w:t>807.14</w:t>
            </w:r>
          </w:p>
        </w:tc>
      </w:tr>
      <w:tr>
        <w:trPr>
          <w:trHeight w:val="823" w:hRule="atLeast"/>
        </w:trPr>
        <w:tc>
          <w:tcPr>
            <w:tcW w:w="2268" w:type="dxa"/>
          </w:tcPr>
          <w:p>
            <w:pPr>
              <w:pStyle w:val="TableParagraph"/>
              <w:spacing w:line="271" w:lineRule="exact"/>
              <w:ind w:left="67"/>
              <w:rPr>
                <w:sz w:val="24"/>
              </w:rPr>
            </w:pPr>
            <w:r>
              <w:rPr>
                <w:sz w:val="24"/>
              </w:rPr>
              <w:t>Escuelas</w:t>
            </w:r>
          </w:p>
          <w:p>
            <w:pPr>
              <w:pStyle w:val="TableParagraph"/>
              <w:spacing w:line="270" w:lineRule="atLeast"/>
              <w:ind w:left="67" w:right="996"/>
              <w:rPr>
                <w:sz w:val="24"/>
              </w:rPr>
            </w:pPr>
            <w:r>
              <w:rPr>
                <w:sz w:val="24"/>
              </w:rPr>
              <w:t>(educación superior)</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spacing w:line="270" w:lineRule="atLeast"/>
              <w:ind w:left="67" w:right="396"/>
              <w:rPr>
                <w:sz w:val="24"/>
              </w:rPr>
            </w:pPr>
            <w:r>
              <w:rPr>
                <w:sz w:val="24"/>
              </w:rPr>
              <w:t>Estacionamiento 41 espacios en adelante c/u</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ind w:left="67"/>
              <w:rPr>
                <w:sz w:val="24"/>
              </w:rPr>
            </w:pPr>
            <w:r>
              <w:rPr>
                <w:sz w:val="24"/>
              </w:rPr>
              <w:t>Estacionamiento 1</w:t>
            </w:r>
          </w:p>
          <w:p>
            <w:pPr>
              <w:pStyle w:val="TableParagraph"/>
              <w:spacing w:line="255" w:lineRule="exact"/>
              <w:ind w:left="67"/>
              <w:rPr>
                <w:sz w:val="24"/>
              </w:rPr>
            </w:pPr>
            <w:r>
              <w:rPr>
                <w:sz w:val="24"/>
              </w:rPr>
              <w:t>a 10 espacios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before="2"/>
              <w:ind w:left="67"/>
              <w:rPr>
                <w:sz w:val="24"/>
              </w:rPr>
            </w:pPr>
            <w:r>
              <w:rPr>
                <w:sz w:val="24"/>
              </w:rPr>
              <w:t>Estacionamiento 11</w:t>
            </w:r>
          </w:p>
          <w:p>
            <w:pPr>
              <w:pStyle w:val="TableParagraph"/>
              <w:spacing w:line="255" w:lineRule="exact"/>
              <w:ind w:left="67"/>
              <w:rPr>
                <w:sz w:val="24"/>
              </w:rPr>
            </w:pPr>
            <w:r>
              <w:rPr>
                <w:sz w:val="24"/>
              </w:rPr>
              <w:t>a 25 espacios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ind w:left="67"/>
              <w:rPr>
                <w:sz w:val="24"/>
              </w:rPr>
            </w:pPr>
            <w:r>
              <w:rPr>
                <w:sz w:val="24"/>
              </w:rPr>
              <w:t>Estacionamiento 26</w:t>
            </w:r>
          </w:p>
          <w:p>
            <w:pPr>
              <w:pStyle w:val="TableParagraph"/>
              <w:spacing w:line="255" w:lineRule="exact"/>
              <w:ind w:left="67"/>
              <w:rPr>
                <w:sz w:val="24"/>
              </w:rPr>
            </w:pPr>
            <w:r>
              <w:rPr>
                <w:sz w:val="24"/>
              </w:rPr>
              <w:t>a 40 espacios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Estéticas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rFonts w:ascii="Times New Roman"/>
                <w:sz w:val="24"/>
              </w:rPr>
            </w:pP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65568">
            <wp:simplePos x="0" y="0"/>
            <wp:positionH relativeFrom="page">
              <wp:posOffset>1239220</wp:posOffset>
            </wp:positionH>
            <wp:positionV relativeFrom="page">
              <wp:posOffset>2058161</wp:posOffset>
            </wp:positionV>
            <wp:extent cx="5021401" cy="5143500"/>
            <wp:effectExtent l="0" t="0" r="0" b="0"/>
            <wp:wrapNone/>
            <wp:docPr id="191" name="image91.png"/>
            <wp:cNvGraphicFramePr>
              <a:graphicFrameLocks noChangeAspect="1"/>
            </wp:cNvGraphicFramePr>
            <a:graphic>
              <a:graphicData uri="http://schemas.openxmlformats.org/drawingml/2006/picture">
                <pic:pic>
                  <pic:nvPicPr>
                    <pic:cNvPr id="192" name="image91.png"/>
                    <pic:cNvPicPr/>
                  </pic:nvPicPr>
                  <pic:blipFill>
                    <a:blip r:embed="rId101"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
              <w:rPr>
                <w:b/>
                <w:sz w:val="21"/>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30" w:hRule="atLeast"/>
        </w:trPr>
        <w:tc>
          <w:tcPr>
            <w:tcW w:w="2268" w:type="dxa"/>
            <w:vMerge/>
            <w:tcBorders>
              <w:top w:val="nil"/>
            </w:tcBorders>
          </w:tcPr>
          <w:p>
            <w:pPr>
              <w:rPr>
                <w:sz w:val="2"/>
                <w:szCs w:val="2"/>
              </w:rPr>
            </w:pPr>
          </w:p>
        </w:tc>
        <w:tc>
          <w:tcPr>
            <w:tcW w:w="1561" w:type="dxa"/>
          </w:tcPr>
          <w:p>
            <w:pPr>
              <w:pStyle w:val="TableParagraph"/>
              <w:spacing w:before="3"/>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spacing w:before="3"/>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spacing w:before="3"/>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spacing w:before="3"/>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spacing w:before="3"/>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169"/>
              <w:rPr>
                <w:sz w:val="24"/>
              </w:rPr>
            </w:pPr>
            <w:r>
              <w:rPr>
                <w:sz w:val="24"/>
              </w:rPr>
              <w:t>Envasado de golosinas y botana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Expendio de café</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836"/>
              <w:rPr>
                <w:sz w:val="24"/>
              </w:rPr>
            </w:pPr>
            <w:r>
              <w:rPr>
                <w:sz w:val="24"/>
              </w:rPr>
              <w:t>Expendio de calabaza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836"/>
              <w:rPr>
                <w:sz w:val="24"/>
              </w:rPr>
            </w:pPr>
            <w:r>
              <w:rPr>
                <w:sz w:val="24"/>
              </w:rPr>
              <w:t>Expendio de carbón</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Expendio de pan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836"/>
              <w:rPr>
                <w:sz w:val="24"/>
              </w:rPr>
            </w:pPr>
            <w:r>
              <w:rPr>
                <w:sz w:val="24"/>
              </w:rPr>
              <w:t>Expendio de pinturas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3" w:hRule="atLeast"/>
        </w:trPr>
        <w:tc>
          <w:tcPr>
            <w:tcW w:w="2268" w:type="dxa"/>
          </w:tcPr>
          <w:p>
            <w:pPr>
              <w:pStyle w:val="TableParagraph"/>
              <w:spacing w:line="270" w:lineRule="atLeast" w:before="2"/>
              <w:ind w:left="67" w:right="836"/>
              <w:rPr>
                <w:sz w:val="24"/>
              </w:rPr>
            </w:pPr>
            <w:r>
              <w:rPr>
                <w:sz w:val="24"/>
              </w:rPr>
              <w:t>Expendio de refrescos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933.93</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81"/>
              <w:rPr>
                <w:sz w:val="24"/>
              </w:rPr>
            </w:pPr>
            <w:r>
              <w:rPr>
                <w:sz w:val="24"/>
              </w:rPr>
              <w:t>Fábrica de anuncios</w:t>
            </w:r>
            <w:r>
              <w:rPr>
                <w:spacing w:val="7"/>
                <w:sz w:val="24"/>
              </w:rPr>
              <w:t> </w:t>
            </w:r>
            <w:r>
              <w:rPr>
                <w:spacing w:val="-3"/>
                <w:sz w:val="24"/>
              </w:rPr>
              <w:t>luminosos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2"/>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274" w:hRule="atLeast"/>
        </w:trPr>
        <w:tc>
          <w:tcPr>
            <w:tcW w:w="2268" w:type="dxa"/>
          </w:tcPr>
          <w:p>
            <w:pPr>
              <w:pStyle w:val="TableParagraph"/>
              <w:spacing w:line="255" w:lineRule="exact"/>
              <w:ind w:left="67"/>
              <w:rPr>
                <w:sz w:val="24"/>
              </w:rPr>
            </w:pPr>
            <w:r>
              <w:rPr>
                <w:sz w:val="24"/>
              </w:rPr>
              <w:t>Fábrica de block</w:t>
            </w:r>
          </w:p>
        </w:tc>
        <w:tc>
          <w:tcPr>
            <w:tcW w:w="1561" w:type="dxa"/>
          </w:tcPr>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0"/>
              </w:rPr>
            </w:pPr>
          </w:p>
        </w:tc>
        <w:tc>
          <w:tcPr>
            <w:tcW w:w="1230" w:type="dxa"/>
          </w:tcPr>
          <w:p>
            <w:pPr>
              <w:pStyle w:val="TableParagraph"/>
              <w:spacing w:line="255" w:lineRule="exact"/>
              <w:ind w:right="62"/>
              <w:jc w:val="right"/>
              <w:rPr>
                <w:sz w:val="24"/>
              </w:rPr>
            </w:pPr>
            <w:r>
              <w:rPr>
                <w:sz w:val="24"/>
              </w:rPr>
              <w:t>384.82</w:t>
            </w:r>
          </w:p>
        </w:tc>
        <w:tc>
          <w:tcPr>
            <w:tcW w:w="1324" w:type="dxa"/>
          </w:tcPr>
          <w:p>
            <w:pPr>
              <w:pStyle w:val="TableParagraph"/>
              <w:spacing w:line="255" w:lineRule="exact"/>
              <w:ind w:right="63"/>
              <w:jc w:val="right"/>
              <w:rPr>
                <w:sz w:val="24"/>
              </w:rPr>
            </w:pPr>
            <w:r>
              <w:rPr>
                <w:sz w:val="24"/>
              </w:rPr>
              <w:t>183.93</w:t>
            </w:r>
          </w:p>
        </w:tc>
        <w:tc>
          <w:tcPr>
            <w:tcW w:w="1304" w:type="dxa"/>
          </w:tcPr>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spacing w:line="270" w:lineRule="atLeast"/>
              <w:ind w:left="67" w:right="957"/>
              <w:rPr>
                <w:sz w:val="24"/>
              </w:rPr>
            </w:pPr>
            <w:r>
              <w:rPr>
                <w:sz w:val="24"/>
              </w:rPr>
              <w:t>Fábrica de fertilizantes orgánicos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1,211.61</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Fábrica de hielo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037"/>
              <w:rPr>
                <w:sz w:val="24"/>
              </w:rPr>
            </w:pPr>
            <w:r>
              <w:rPr>
                <w:sz w:val="24"/>
              </w:rPr>
              <w:t>Fábrica de lavaderos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037"/>
              <w:rPr>
                <w:sz w:val="24"/>
              </w:rPr>
            </w:pPr>
            <w:r>
              <w:rPr>
                <w:sz w:val="24"/>
              </w:rPr>
              <w:t>Fábrica de mosaicos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before="2"/>
              <w:ind w:left="67" w:right="63"/>
              <w:rPr>
                <w:sz w:val="24"/>
              </w:rPr>
            </w:pPr>
            <w:r>
              <w:rPr>
                <w:sz w:val="24"/>
              </w:rPr>
              <w:t>Fábrica de muebles (chica)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1"/>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550" w:hRule="atLeast"/>
        </w:trPr>
        <w:tc>
          <w:tcPr>
            <w:tcW w:w="2268" w:type="dxa"/>
          </w:tcPr>
          <w:p>
            <w:pPr>
              <w:pStyle w:val="TableParagraph"/>
              <w:spacing w:line="276" w:lineRule="exact" w:before="4"/>
              <w:ind w:left="67" w:right="63"/>
              <w:rPr>
                <w:sz w:val="24"/>
              </w:rPr>
            </w:pPr>
            <w:r>
              <w:rPr>
                <w:sz w:val="24"/>
              </w:rPr>
              <w:t>Fábrica de muebles (grande)</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46" w:hRule="atLeast"/>
        </w:trPr>
        <w:tc>
          <w:tcPr>
            <w:tcW w:w="2268" w:type="dxa"/>
          </w:tcPr>
          <w:p>
            <w:pPr>
              <w:pStyle w:val="TableParagraph"/>
              <w:spacing w:line="271" w:lineRule="exact"/>
              <w:ind w:left="67"/>
              <w:rPr>
                <w:sz w:val="24"/>
              </w:rPr>
            </w:pPr>
            <w:r>
              <w:rPr>
                <w:sz w:val="24"/>
              </w:rPr>
              <w:t>Fábrica de salsa</w:t>
            </w:r>
          </w:p>
          <w:p>
            <w:pPr>
              <w:pStyle w:val="TableParagraph"/>
              <w:spacing w:line="255" w:lineRule="exact"/>
              <w:ind w:left="67"/>
              <w:rPr>
                <w:sz w:val="24"/>
              </w:rPr>
            </w:pPr>
            <w:r>
              <w:rPr>
                <w:sz w:val="24"/>
              </w:rPr>
              <w:t>(grande)</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1"/>
              <w:jc w:val="right"/>
              <w:rPr>
                <w:sz w:val="24"/>
              </w:rPr>
            </w:pPr>
            <w:r>
              <w:rPr>
                <w:sz w:val="24"/>
              </w:rPr>
              <w:t>2,220.54</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spacing w:line="270" w:lineRule="atLeast" w:before="1"/>
              <w:ind w:left="67" w:right="410"/>
              <w:rPr>
                <w:sz w:val="24"/>
              </w:rPr>
            </w:pPr>
            <w:r>
              <w:rPr>
                <w:sz w:val="24"/>
              </w:rPr>
              <w:t>Fábrica de salsa (mediana)</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6"/>
              <w:jc w:val="right"/>
              <w:rPr>
                <w:sz w:val="24"/>
              </w:rPr>
            </w:pPr>
            <w:r>
              <w:rPr>
                <w:sz w:val="24"/>
              </w:rPr>
              <w:t>322.32</w:t>
            </w:r>
          </w:p>
        </w:tc>
      </w:tr>
      <w:tr>
        <w:trPr>
          <w:trHeight w:val="550" w:hRule="atLeast"/>
        </w:trPr>
        <w:tc>
          <w:tcPr>
            <w:tcW w:w="2268" w:type="dxa"/>
          </w:tcPr>
          <w:p>
            <w:pPr>
              <w:pStyle w:val="TableParagraph"/>
              <w:spacing w:line="276" w:lineRule="exact" w:before="4"/>
              <w:ind w:left="67" w:right="63"/>
              <w:rPr>
                <w:sz w:val="24"/>
              </w:rPr>
            </w:pPr>
            <w:r>
              <w:rPr>
                <w:sz w:val="24"/>
              </w:rPr>
              <w:t>Fábrica de tostadas (grandes)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46" w:hRule="atLeast"/>
        </w:trPr>
        <w:tc>
          <w:tcPr>
            <w:tcW w:w="2268" w:type="dxa"/>
          </w:tcPr>
          <w:p>
            <w:pPr>
              <w:pStyle w:val="TableParagraph"/>
              <w:spacing w:line="271" w:lineRule="exact"/>
              <w:ind w:left="67"/>
              <w:rPr>
                <w:sz w:val="24"/>
              </w:rPr>
            </w:pPr>
            <w:r>
              <w:rPr>
                <w:sz w:val="24"/>
              </w:rPr>
              <w:t>Fábrica de tostadas</w:t>
            </w:r>
          </w:p>
          <w:p>
            <w:pPr>
              <w:pStyle w:val="TableParagraph"/>
              <w:spacing w:line="255" w:lineRule="exact"/>
              <w:ind w:left="67"/>
              <w:rPr>
                <w:sz w:val="24"/>
              </w:rPr>
            </w:pPr>
            <w:r>
              <w:rPr>
                <w:sz w:val="24"/>
              </w:rPr>
              <w:t>(medianas)</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spacing w:line="270" w:lineRule="atLeast"/>
              <w:ind w:left="67" w:right="89"/>
              <w:rPr>
                <w:sz w:val="24"/>
              </w:rPr>
            </w:pPr>
            <w:r>
              <w:rPr>
                <w:sz w:val="24"/>
              </w:rPr>
              <w:t>Fabricación y venta de art. De graduación</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1106" w:hRule="atLeast"/>
        </w:trPr>
        <w:tc>
          <w:tcPr>
            <w:tcW w:w="2268" w:type="dxa"/>
          </w:tcPr>
          <w:p>
            <w:pPr>
              <w:pStyle w:val="TableParagraph"/>
              <w:spacing w:before="2"/>
              <w:ind w:left="67" w:right="530"/>
              <w:rPr>
                <w:sz w:val="24"/>
              </w:rPr>
            </w:pPr>
            <w:r>
              <w:rPr>
                <w:sz w:val="24"/>
              </w:rPr>
              <w:t>Fabricantes y/o distribuidor de escobas y</w:t>
            </w:r>
          </w:p>
          <w:p>
            <w:pPr>
              <w:pStyle w:val="TableParagraph"/>
              <w:spacing w:line="255" w:lineRule="exact" w:before="1"/>
              <w:ind w:left="67"/>
              <w:rPr>
                <w:sz w:val="24"/>
              </w:rPr>
            </w:pPr>
            <w:r>
              <w:rPr>
                <w:sz w:val="24"/>
              </w:rPr>
              <w:t>trapeadores</w:t>
            </w:r>
          </w:p>
        </w:tc>
        <w:tc>
          <w:tcPr>
            <w:tcW w:w="1561" w:type="dxa"/>
          </w:tcPr>
          <w:p>
            <w:pPr>
              <w:pStyle w:val="TableParagraph"/>
              <w:rPr>
                <w:b/>
                <w:sz w:val="26"/>
              </w:rPr>
            </w:pPr>
          </w:p>
          <w:p>
            <w:pPr>
              <w:pStyle w:val="TableParagraph"/>
              <w:rPr>
                <w:b/>
                <w:sz w:val="26"/>
              </w:rPr>
            </w:pPr>
          </w:p>
          <w:p>
            <w:pPr>
              <w:pStyle w:val="TableParagraph"/>
              <w:spacing w:line="255" w:lineRule="exact" w:before="233"/>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3"/>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3"/>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3"/>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66592">
            <wp:simplePos x="0" y="0"/>
            <wp:positionH relativeFrom="page">
              <wp:posOffset>1252555</wp:posOffset>
            </wp:positionH>
            <wp:positionV relativeFrom="page">
              <wp:posOffset>2058161</wp:posOffset>
            </wp:positionV>
            <wp:extent cx="5021401" cy="5143500"/>
            <wp:effectExtent l="0" t="0" r="0" b="0"/>
            <wp:wrapNone/>
            <wp:docPr id="193" name="image92.png"/>
            <wp:cNvGraphicFramePr>
              <a:graphicFrameLocks noChangeAspect="1"/>
            </wp:cNvGraphicFramePr>
            <a:graphic>
              <a:graphicData uri="http://schemas.openxmlformats.org/drawingml/2006/picture">
                <pic:pic>
                  <pic:nvPicPr>
                    <pic:cNvPr id="194" name="image92.png"/>
                    <pic:cNvPicPr/>
                  </pic:nvPicPr>
                  <pic:blipFill>
                    <a:blip r:embed="rId102"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275" w:hRule="atLeast"/>
        </w:trPr>
        <w:tc>
          <w:tcPr>
            <w:tcW w:w="2268" w:type="dxa"/>
            <w:vMerge w:val="restart"/>
          </w:tcPr>
          <w:p>
            <w:pPr>
              <w:pStyle w:val="TableParagraph"/>
              <w:rPr>
                <w:b/>
                <w:sz w:val="26"/>
              </w:rPr>
            </w:pPr>
          </w:p>
          <w:p>
            <w:pPr>
              <w:pStyle w:val="TableParagraph"/>
              <w:rPr>
                <w:b/>
                <w:sz w:val="26"/>
              </w:rPr>
            </w:pPr>
          </w:p>
          <w:p>
            <w:pPr>
              <w:pStyle w:val="TableParagraph"/>
              <w:spacing w:before="10"/>
              <w:rPr>
                <w:b/>
                <w:sz w:val="20"/>
              </w:rPr>
            </w:pPr>
          </w:p>
          <w:p>
            <w:pPr>
              <w:pStyle w:val="TableParagraph"/>
              <w:spacing w:line="255" w:lineRule="exact"/>
              <w:ind w:left="331"/>
              <w:rPr>
                <w:sz w:val="24"/>
              </w:rPr>
            </w:pPr>
            <w:r>
              <w:rPr>
                <w:sz w:val="24"/>
              </w:rPr>
              <w:t>Giro Comercial</w:t>
            </w:r>
          </w:p>
        </w:tc>
        <w:tc>
          <w:tcPr>
            <w:tcW w:w="3547" w:type="dxa"/>
            <w:gridSpan w:val="2"/>
          </w:tcPr>
          <w:p>
            <w:pPr>
              <w:pStyle w:val="TableParagraph"/>
              <w:spacing w:line="255" w:lineRule="exact"/>
              <w:ind w:left="196"/>
              <w:rPr>
                <w:sz w:val="24"/>
              </w:rPr>
            </w:pPr>
            <w:r>
              <w:rPr>
                <w:sz w:val="24"/>
              </w:rPr>
              <w:t>Funcionamiento De Negocios</w:t>
            </w:r>
          </w:p>
        </w:tc>
        <w:tc>
          <w:tcPr>
            <w:tcW w:w="3858" w:type="dxa"/>
            <w:gridSpan w:val="3"/>
          </w:tcPr>
          <w:p>
            <w:pPr>
              <w:pStyle w:val="TableParagraph"/>
              <w:spacing w:line="255" w:lineRule="exact"/>
              <w:ind w:left="1251"/>
              <w:rPr>
                <w:sz w:val="24"/>
              </w:rPr>
            </w:pPr>
            <w:r>
              <w:rPr>
                <w:sz w:val="24"/>
              </w:rPr>
              <w:t>Clasificación</w:t>
            </w:r>
          </w:p>
        </w:tc>
      </w:tr>
      <w:tr>
        <w:trPr>
          <w:trHeight w:val="827" w:hRule="atLeast"/>
        </w:trPr>
        <w:tc>
          <w:tcPr>
            <w:tcW w:w="2268" w:type="dxa"/>
            <w:vMerge/>
            <w:tcBorders>
              <w:top w:val="nil"/>
            </w:tcBorders>
          </w:tcPr>
          <w:p>
            <w:pPr>
              <w:rPr>
                <w:sz w:val="2"/>
                <w:szCs w:val="2"/>
              </w:rPr>
            </w:pPr>
          </w:p>
        </w:tc>
        <w:tc>
          <w:tcPr>
            <w:tcW w:w="1561" w:type="dxa"/>
          </w:tcPr>
          <w:p>
            <w:pPr>
              <w:pStyle w:val="TableParagraph"/>
              <w:ind w:left="76" w:right="70"/>
              <w:jc w:val="center"/>
              <w:rPr>
                <w:sz w:val="24"/>
              </w:rPr>
            </w:pPr>
            <w:r>
              <w:rPr>
                <w:sz w:val="24"/>
              </w:rPr>
              <w:t>Identificación</w:t>
            </w:r>
            <w:r>
              <w:rPr>
                <w:w w:val="99"/>
                <w:sz w:val="24"/>
              </w:rPr>
              <w:t> </w:t>
            </w:r>
            <w:r>
              <w:rPr>
                <w:sz w:val="24"/>
              </w:rPr>
              <w:t>De Giro</w:t>
            </w:r>
          </w:p>
          <w:p>
            <w:pPr>
              <w:pStyle w:val="TableParagraph"/>
              <w:spacing w:line="255" w:lineRule="exact"/>
              <w:ind w:left="3"/>
              <w:jc w:val="center"/>
              <w:rPr>
                <w:sz w:val="24"/>
              </w:rPr>
            </w:pPr>
            <w:r>
              <w:rPr>
                <w:w w:val="99"/>
                <w:sz w:val="24"/>
              </w:rPr>
              <w:t>$</w:t>
            </w:r>
          </w:p>
        </w:tc>
        <w:tc>
          <w:tcPr>
            <w:tcW w:w="1986" w:type="dxa"/>
          </w:tcPr>
          <w:p>
            <w:pPr>
              <w:pStyle w:val="TableParagraph"/>
              <w:ind w:left="133" w:right="131" w:firstLine="3"/>
              <w:jc w:val="center"/>
              <w:rPr>
                <w:sz w:val="24"/>
              </w:rPr>
            </w:pPr>
            <w:r>
              <w:rPr>
                <w:sz w:val="24"/>
              </w:rPr>
              <w:t>Licencia De </w:t>
            </w:r>
            <w:r>
              <w:rPr>
                <w:w w:val="95"/>
                <w:sz w:val="24"/>
              </w:rPr>
              <w:t>Funcionamiento</w:t>
            </w:r>
          </w:p>
          <w:p>
            <w:pPr>
              <w:pStyle w:val="TableParagraph"/>
              <w:spacing w:line="255" w:lineRule="exact"/>
              <w:jc w:val="center"/>
              <w:rPr>
                <w:sz w:val="24"/>
              </w:rPr>
            </w:pPr>
            <w:r>
              <w:rPr>
                <w:w w:val="99"/>
                <w:sz w:val="24"/>
              </w:rPr>
              <w:t>$</w:t>
            </w:r>
          </w:p>
        </w:tc>
        <w:tc>
          <w:tcPr>
            <w:tcW w:w="1230" w:type="dxa"/>
          </w:tcPr>
          <w:p>
            <w:pPr>
              <w:pStyle w:val="TableParagraph"/>
              <w:ind w:left="144" w:right="140"/>
              <w:jc w:val="center"/>
              <w:rPr>
                <w:sz w:val="24"/>
              </w:rPr>
            </w:pPr>
            <w:r>
              <w:rPr>
                <w:sz w:val="24"/>
              </w:rPr>
              <w:t>DGDUE/</w:t>
            </w:r>
            <w:r>
              <w:rPr>
                <w:w w:val="100"/>
                <w:sz w:val="24"/>
              </w:rPr>
              <w:t> </w:t>
            </w:r>
            <w:r>
              <w:rPr>
                <w:sz w:val="24"/>
              </w:rPr>
              <w:t>DEPMA</w:t>
            </w:r>
          </w:p>
          <w:p>
            <w:pPr>
              <w:pStyle w:val="TableParagraph"/>
              <w:spacing w:line="255" w:lineRule="exact"/>
              <w:ind w:left="4"/>
              <w:jc w:val="center"/>
              <w:rPr>
                <w:sz w:val="24"/>
              </w:rPr>
            </w:pPr>
            <w:r>
              <w:rPr>
                <w:w w:val="99"/>
                <w:sz w:val="24"/>
              </w:rPr>
              <w:t>$</w:t>
            </w:r>
          </w:p>
        </w:tc>
        <w:tc>
          <w:tcPr>
            <w:tcW w:w="1324" w:type="dxa"/>
          </w:tcPr>
          <w:p>
            <w:pPr>
              <w:pStyle w:val="TableParagraph"/>
              <w:ind w:left="90" w:right="87"/>
              <w:jc w:val="center"/>
              <w:rPr>
                <w:sz w:val="24"/>
              </w:rPr>
            </w:pPr>
            <w:r>
              <w:rPr>
                <w:sz w:val="24"/>
              </w:rPr>
              <w:t>Protección</w:t>
            </w:r>
            <w:r>
              <w:rPr>
                <w:w w:val="99"/>
                <w:sz w:val="24"/>
              </w:rPr>
              <w:t> </w:t>
            </w:r>
            <w:r>
              <w:rPr>
                <w:sz w:val="24"/>
              </w:rPr>
              <w:t>Civil</w:t>
            </w:r>
          </w:p>
          <w:p>
            <w:pPr>
              <w:pStyle w:val="TableParagraph"/>
              <w:spacing w:line="255" w:lineRule="exact"/>
              <w:jc w:val="center"/>
              <w:rPr>
                <w:sz w:val="24"/>
              </w:rPr>
            </w:pPr>
            <w:r>
              <w:rPr>
                <w:w w:val="99"/>
                <w:sz w:val="24"/>
              </w:rPr>
              <w:t>$</w:t>
            </w:r>
          </w:p>
        </w:tc>
        <w:tc>
          <w:tcPr>
            <w:tcW w:w="1304" w:type="dxa"/>
          </w:tcPr>
          <w:p>
            <w:pPr>
              <w:pStyle w:val="TableParagraph"/>
              <w:rPr>
                <w:b/>
                <w:sz w:val="24"/>
              </w:rPr>
            </w:pPr>
          </w:p>
          <w:p>
            <w:pPr>
              <w:pStyle w:val="TableParagraph"/>
              <w:ind w:left="186" w:right="186"/>
              <w:jc w:val="center"/>
              <w:rPr>
                <w:sz w:val="24"/>
              </w:rPr>
            </w:pPr>
            <w:r>
              <w:rPr>
                <w:sz w:val="24"/>
              </w:rPr>
              <w:t>Sanidad</w:t>
            </w:r>
          </w:p>
          <w:p>
            <w:pPr>
              <w:pStyle w:val="TableParagraph"/>
              <w:spacing w:line="255" w:lineRule="exact"/>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676"/>
              <w:rPr>
                <w:sz w:val="24"/>
              </w:rPr>
            </w:pPr>
            <w:r>
              <w:rPr>
                <w:sz w:val="24"/>
              </w:rPr>
              <w:t>Fábricas de concretos y premezclados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436"/>
              <w:rPr>
                <w:sz w:val="24"/>
              </w:rPr>
            </w:pPr>
            <w:r>
              <w:rPr>
                <w:sz w:val="24"/>
              </w:rPr>
              <w:t>Farmacia (exclusivamente medicamento)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807.14</w:t>
            </w:r>
          </w:p>
        </w:tc>
      </w:tr>
      <w:tr>
        <w:trPr>
          <w:trHeight w:val="553" w:hRule="atLeast"/>
        </w:trPr>
        <w:tc>
          <w:tcPr>
            <w:tcW w:w="2268" w:type="dxa"/>
          </w:tcPr>
          <w:p>
            <w:pPr>
              <w:pStyle w:val="TableParagraph"/>
              <w:spacing w:line="270" w:lineRule="atLeast" w:before="2"/>
              <w:ind w:left="67" w:right="796"/>
              <w:rPr>
                <w:sz w:val="24"/>
              </w:rPr>
            </w:pPr>
            <w:r>
              <w:rPr>
                <w:sz w:val="24"/>
              </w:rPr>
              <w:t>Farmacia homeopática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6" w:lineRule="exact" w:before="4"/>
              <w:ind w:left="67" w:right="1050"/>
              <w:rPr>
                <w:sz w:val="24"/>
              </w:rPr>
            </w:pPr>
            <w:r>
              <w:rPr>
                <w:sz w:val="24"/>
              </w:rPr>
              <w:t>Farmacia veterinaria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823" w:hRule="atLeast"/>
        </w:trPr>
        <w:tc>
          <w:tcPr>
            <w:tcW w:w="2268" w:type="dxa"/>
          </w:tcPr>
          <w:p>
            <w:pPr>
              <w:pStyle w:val="TableParagraph"/>
              <w:spacing w:line="276" w:lineRule="exact"/>
              <w:ind w:left="67" w:right="263"/>
              <w:rPr>
                <w:sz w:val="24"/>
              </w:rPr>
            </w:pPr>
            <w:r>
              <w:rPr>
                <w:sz w:val="24"/>
              </w:rPr>
              <w:t>Ferretería (grandes) de 31 mts.2 en adelante</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spacing w:line="271" w:lineRule="exact"/>
              <w:ind w:left="67"/>
              <w:rPr>
                <w:sz w:val="24"/>
              </w:rPr>
            </w:pPr>
            <w:r>
              <w:rPr>
                <w:sz w:val="24"/>
              </w:rPr>
              <w:t>Ferretería</w:t>
            </w:r>
          </w:p>
          <w:p>
            <w:pPr>
              <w:pStyle w:val="TableParagraph"/>
              <w:spacing w:line="270" w:lineRule="atLeast"/>
              <w:ind w:left="67" w:right="236"/>
              <w:rPr>
                <w:sz w:val="24"/>
              </w:rPr>
            </w:pPr>
            <w:r>
              <w:rPr>
                <w:sz w:val="24"/>
              </w:rPr>
              <w:t>(medianas) de 1 a 30 mts.2</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Florería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Fondas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0"/>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Forrajes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1106" w:hRule="atLeast"/>
        </w:trPr>
        <w:tc>
          <w:tcPr>
            <w:tcW w:w="2268" w:type="dxa"/>
          </w:tcPr>
          <w:p>
            <w:pPr>
              <w:pStyle w:val="TableParagraph"/>
              <w:spacing w:line="270" w:lineRule="atLeast" w:before="2"/>
              <w:ind w:left="67" w:right="343"/>
              <w:rPr>
                <w:sz w:val="24"/>
              </w:rPr>
            </w:pPr>
            <w:r>
              <w:rPr>
                <w:sz w:val="24"/>
              </w:rPr>
              <w:t>Fotógrafo, camarógrafo, reportero, grafico amb.</w:t>
            </w:r>
          </w:p>
        </w:tc>
        <w:tc>
          <w:tcPr>
            <w:tcW w:w="1561" w:type="dxa"/>
          </w:tcPr>
          <w:p>
            <w:pPr>
              <w:pStyle w:val="TableParagraph"/>
              <w:rPr>
                <w:b/>
                <w:sz w:val="26"/>
              </w:rPr>
            </w:pPr>
          </w:p>
          <w:p>
            <w:pPr>
              <w:pStyle w:val="TableParagraph"/>
              <w:rPr>
                <w:b/>
                <w:sz w:val="26"/>
              </w:rPr>
            </w:pPr>
          </w:p>
          <w:p>
            <w:pPr>
              <w:pStyle w:val="TableParagraph"/>
              <w:spacing w:line="255" w:lineRule="exact" w:before="232"/>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2"/>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line="255" w:lineRule="exact" w:before="232"/>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232"/>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116"/>
              <w:rPr>
                <w:sz w:val="24"/>
              </w:rPr>
            </w:pPr>
            <w:r>
              <w:rPr>
                <w:sz w:val="24"/>
              </w:rPr>
              <w:t>Frutas y legumbres vta. (Chica) de 1 a 30 mts.2</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spacing w:line="270" w:lineRule="atLeast"/>
              <w:ind w:left="67" w:right="108"/>
              <w:jc w:val="both"/>
              <w:rPr>
                <w:sz w:val="24"/>
              </w:rPr>
            </w:pPr>
            <w:r>
              <w:rPr>
                <w:sz w:val="24"/>
              </w:rPr>
              <w:t>Frutas y legumbres vta. (Grande) de 31 mts.2 en delante</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Fuente de sodas</w:t>
            </w:r>
          </w:p>
        </w:tc>
        <w:tc>
          <w:tcPr>
            <w:tcW w:w="1561" w:type="dxa"/>
          </w:tcPr>
          <w:p>
            <w:pPr>
              <w:pStyle w:val="TableParagraph"/>
              <w:rPr>
                <w:b/>
                <w:sz w:val="24"/>
              </w:rPr>
            </w:pPr>
          </w:p>
          <w:p>
            <w:pPr>
              <w:pStyle w:val="TableParagraph"/>
              <w:spacing w:line="255"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343"/>
              <w:rPr>
                <w:sz w:val="24"/>
              </w:rPr>
            </w:pPr>
            <w:r>
              <w:rPr>
                <w:sz w:val="24"/>
              </w:rPr>
              <w:t>Fumigación y control de plagas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spacing w:line="270" w:lineRule="atLeast"/>
              <w:ind w:left="67" w:right="503"/>
              <w:rPr>
                <w:sz w:val="24"/>
              </w:rPr>
            </w:pPr>
            <w:r>
              <w:rPr>
                <w:sz w:val="24"/>
              </w:rPr>
              <w:t>Funeraria (con servicio de velación) p/sala</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367.86</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6"/>
              <w:jc w:val="right"/>
              <w:rPr>
                <w:sz w:val="24"/>
              </w:rPr>
            </w:pPr>
            <w:r>
              <w:rPr>
                <w:sz w:val="24"/>
              </w:rPr>
              <w:t>807.14</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67616">
            <wp:simplePos x="0" y="0"/>
            <wp:positionH relativeFrom="page">
              <wp:posOffset>1239220</wp:posOffset>
            </wp:positionH>
            <wp:positionV relativeFrom="page">
              <wp:posOffset>2111501</wp:posOffset>
            </wp:positionV>
            <wp:extent cx="5021401" cy="5143500"/>
            <wp:effectExtent l="0" t="0" r="0" b="0"/>
            <wp:wrapNone/>
            <wp:docPr id="195" name="image93.png"/>
            <wp:cNvGraphicFramePr>
              <a:graphicFrameLocks noChangeAspect="1"/>
            </wp:cNvGraphicFramePr>
            <a:graphic>
              <a:graphicData uri="http://schemas.openxmlformats.org/drawingml/2006/picture">
                <pic:pic>
                  <pic:nvPicPr>
                    <pic:cNvPr id="196" name="image93.png"/>
                    <pic:cNvPicPr/>
                  </pic:nvPicPr>
                  <pic:blipFill>
                    <a:blip r:embed="rId103"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423"/>
              <w:rPr>
                <w:sz w:val="24"/>
              </w:rPr>
            </w:pPr>
            <w:r>
              <w:rPr>
                <w:sz w:val="24"/>
              </w:rPr>
              <w:t>Gabinete radiológico (solo rayos x)</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249"/>
              <w:rPr>
                <w:sz w:val="24"/>
              </w:rPr>
            </w:pPr>
            <w:r>
              <w:rPr>
                <w:sz w:val="24"/>
              </w:rPr>
              <w:t>Gas licuado venta (estación de servicio)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827" w:hRule="atLeast"/>
        </w:trPr>
        <w:tc>
          <w:tcPr>
            <w:tcW w:w="2268" w:type="dxa"/>
          </w:tcPr>
          <w:p>
            <w:pPr>
              <w:pStyle w:val="TableParagraph"/>
              <w:spacing w:line="270" w:lineRule="atLeast"/>
              <w:ind w:left="67" w:right="249"/>
              <w:rPr>
                <w:sz w:val="24"/>
              </w:rPr>
            </w:pPr>
            <w:r>
              <w:rPr>
                <w:sz w:val="24"/>
              </w:rPr>
              <w:t>Gas licuado venta (planta de distribución)</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96"/>
              <w:rPr>
                <w:sz w:val="24"/>
              </w:rPr>
            </w:pPr>
            <w:r>
              <w:rPr>
                <w:sz w:val="24"/>
              </w:rPr>
              <w:t>Gases industriales medic. Y equipos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Gasolinerias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spacing w:line="270" w:lineRule="atLeast"/>
              <w:ind w:left="67" w:right="63"/>
              <w:rPr>
                <w:sz w:val="24"/>
              </w:rPr>
            </w:pPr>
            <w:r>
              <w:rPr>
                <w:sz w:val="24"/>
              </w:rPr>
              <w:t>Gimnasio (grandes) de 31 mts.2 en 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807.14</w:t>
            </w:r>
          </w:p>
        </w:tc>
      </w:tr>
      <w:tr>
        <w:trPr>
          <w:trHeight w:val="830" w:hRule="atLeast"/>
        </w:trPr>
        <w:tc>
          <w:tcPr>
            <w:tcW w:w="2268" w:type="dxa"/>
          </w:tcPr>
          <w:p>
            <w:pPr>
              <w:pStyle w:val="TableParagraph"/>
              <w:spacing w:before="2"/>
              <w:ind w:left="67" w:right="236"/>
              <w:rPr>
                <w:sz w:val="24"/>
              </w:rPr>
            </w:pPr>
            <w:r>
              <w:rPr>
                <w:sz w:val="24"/>
              </w:rPr>
              <w:t>Gimnasio (medianos) de 1 a</w:t>
            </w:r>
          </w:p>
          <w:p>
            <w:pPr>
              <w:pStyle w:val="TableParagraph"/>
              <w:spacing w:line="255" w:lineRule="exact"/>
              <w:ind w:left="67"/>
              <w:rPr>
                <w:sz w:val="24"/>
              </w:rPr>
            </w:pPr>
            <w:r>
              <w:rPr>
                <w:sz w:val="24"/>
              </w:rPr>
              <w:t>30 mts.2</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Guardería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Herrería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Pr>
                <w:sz w:val="24"/>
              </w:rPr>
            </w:pPr>
            <w:r>
              <w:rPr>
                <w:sz w:val="24"/>
              </w:rPr>
              <w:t>Hotel * * * y/o moteles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Hotel * * * *</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2,018.65</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Hotel * * * * *</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650" w:hRule="atLeast"/>
        </w:trPr>
        <w:tc>
          <w:tcPr>
            <w:tcW w:w="2268" w:type="dxa"/>
          </w:tcPr>
          <w:p>
            <w:pPr>
              <w:pStyle w:val="TableParagraph"/>
              <w:spacing w:before="7"/>
              <w:rPr>
                <w:b/>
                <w:sz w:val="32"/>
              </w:rPr>
            </w:pPr>
          </w:p>
          <w:p>
            <w:pPr>
              <w:pStyle w:val="TableParagraph"/>
              <w:spacing w:line="255" w:lineRule="exact"/>
              <w:ind w:left="67"/>
              <w:rPr>
                <w:sz w:val="24"/>
              </w:rPr>
            </w:pPr>
            <w:r>
              <w:rPr>
                <w:sz w:val="24"/>
              </w:rPr>
              <w:t>Huarachería</w:t>
            </w:r>
          </w:p>
        </w:tc>
        <w:tc>
          <w:tcPr>
            <w:tcW w:w="1561" w:type="dxa"/>
          </w:tcPr>
          <w:p>
            <w:pPr>
              <w:pStyle w:val="TableParagraph"/>
              <w:spacing w:before="7"/>
              <w:rPr>
                <w:b/>
                <w:sz w:val="3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32"/>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32"/>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3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050"/>
              <w:rPr>
                <w:sz w:val="24"/>
              </w:rPr>
            </w:pPr>
            <w:r>
              <w:rPr>
                <w:sz w:val="24"/>
              </w:rPr>
              <w:t>Huesario automotriz</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r>
        <w:trPr>
          <w:trHeight w:val="553" w:hRule="atLeast"/>
        </w:trPr>
        <w:tc>
          <w:tcPr>
            <w:tcW w:w="2268" w:type="dxa"/>
          </w:tcPr>
          <w:p>
            <w:pPr>
              <w:pStyle w:val="TableParagraph"/>
              <w:spacing w:line="270" w:lineRule="atLeast" w:before="2"/>
              <w:ind w:left="67" w:right="90"/>
              <w:rPr>
                <w:sz w:val="24"/>
              </w:rPr>
            </w:pPr>
            <w:r>
              <w:rPr>
                <w:sz w:val="24"/>
              </w:rPr>
              <w:t>Impermeabilizantes y aditivos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1,382.14</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Imprenta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783"/>
              <w:rPr>
                <w:sz w:val="24"/>
              </w:rPr>
            </w:pPr>
            <w:r>
              <w:rPr>
                <w:sz w:val="24"/>
              </w:rPr>
              <w:t>Instrumentos musicales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before="11"/>
              <w:rPr>
                <w:b/>
                <w:sz w:val="23"/>
              </w:rPr>
            </w:pPr>
          </w:p>
          <w:p>
            <w:pPr>
              <w:pStyle w:val="TableParagraph"/>
              <w:spacing w:line="256" w:lineRule="exact"/>
              <w:ind w:left="67"/>
              <w:rPr>
                <w:sz w:val="24"/>
              </w:rPr>
            </w:pPr>
            <w:r>
              <w:rPr>
                <w:sz w:val="24"/>
              </w:rPr>
              <w:t>Jardín de niños</w:t>
            </w:r>
          </w:p>
        </w:tc>
        <w:tc>
          <w:tcPr>
            <w:tcW w:w="1561" w:type="dxa"/>
          </w:tcPr>
          <w:p>
            <w:pPr>
              <w:pStyle w:val="TableParagraph"/>
              <w:spacing w:before="11"/>
              <w:rPr>
                <w:b/>
                <w:sz w:val="23"/>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6"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6" w:lineRule="exact"/>
              <w:ind w:right="63"/>
              <w:jc w:val="right"/>
              <w:rPr>
                <w:sz w:val="24"/>
              </w:rPr>
            </w:pPr>
            <w:r>
              <w:rPr>
                <w:sz w:val="24"/>
              </w:rPr>
              <w:t>552.68</w:t>
            </w:r>
          </w:p>
        </w:tc>
        <w:tc>
          <w:tcPr>
            <w:tcW w:w="1304" w:type="dxa"/>
          </w:tcPr>
          <w:p>
            <w:pPr>
              <w:pStyle w:val="TableParagraph"/>
              <w:spacing w:before="11"/>
              <w:rPr>
                <w:b/>
                <w:sz w:val="23"/>
              </w:rPr>
            </w:pPr>
          </w:p>
          <w:p>
            <w:pPr>
              <w:pStyle w:val="TableParagraph"/>
              <w:spacing w:line="256" w:lineRule="exact"/>
              <w:ind w:right="66"/>
              <w:jc w:val="right"/>
              <w:rPr>
                <w:sz w:val="24"/>
              </w:rPr>
            </w:pPr>
            <w:r>
              <w:rPr>
                <w:sz w:val="24"/>
              </w:rPr>
              <w:t>807.14</w:t>
            </w:r>
          </w:p>
        </w:tc>
      </w:tr>
    </w:tbl>
    <w:p>
      <w:pPr>
        <w:spacing w:after="0" w:line="256"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68640">
            <wp:simplePos x="0" y="0"/>
            <wp:positionH relativeFrom="page">
              <wp:posOffset>1252555</wp:posOffset>
            </wp:positionH>
            <wp:positionV relativeFrom="page">
              <wp:posOffset>2138172</wp:posOffset>
            </wp:positionV>
            <wp:extent cx="5021401" cy="5143500"/>
            <wp:effectExtent l="0" t="0" r="0" b="0"/>
            <wp:wrapNone/>
            <wp:docPr id="197" name="image94.png"/>
            <wp:cNvGraphicFramePr>
              <a:graphicFrameLocks noChangeAspect="1"/>
            </wp:cNvGraphicFramePr>
            <a:graphic>
              <a:graphicData uri="http://schemas.openxmlformats.org/drawingml/2006/picture">
                <pic:pic>
                  <pic:nvPicPr>
                    <pic:cNvPr id="198"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703"/>
              <w:rPr>
                <w:sz w:val="24"/>
              </w:rPr>
            </w:pPr>
            <w:r>
              <w:rPr>
                <w:sz w:val="24"/>
              </w:rPr>
              <w:t>Jardín funeral (panteón)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827" w:hRule="atLeast"/>
        </w:trPr>
        <w:tc>
          <w:tcPr>
            <w:tcW w:w="2268" w:type="dxa"/>
          </w:tcPr>
          <w:p>
            <w:pPr>
              <w:pStyle w:val="TableParagraph"/>
              <w:spacing w:line="237" w:lineRule="auto" w:before="4"/>
              <w:ind w:left="67" w:right="63"/>
              <w:rPr>
                <w:sz w:val="24"/>
              </w:rPr>
            </w:pPr>
            <w:r>
              <w:rPr>
                <w:sz w:val="24"/>
              </w:rPr>
              <w:t>Joyería y relojería (chica) de 11 mts 2.</w:t>
            </w:r>
          </w:p>
          <w:p>
            <w:pPr>
              <w:pStyle w:val="TableParagraph"/>
              <w:spacing w:line="255" w:lineRule="exact" w:before="1"/>
              <w:ind w:left="67"/>
              <w:rPr>
                <w:sz w:val="24"/>
              </w:rPr>
            </w:pPr>
            <w:r>
              <w:rPr>
                <w:sz w:val="24"/>
              </w:rPr>
              <w:t>en adelante</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830" w:hRule="atLeast"/>
        </w:trPr>
        <w:tc>
          <w:tcPr>
            <w:tcW w:w="2268" w:type="dxa"/>
          </w:tcPr>
          <w:p>
            <w:pPr>
              <w:pStyle w:val="TableParagraph"/>
              <w:spacing w:before="2"/>
              <w:ind w:left="67" w:right="196"/>
              <w:rPr>
                <w:sz w:val="24"/>
              </w:rPr>
            </w:pPr>
            <w:r>
              <w:rPr>
                <w:sz w:val="24"/>
              </w:rPr>
              <w:t>Joyería y relojería (grande) de 1 a 10</w:t>
            </w:r>
          </w:p>
          <w:p>
            <w:pPr>
              <w:pStyle w:val="TableParagraph"/>
              <w:spacing w:line="255" w:lineRule="exact" w:before="1"/>
              <w:ind w:left="67"/>
              <w:rPr>
                <w:sz w:val="24"/>
              </w:rPr>
            </w:pPr>
            <w:r>
              <w:rPr>
                <w:sz w:val="24"/>
              </w:rPr>
              <w:t>mts 2</w:t>
            </w:r>
          </w:p>
        </w:tc>
        <w:tc>
          <w:tcPr>
            <w:tcW w:w="1561" w:type="dxa"/>
          </w:tcPr>
          <w:p>
            <w:pPr>
              <w:pStyle w:val="TableParagraph"/>
              <w:rPr>
                <w:b/>
                <w:sz w:val="26"/>
              </w:rPr>
            </w:pPr>
          </w:p>
          <w:p>
            <w:pPr>
              <w:pStyle w:val="TableParagraph"/>
              <w:spacing w:before="3"/>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3"/>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3"/>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3"/>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250"/>
              <w:rPr>
                <w:sz w:val="24"/>
              </w:rPr>
            </w:pPr>
            <w:r>
              <w:rPr>
                <w:sz w:val="24"/>
              </w:rPr>
              <w:t>Juguetería (chica) de 1 a 30 mts.2</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63"/>
              <w:rPr>
                <w:sz w:val="24"/>
              </w:rPr>
            </w:pPr>
            <w:r>
              <w:rPr>
                <w:sz w:val="24"/>
              </w:rPr>
              <w:t>Juguetería (grande) de 31 mts.2 en adelante</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Laboratorio</w:t>
            </w:r>
            <w:r>
              <w:rPr>
                <w:spacing w:val="63"/>
                <w:sz w:val="24"/>
              </w:rPr>
              <w:t> </w:t>
            </w:r>
            <w:r>
              <w:rPr>
                <w:sz w:val="24"/>
              </w:rPr>
              <w:t>dental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5"/>
              <w:jc w:val="right"/>
              <w:rPr>
                <w:sz w:val="24"/>
              </w:rPr>
            </w:pPr>
            <w:r>
              <w:rPr>
                <w:sz w:val="24"/>
              </w:rPr>
              <w:t>322.32</w:t>
            </w:r>
          </w:p>
        </w:tc>
      </w:tr>
      <w:tr>
        <w:trPr>
          <w:trHeight w:val="827" w:hRule="atLeast"/>
        </w:trPr>
        <w:tc>
          <w:tcPr>
            <w:tcW w:w="2268" w:type="dxa"/>
          </w:tcPr>
          <w:p>
            <w:pPr>
              <w:pStyle w:val="TableParagraph"/>
              <w:spacing w:line="270" w:lineRule="atLeast"/>
              <w:ind w:left="67" w:right="210"/>
              <w:rPr>
                <w:sz w:val="24"/>
              </w:rPr>
            </w:pPr>
            <w:r>
              <w:rPr>
                <w:sz w:val="24"/>
              </w:rPr>
              <w:t>Laboratorio (de rayos x y est. Esp. Res. Y tomog)</w:t>
            </w:r>
          </w:p>
        </w:tc>
        <w:tc>
          <w:tcPr>
            <w:tcW w:w="1561" w:type="dxa"/>
          </w:tcPr>
          <w:p>
            <w:pPr>
              <w:pStyle w:val="TableParagraph"/>
              <w:rPr>
                <w:b/>
                <w:sz w:val="26"/>
              </w:rPr>
            </w:pPr>
          </w:p>
          <w:p>
            <w:pPr>
              <w:pStyle w:val="TableParagraph"/>
              <w:rPr>
                <w:b/>
                <w:sz w:val="22"/>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6"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6"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6"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503"/>
              <w:rPr>
                <w:sz w:val="24"/>
              </w:rPr>
            </w:pPr>
            <w:r>
              <w:rPr>
                <w:sz w:val="24"/>
              </w:rPr>
              <w:t>Laboratorio de análisis clínicos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r>
        <w:trPr>
          <w:trHeight w:val="551" w:hRule="atLeast"/>
        </w:trPr>
        <w:tc>
          <w:tcPr>
            <w:tcW w:w="2268" w:type="dxa"/>
          </w:tcPr>
          <w:p>
            <w:pPr>
              <w:pStyle w:val="TableParagraph"/>
              <w:spacing w:line="270" w:lineRule="atLeast"/>
              <w:ind w:left="67" w:right="877"/>
              <w:rPr>
                <w:sz w:val="24"/>
              </w:rPr>
            </w:pPr>
            <w:r>
              <w:rPr>
                <w:sz w:val="24"/>
              </w:rPr>
              <w:t>Ladrilleras y similares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rPr>
                <w:rFonts w:ascii="Times New Roman"/>
                <w:sz w:val="24"/>
              </w:rPr>
            </w:pPr>
          </w:p>
        </w:tc>
      </w:tr>
      <w:tr>
        <w:trPr>
          <w:trHeight w:val="552" w:hRule="atLeast"/>
        </w:trPr>
        <w:tc>
          <w:tcPr>
            <w:tcW w:w="2268" w:type="dxa"/>
          </w:tcPr>
          <w:p>
            <w:pPr>
              <w:pStyle w:val="TableParagraph"/>
              <w:spacing w:line="270" w:lineRule="atLeast" w:before="2"/>
              <w:ind w:left="67" w:right="917"/>
              <w:rPr>
                <w:sz w:val="24"/>
              </w:rPr>
            </w:pPr>
            <w:r>
              <w:rPr>
                <w:sz w:val="24"/>
              </w:rPr>
              <w:t>Lámparas y candiles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890"/>
              <w:rPr>
                <w:sz w:val="24"/>
              </w:rPr>
            </w:pPr>
            <w:r>
              <w:rPr>
                <w:sz w:val="24"/>
              </w:rPr>
              <w:t>Lavado de automóviles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46" w:hRule="atLeast"/>
        </w:trPr>
        <w:tc>
          <w:tcPr>
            <w:tcW w:w="2268" w:type="dxa"/>
          </w:tcPr>
          <w:p>
            <w:pPr>
              <w:pStyle w:val="TableParagraph"/>
              <w:spacing w:line="271" w:lineRule="exact"/>
              <w:ind w:left="67"/>
              <w:rPr>
                <w:sz w:val="24"/>
              </w:rPr>
            </w:pPr>
            <w:r>
              <w:rPr>
                <w:sz w:val="24"/>
              </w:rPr>
              <w:t>Lavado y</w:t>
            </w:r>
          </w:p>
          <w:p>
            <w:pPr>
              <w:pStyle w:val="TableParagraph"/>
              <w:spacing w:line="255" w:lineRule="exact"/>
              <w:ind w:left="67"/>
              <w:rPr>
                <w:sz w:val="24"/>
              </w:rPr>
            </w:pPr>
            <w:r>
              <w:rPr>
                <w:sz w:val="24"/>
              </w:rPr>
              <w:t>engrasado</w:t>
            </w:r>
          </w:p>
        </w:tc>
        <w:tc>
          <w:tcPr>
            <w:tcW w:w="1561" w:type="dxa"/>
          </w:tcPr>
          <w:p>
            <w:pPr>
              <w:pStyle w:val="TableParagraph"/>
              <w:spacing w:before="6"/>
              <w:rPr>
                <w:b/>
                <w:sz w:val="23"/>
              </w:rPr>
            </w:pPr>
          </w:p>
          <w:p>
            <w:pPr>
              <w:pStyle w:val="TableParagraph"/>
              <w:spacing w:line="255"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spacing w:line="276" w:lineRule="exact" w:before="4"/>
              <w:ind w:left="67" w:right="156"/>
              <w:rPr>
                <w:sz w:val="24"/>
              </w:rPr>
            </w:pPr>
            <w:r>
              <w:rPr>
                <w:sz w:val="24"/>
              </w:rPr>
              <w:t>Lavandería ( de 21 a 50 mts2)</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6"/>
              <w:jc w:val="right"/>
              <w:rPr>
                <w:sz w:val="24"/>
              </w:rPr>
            </w:pPr>
            <w:r>
              <w:rPr>
                <w:sz w:val="24"/>
              </w:rPr>
              <w:t>160.71</w:t>
            </w:r>
          </w:p>
        </w:tc>
      </w:tr>
      <w:tr>
        <w:trPr>
          <w:trHeight w:val="271" w:hRule="atLeast"/>
        </w:trPr>
        <w:tc>
          <w:tcPr>
            <w:tcW w:w="2268" w:type="dxa"/>
          </w:tcPr>
          <w:p>
            <w:pPr>
              <w:pStyle w:val="TableParagraph"/>
              <w:spacing w:line="252" w:lineRule="exact"/>
              <w:ind w:left="67"/>
              <w:rPr>
                <w:sz w:val="24"/>
              </w:rPr>
            </w:pPr>
            <w:r>
              <w:rPr>
                <w:sz w:val="24"/>
              </w:rPr>
              <w:t>Librerías</w:t>
            </w:r>
          </w:p>
        </w:tc>
        <w:tc>
          <w:tcPr>
            <w:tcW w:w="1561" w:type="dxa"/>
          </w:tcPr>
          <w:p>
            <w:pPr>
              <w:pStyle w:val="TableParagraph"/>
              <w:spacing w:line="252" w:lineRule="exact"/>
              <w:ind w:right="60"/>
              <w:jc w:val="right"/>
              <w:rPr>
                <w:sz w:val="24"/>
              </w:rPr>
            </w:pPr>
            <w:r>
              <w:rPr>
                <w:sz w:val="24"/>
              </w:rPr>
              <w:t>102.68</w:t>
            </w:r>
          </w:p>
        </w:tc>
        <w:tc>
          <w:tcPr>
            <w:tcW w:w="1986" w:type="dxa"/>
          </w:tcPr>
          <w:p>
            <w:pPr>
              <w:pStyle w:val="TableParagraph"/>
              <w:rPr>
                <w:rFonts w:ascii="Times New Roman"/>
                <w:sz w:val="20"/>
              </w:rPr>
            </w:pPr>
          </w:p>
        </w:tc>
        <w:tc>
          <w:tcPr>
            <w:tcW w:w="1230" w:type="dxa"/>
          </w:tcPr>
          <w:p>
            <w:pPr>
              <w:pStyle w:val="TableParagraph"/>
              <w:spacing w:line="252" w:lineRule="exact"/>
              <w:ind w:right="62"/>
              <w:jc w:val="right"/>
              <w:rPr>
                <w:sz w:val="24"/>
              </w:rPr>
            </w:pPr>
            <w:r>
              <w:rPr>
                <w:sz w:val="24"/>
              </w:rPr>
              <w:t>154.46</w:t>
            </w:r>
          </w:p>
        </w:tc>
        <w:tc>
          <w:tcPr>
            <w:tcW w:w="1324" w:type="dxa"/>
          </w:tcPr>
          <w:p>
            <w:pPr>
              <w:pStyle w:val="TableParagraph"/>
              <w:spacing w:line="252" w:lineRule="exact"/>
              <w:ind w:right="63"/>
              <w:jc w:val="right"/>
              <w:rPr>
                <w:sz w:val="24"/>
              </w:rPr>
            </w:pPr>
            <w:r>
              <w:rPr>
                <w:sz w:val="24"/>
              </w:rPr>
              <w:t>183.93</w:t>
            </w:r>
          </w:p>
        </w:tc>
        <w:tc>
          <w:tcPr>
            <w:tcW w:w="1304" w:type="dxa"/>
          </w:tcPr>
          <w:p>
            <w:pPr>
              <w:pStyle w:val="TableParagraph"/>
              <w:spacing w:line="252"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56"/>
              <w:rPr>
                <w:sz w:val="24"/>
              </w:rPr>
            </w:pPr>
            <w:r>
              <w:rPr>
                <w:sz w:val="24"/>
              </w:rPr>
              <w:t>Línea aérea (venta de boletos)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625" w:hRule="atLeast"/>
        </w:trPr>
        <w:tc>
          <w:tcPr>
            <w:tcW w:w="2268" w:type="dxa"/>
          </w:tcPr>
          <w:p>
            <w:pPr>
              <w:pStyle w:val="TableParagraph"/>
              <w:spacing w:before="5"/>
              <w:rPr>
                <w:b/>
                <w:sz w:val="30"/>
              </w:rPr>
            </w:pPr>
          </w:p>
          <w:p>
            <w:pPr>
              <w:pStyle w:val="TableParagraph"/>
              <w:spacing w:line="255" w:lineRule="exact"/>
              <w:ind w:left="67"/>
              <w:rPr>
                <w:sz w:val="24"/>
              </w:rPr>
            </w:pPr>
            <w:r>
              <w:rPr>
                <w:sz w:val="24"/>
              </w:rPr>
              <w:t>Línea blanca</w:t>
            </w:r>
          </w:p>
        </w:tc>
        <w:tc>
          <w:tcPr>
            <w:tcW w:w="1561" w:type="dxa"/>
          </w:tcPr>
          <w:p>
            <w:pPr>
              <w:pStyle w:val="TableParagraph"/>
              <w:spacing w:before="5"/>
              <w:rPr>
                <w:b/>
                <w:sz w:val="30"/>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5"/>
              <w:rPr>
                <w:b/>
                <w:sz w:val="30"/>
              </w:rPr>
            </w:pPr>
          </w:p>
          <w:p>
            <w:pPr>
              <w:pStyle w:val="TableParagraph"/>
              <w:spacing w:line="255" w:lineRule="exact"/>
              <w:ind w:right="62"/>
              <w:jc w:val="right"/>
              <w:rPr>
                <w:sz w:val="24"/>
              </w:rPr>
            </w:pPr>
            <w:r>
              <w:rPr>
                <w:sz w:val="24"/>
              </w:rPr>
              <w:t>384.82</w:t>
            </w:r>
          </w:p>
        </w:tc>
        <w:tc>
          <w:tcPr>
            <w:tcW w:w="1324" w:type="dxa"/>
          </w:tcPr>
          <w:p>
            <w:pPr>
              <w:pStyle w:val="TableParagraph"/>
              <w:spacing w:before="5"/>
              <w:rPr>
                <w:b/>
                <w:sz w:val="30"/>
              </w:rPr>
            </w:pPr>
          </w:p>
          <w:p>
            <w:pPr>
              <w:pStyle w:val="TableParagraph"/>
              <w:spacing w:line="255" w:lineRule="exact"/>
              <w:ind w:right="63"/>
              <w:jc w:val="right"/>
              <w:rPr>
                <w:sz w:val="24"/>
              </w:rPr>
            </w:pPr>
            <w:r>
              <w:rPr>
                <w:sz w:val="24"/>
              </w:rPr>
              <w:t>367.86</w:t>
            </w:r>
          </w:p>
        </w:tc>
        <w:tc>
          <w:tcPr>
            <w:tcW w:w="1304" w:type="dxa"/>
          </w:tcPr>
          <w:p>
            <w:pPr>
              <w:pStyle w:val="TableParagraph"/>
              <w:spacing w:before="5"/>
              <w:rPr>
                <w:b/>
                <w:sz w:val="30"/>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263"/>
              <w:rPr>
                <w:sz w:val="24"/>
              </w:rPr>
            </w:pPr>
            <w:r>
              <w:rPr>
                <w:sz w:val="24"/>
              </w:rPr>
              <w:t>Llantas (venta) (grandes) de 31 mts.2 en 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828" w:hRule="atLeast"/>
        </w:trPr>
        <w:tc>
          <w:tcPr>
            <w:tcW w:w="2268" w:type="dxa"/>
          </w:tcPr>
          <w:p>
            <w:pPr>
              <w:pStyle w:val="TableParagraph"/>
              <w:spacing w:line="270" w:lineRule="atLeast"/>
              <w:ind w:left="67" w:right="236"/>
              <w:rPr>
                <w:sz w:val="24"/>
              </w:rPr>
            </w:pPr>
            <w:r>
              <w:rPr>
                <w:sz w:val="24"/>
              </w:rPr>
              <w:t>Llantas (venta) (medianas) de 1 a 30 mts.2</w:t>
            </w:r>
          </w:p>
        </w:tc>
        <w:tc>
          <w:tcPr>
            <w:tcW w:w="1561" w:type="dxa"/>
          </w:tcPr>
          <w:p>
            <w:pPr>
              <w:pStyle w:val="TableParagraph"/>
              <w:rPr>
                <w:b/>
                <w:sz w:val="26"/>
              </w:rPr>
            </w:pPr>
          </w:p>
          <w:p>
            <w:pPr>
              <w:pStyle w:val="TableParagraph"/>
              <w:spacing w:before="11"/>
              <w:rPr>
                <w:b/>
                <w:sz w:val="21"/>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6"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6" w:lineRule="exact"/>
              <w:ind w:right="63"/>
              <w:jc w:val="right"/>
              <w:rPr>
                <w:sz w:val="24"/>
              </w:rPr>
            </w:pPr>
            <w:r>
              <w:rPr>
                <w:sz w:val="24"/>
              </w:rPr>
              <w:t>367.86</w:t>
            </w:r>
          </w:p>
        </w:tc>
        <w:tc>
          <w:tcPr>
            <w:tcW w:w="1304" w:type="dxa"/>
          </w:tcPr>
          <w:p>
            <w:pPr>
              <w:pStyle w:val="TableParagraph"/>
              <w:rPr>
                <w:b/>
                <w:sz w:val="26"/>
              </w:rPr>
            </w:pPr>
          </w:p>
          <w:p>
            <w:pPr>
              <w:pStyle w:val="TableParagraph"/>
              <w:spacing w:before="11"/>
              <w:rPr>
                <w:b/>
                <w:sz w:val="21"/>
              </w:rPr>
            </w:pPr>
          </w:p>
          <w:p>
            <w:pPr>
              <w:pStyle w:val="TableParagraph"/>
              <w:spacing w:line="256" w:lineRule="exact"/>
              <w:ind w:right="66"/>
              <w:jc w:val="right"/>
              <w:rPr>
                <w:sz w:val="24"/>
              </w:rPr>
            </w:pPr>
            <w:r>
              <w:rPr>
                <w:sz w:val="24"/>
              </w:rPr>
              <w:t>322.32</w:t>
            </w:r>
          </w:p>
        </w:tc>
      </w:tr>
    </w:tbl>
    <w:p>
      <w:pPr>
        <w:spacing w:after="0" w:line="256"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69664">
            <wp:simplePos x="0" y="0"/>
            <wp:positionH relativeFrom="page">
              <wp:posOffset>1252555</wp:posOffset>
            </wp:positionH>
            <wp:positionV relativeFrom="page">
              <wp:posOffset>2084831</wp:posOffset>
            </wp:positionV>
            <wp:extent cx="5026050" cy="5148262"/>
            <wp:effectExtent l="0" t="0" r="0" b="0"/>
            <wp:wrapNone/>
            <wp:docPr id="199" name="image95.png"/>
            <wp:cNvGraphicFramePr>
              <a:graphicFrameLocks noChangeAspect="1"/>
            </wp:cNvGraphicFramePr>
            <a:graphic>
              <a:graphicData uri="http://schemas.openxmlformats.org/drawingml/2006/picture">
                <pic:pic>
                  <pic:nvPicPr>
                    <pic:cNvPr id="200"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877"/>
              <w:rPr>
                <w:sz w:val="24"/>
              </w:rPr>
            </w:pPr>
            <w:r>
              <w:rPr>
                <w:sz w:val="24"/>
              </w:rPr>
              <w:t>Llantera (reparación)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316"/>
              <w:rPr>
                <w:sz w:val="24"/>
              </w:rPr>
            </w:pPr>
            <w:r>
              <w:rPr>
                <w:sz w:val="24"/>
              </w:rPr>
              <w:t>Lonchería (chica) de 1 a 20 mts.2</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ind w:left="67" w:right="129"/>
              <w:rPr>
                <w:sz w:val="24"/>
              </w:rPr>
            </w:pPr>
            <w:r>
              <w:rPr>
                <w:sz w:val="24"/>
              </w:rPr>
              <w:t>Lonchería (grande) de 21 mts.2 en</w:t>
            </w:r>
          </w:p>
          <w:p>
            <w:pPr>
              <w:pStyle w:val="TableParagraph"/>
              <w:spacing w:line="255" w:lineRule="exact"/>
              <w:ind w:left="67"/>
              <w:rPr>
                <w:sz w:val="24"/>
              </w:rPr>
            </w:pPr>
            <w:r>
              <w:rPr>
                <w:sz w:val="24"/>
              </w:rPr>
              <w:t>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Maderería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Mallas ciclónica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89"/>
              <w:rPr>
                <w:sz w:val="24"/>
              </w:rPr>
            </w:pPr>
            <w:r>
              <w:rPr>
                <w:sz w:val="24"/>
              </w:rPr>
              <w:t>Mantenimiento de alfombras y limpieza en general</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Manualidades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spacing w:line="276" w:lineRule="exact" w:before="4"/>
              <w:ind w:left="67" w:right="250"/>
              <w:rPr>
                <w:sz w:val="24"/>
              </w:rPr>
            </w:pPr>
            <w:r>
              <w:rPr>
                <w:sz w:val="24"/>
              </w:rPr>
              <w:t>Maq. Exp. De frituras, refrescos, café y jugos c/u</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N/A</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47" w:hRule="atLeast"/>
        </w:trPr>
        <w:tc>
          <w:tcPr>
            <w:tcW w:w="2268" w:type="dxa"/>
          </w:tcPr>
          <w:p>
            <w:pPr>
              <w:pStyle w:val="TableParagraph"/>
              <w:spacing w:before="7"/>
              <w:rPr>
                <w:b/>
                <w:sz w:val="23"/>
              </w:rPr>
            </w:pPr>
          </w:p>
          <w:p>
            <w:pPr>
              <w:pStyle w:val="TableParagraph"/>
              <w:spacing w:line="255" w:lineRule="exact" w:before="1"/>
              <w:ind w:left="67"/>
              <w:rPr>
                <w:sz w:val="24"/>
              </w:rPr>
            </w:pPr>
            <w:r>
              <w:rPr>
                <w:sz w:val="24"/>
              </w:rPr>
              <w:t>Maquiladoras</w:t>
            </w:r>
          </w:p>
        </w:tc>
        <w:tc>
          <w:tcPr>
            <w:tcW w:w="1561" w:type="dxa"/>
          </w:tcPr>
          <w:p>
            <w:pPr>
              <w:pStyle w:val="TableParagraph"/>
              <w:spacing w:before="7"/>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before="1"/>
              <w:ind w:right="62"/>
              <w:jc w:val="right"/>
              <w:rPr>
                <w:sz w:val="24"/>
              </w:rPr>
            </w:pPr>
            <w:r>
              <w:rPr>
                <w:sz w:val="24"/>
              </w:rPr>
              <w:t>384.82</w:t>
            </w:r>
          </w:p>
        </w:tc>
        <w:tc>
          <w:tcPr>
            <w:tcW w:w="1324" w:type="dxa"/>
          </w:tcPr>
          <w:p>
            <w:pPr>
              <w:pStyle w:val="TableParagraph"/>
              <w:spacing w:before="7"/>
              <w:rPr>
                <w:b/>
                <w:sz w:val="23"/>
              </w:rPr>
            </w:pPr>
          </w:p>
          <w:p>
            <w:pPr>
              <w:pStyle w:val="TableParagraph"/>
              <w:spacing w:line="255" w:lineRule="exact" w:before="1"/>
              <w:ind w:right="63"/>
              <w:jc w:val="right"/>
              <w:rPr>
                <w:sz w:val="24"/>
              </w:rPr>
            </w:pPr>
            <w:r>
              <w:rPr>
                <w:sz w:val="24"/>
              </w:rPr>
              <w:t>1,382.14</w:t>
            </w:r>
          </w:p>
        </w:tc>
        <w:tc>
          <w:tcPr>
            <w:tcW w:w="1304" w:type="dxa"/>
          </w:tcPr>
          <w:p>
            <w:pPr>
              <w:pStyle w:val="TableParagraph"/>
              <w:spacing w:before="7"/>
              <w:rPr>
                <w:b/>
                <w:sz w:val="23"/>
              </w:rPr>
            </w:pPr>
          </w:p>
          <w:p>
            <w:pPr>
              <w:pStyle w:val="TableParagraph"/>
              <w:spacing w:line="255" w:lineRule="exact" w:before="1"/>
              <w:ind w:right="66"/>
              <w:jc w:val="right"/>
              <w:rPr>
                <w:sz w:val="24"/>
              </w:rPr>
            </w:pPr>
            <w:r>
              <w:rPr>
                <w:sz w:val="24"/>
              </w:rPr>
              <w:t>241.07</w:t>
            </w:r>
          </w:p>
        </w:tc>
      </w:tr>
      <w:tr>
        <w:trPr>
          <w:trHeight w:val="551" w:hRule="atLeast"/>
        </w:trPr>
        <w:tc>
          <w:tcPr>
            <w:tcW w:w="2268" w:type="dxa"/>
          </w:tcPr>
          <w:p>
            <w:pPr>
              <w:pStyle w:val="TableParagraph"/>
              <w:spacing w:line="270" w:lineRule="atLeast"/>
              <w:ind w:left="67" w:right="129"/>
              <w:rPr>
                <w:sz w:val="24"/>
              </w:rPr>
            </w:pPr>
            <w:r>
              <w:rPr>
                <w:sz w:val="24"/>
              </w:rPr>
              <w:t>Maquinaria pesada (venta o renta)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50"/>
              <w:rPr>
                <w:sz w:val="24"/>
              </w:rPr>
            </w:pPr>
            <w:r>
              <w:rPr>
                <w:sz w:val="24"/>
              </w:rPr>
              <w:t>Maquinaria y herramienta diversa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6" w:hRule="atLeast"/>
        </w:trPr>
        <w:tc>
          <w:tcPr>
            <w:tcW w:w="2268" w:type="dxa"/>
          </w:tcPr>
          <w:p>
            <w:pPr>
              <w:pStyle w:val="TableParagraph"/>
              <w:spacing w:line="276" w:lineRule="exact" w:before="4"/>
              <w:ind w:left="67"/>
              <w:rPr>
                <w:sz w:val="24"/>
              </w:rPr>
            </w:pPr>
            <w:r>
              <w:rPr>
                <w:sz w:val="24"/>
              </w:rPr>
              <w:t>Máquinas de videojuegos (10 en adelante c/u)</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547" w:hRule="atLeast"/>
        </w:trPr>
        <w:tc>
          <w:tcPr>
            <w:tcW w:w="2268" w:type="dxa"/>
          </w:tcPr>
          <w:p>
            <w:pPr>
              <w:pStyle w:val="TableParagraph"/>
              <w:spacing w:before="7"/>
              <w:rPr>
                <w:b/>
                <w:sz w:val="23"/>
              </w:rPr>
            </w:pPr>
          </w:p>
          <w:p>
            <w:pPr>
              <w:pStyle w:val="TableParagraph"/>
              <w:spacing w:line="255" w:lineRule="exact"/>
              <w:ind w:left="67"/>
              <w:rPr>
                <w:sz w:val="24"/>
              </w:rPr>
            </w:pPr>
            <w:r>
              <w:rPr>
                <w:sz w:val="24"/>
              </w:rPr>
              <w:t>Máquinas de coser</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3"/>
              <w:jc w:val="right"/>
              <w:rPr>
                <w:sz w:val="24"/>
              </w:rPr>
            </w:pPr>
            <w:r>
              <w:rPr>
                <w:w w:val="99"/>
                <w:sz w:val="24"/>
              </w:rPr>
              <w:t>-</w:t>
            </w:r>
          </w:p>
        </w:tc>
      </w:tr>
      <w:tr>
        <w:trPr>
          <w:trHeight w:val="654" w:hRule="atLeast"/>
        </w:trPr>
        <w:tc>
          <w:tcPr>
            <w:tcW w:w="2268" w:type="dxa"/>
          </w:tcPr>
          <w:p>
            <w:pPr>
              <w:pStyle w:val="TableParagraph"/>
              <w:spacing w:line="270" w:lineRule="atLeast" w:before="103"/>
              <w:ind w:left="67" w:right="796"/>
              <w:rPr>
                <w:sz w:val="24"/>
              </w:rPr>
            </w:pPr>
            <w:r>
              <w:rPr>
                <w:sz w:val="24"/>
              </w:rPr>
              <w:t>Máquinas de escribir</w:t>
            </w:r>
          </w:p>
        </w:tc>
        <w:tc>
          <w:tcPr>
            <w:tcW w:w="1561" w:type="dxa"/>
          </w:tcPr>
          <w:p>
            <w:pPr>
              <w:pStyle w:val="TableParagraph"/>
              <w:rPr>
                <w:b/>
                <w:sz w:val="3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33"/>
              </w:rPr>
            </w:pPr>
          </w:p>
          <w:p>
            <w:pPr>
              <w:pStyle w:val="TableParagraph"/>
              <w:spacing w:line="255" w:lineRule="exact"/>
              <w:ind w:right="62"/>
              <w:jc w:val="right"/>
              <w:rPr>
                <w:sz w:val="24"/>
              </w:rPr>
            </w:pPr>
            <w:r>
              <w:rPr>
                <w:sz w:val="24"/>
              </w:rPr>
              <w:t>384.82</w:t>
            </w:r>
          </w:p>
        </w:tc>
        <w:tc>
          <w:tcPr>
            <w:tcW w:w="1324" w:type="dxa"/>
          </w:tcPr>
          <w:p>
            <w:pPr>
              <w:pStyle w:val="TableParagraph"/>
              <w:rPr>
                <w:b/>
                <w:sz w:val="33"/>
              </w:rPr>
            </w:pPr>
          </w:p>
          <w:p>
            <w:pPr>
              <w:pStyle w:val="TableParagraph"/>
              <w:spacing w:line="255" w:lineRule="exact"/>
              <w:ind w:right="63"/>
              <w:jc w:val="right"/>
              <w:rPr>
                <w:sz w:val="24"/>
              </w:rPr>
            </w:pPr>
            <w:r>
              <w:rPr>
                <w:sz w:val="24"/>
              </w:rPr>
              <w:t>N/A</w:t>
            </w:r>
          </w:p>
        </w:tc>
        <w:tc>
          <w:tcPr>
            <w:tcW w:w="1304" w:type="dxa"/>
          </w:tcPr>
          <w:p>
            <w:pPr>
              <w:pStyle w:val="TableParagraph"/>
              <w:rPr>
                <w:b/>
                <w:sz w:val="33"/>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ind w:left="67"/>
              <w:rPr>
                <w:sz w:val="24"/>
              </w:rPr>
            </w:pPr>
            <w:r>
              <w:rPr>
                <w:sz w:val="24"/>
              </w:rPr>
              <w:t>Máquinas de videojuegos (1 a 5</w:t>
            </w:r>
          </w:p>
          <w:p>
            <w:pPr>
              <w:pStyle w:val="TableParagraph"/>
              <w:spacing w:line="255" w:lineRule="exact"/>
              <w:ind w:left="67"/>
              <w:rPr>
                <w:sz w:val="24"/>
              </w:rPr>
            </w:pPr>
            <w:r>
              <w:rPr>
                <w:w w:val="99"/>
                <w:sz w:val="24"/>
              </w:rPr>
              <w:t>)</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ind w:left="67" w:right="409"/>
              <w:rPr>
                <w:sz w:val="24"/>
              </w:rPr>
            </w:pPr>
            <w:r>
              <w:rPr>
                <w:sz w:val="24"/>
              </w:rPr>
              <w:t>Máquinas de videojuegos (5 a</w:t>
            </w:r>
          </w:p>
          <w:p>
            <w:pPr>
              <w:pStyle w:val="TableParagraph"/>
              <w:spacing w:line="255" w:lineRule="exact"/>
              <w:ind w:left="67"/>
              <w:rPr>
                <w:sz w:val="24"/>
              </w:rPr>
            </w:pPr>
            <w:r>
              <w:rPr>
                <w:sz w:val="24"/>
              </w:rPr>
              <w:t>10)</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30" w:hRule="atLeast"/>
        </w:trPr>
        <w:tc>
          <w:tcPr>
            <w:tcW w:w="2268" w:type="dxa"/>
          </w:tcPr>
          <w:p>
            <w:pPr>
              <w:pStyle w:val="TableParagraph"/>
              <w:spacing w:line="270" w:lineRule="atLeast" w:before="2"/>
              <w:ind w:left="67" w:right="516"/>
              <w:rPr>
                <w:sz w:val="24"/>
              </w:rPr>
            </w:pPr>
            <w:r>
              <w:rPr>
                <w:sz w:val="24"/>
              </w:rPr>
              <w:t>Maquinas inf. Accionadas por monedas 1 a 5</w:t>
            </w:r>
          </w:p>
        </w:tc>
        <w:tc>
          <w:tcPr>
            <w:tcW w:w="1561" w:type="dxa"/>
          </w:tcPr>
          <w:p>
            <w:pPr>
              <w:pStyle w:val="TableParagraph"/>
              <w:rPr>
                <w:b/>
                <w:sz w:val="26"/>
              </w:rPr>
            </w:pPr>
          </w:p>
          <w:p>
            <w:pPr>
              <w:pStyle w:val="TableParagraph"/>
              <w:spacing w:before="2"/>
              <w:rPr>
                <w:b/>
                <w:sz w:val="22"/>
              </w:rPr>
            </w:pPr>
          </w:p>
          <w:p>
            <w:pPr>
              <w:pStyle w:val="TableParagraph"/>
              <w:spacing w:line="256"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6" w:lineRule="exact"/>
              <w:ind w:right="62"/>
              <w:jc w:val="right"/>
              <w:rPr>
                <w:sz w:val="24"/>
              </w:rPr>
            </w:pPr>
            <w:r>
              <w:rPr>
                <w:sz w:val="24"/>
              </w:rPr>
              <w:t>154.46</w:t>
            </w:r>
          </w:p>
        </w:tc>
        <w:tc>
          <w:tcPr>
            <w:tcW w:w="1324" w:type="dxa"/>
          </w:tcPr>
          <w:p>
            <w:pPr>
              <w:pStyle w:val="TableParagraph"/>
              <w:rPr>
                <w:b/>
                <w:sz w:val="26"/>
              </w:rPr>
            </w:pPr>
          </w:p>
          <w:p>
            <w:pPr>
              <w:pStyle w:val="TableParagraph"/>
              <w:spacing w:before="2"/>
              <w:rPr>
                <w:b/>
                <w:sz w:val="22"/>
              </w:rPr>
            </w:pPr>
          </w:p>
          <w:p>
            <w:pPr>
              <w:pStyle w:val="TableParagraph"/>
              <w:spacing w:line="256" w:lineRule="exact"/>
              <w:ind w:right="63"/>
              <w:jc w:val="right"/>
              <w:rPr>
                <w:sz w:val="24"/>
              </w:rPr>
            </w:pPr>
            <w:r>
              <w:rPr>
                <w:sz w:val="24"/>
              </w:rPr>
              <w:t>N/A</w:t>
            </w:r>
          </w:p>
        </w:tc>
        <w:tc>
          <w:tcPr>
            <w:tcW w:w="1304" w:type="dxa"/>
          </w:tcPr>
          <w:p>
            <w:pPr>
              <w:pStyle w:val="TableParagraph"/>
              <w:rPr>
                <w:b/>
                <w:sz w:val="26"/>
              </w:rPr>
            </w:pPr>
          </w:p>
          <w:p>
            <w:pPr>
              <w:pStyle w:val="TableParagraph"/>
              <w:spacing w:before="2"/>
              <w:rPr>
                <w:b/>
                <w:sz w:val="22"/>
              </w:rPr>
            </w:pPr>
          </w:p>
          <w:p>
            <w:pPr>
              <w:pStyle w:val="TableParagraph"/>
              <w:spacing w:line="256" w:lineRule="exact"/>
              <w:ind w:right="63"/>
              <w:jc w:val="right"/>
              <w:rPr>
                <w:sz w:val="24"/>
              </w:rPr>
            </w:pPr>
            <w:r>
              <w:rPr>
                <w:w w:val="99"/>
                <w:sz w:val="24"/>
              </w:rPr>
              <w:t>-</w:t>
            </w:r>
          </w:p>
        </w:tc>
      </w:tr>
    </w:tbl>
    <w:p>
      <w:pPr>
        <w:spacing w:after="0" w:line="256"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70688">
            <wp:simplePos x="0" y="0"/>
            <wp:positionH relativeFrom="page">
              <wp:posOffset>1252555</wp:posOffset>
            </wp:positionH>
            <wp:positionV relativeFrom="page">
              <wp:posOffset>2138172</wp:posOffset>
            </wp:positionV>
            <wp:extent cx="5021401" cy="5143500"/>
            <wp:effectExtent l="0" t="0" r="0" b="0"/>
            <wp:wrapNone/>
            <wp:docPr id="201" name="image94.png"/>
            <wp:cNvGraphicFramePr>
              <a:graphicFrameLocks noChangeAspect="1"/>
            </wp:cNvGraphicFramePr>
            <a:graphic>
              <a:graphicData uri="http://schemas.openxmlformats.org/drawingml/2006/picture">
                <pic:pic>
                  <pic:nvPicPr>
                    <pic:cNvPr id="202"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1103" w:hRule="atLeast"/>
        </w:trPr>
        <w:tc>
          <w:tcPr>
            <w:tcW w:w="2268" w:type="dxa"/>
          </w:tcPr>
          <w:p>
            <w:pPr>
              <w:pStyle w:val="TableParagraph"/>
              <w:spacing w:line="270" w:lineRule="atLeast"/>
              <w:ind w:left="67" w:right="516"/>
              <w:rPr>
                <w:sz w:val="24"/>
              </w:rPr>
            </w:pPr>
            <w:r>
              <w:rPr>
                <w:sz w:val="24"/>
              </w:rPr>
              <w:t>Maquinas inf. Accionadas por monedas 10 en adel.</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N/A</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r>
        <w:trPr>
          <w:trHeight w:val="828" w:hRule="atLeast"/>
        </w:trPr>
        <w:tc>
          <w:tcPr>
            <w:tcW w:w="2268" w:type="dxa"/>
          </w:tcPr>
          <w:p>
            <w:pPr>
              <w:pStyle w:val="TableParagraph"/>
              <w:ind w:left="67"/>
              <w:rPr>
                <w:sz w:val="24"/>
              </w:rPr>
            </w:pPr>
            <w:r>
              <w:rPr>
                <w:sz w:val="24"/>
              </w:rPr>
              <w:t>Maquinas inf. Accionadas</w:t>
            </w:r>
            <w:r>
              <w:rPr>
                <w:spacing w:val="-2"/>
                <w:sz w:val="24"/>
              </w:rPr>
              <w:t> </w:t>
            </w:r>
            <w:r>
              <w:rPr>
                <w:spacing w:val="-5"/>
                <w:sz w:val="24"/>
              </w:rPr>
              <w:t>por</w:t>
            </w:r>
          </w:p>
          <w:p>
            <w:pPr>
              <w:pStyle w:val="TableParagraph"/>
              <w:spacing w:line="255" w:lineRule="exact"/>
              <w:ind w:left="67"/>
              <w:rPr>
                <w:sz w:val="24"/>
              </w:rPr>
            </w:pPr>
            <w:r>
              <w:rPr>
                <w:sz w:val="24"/>
              </w:rPr>
              <w:t>monedas 5 a</w:t>
            </w:r>
            <w:r>
              <w:rPr>
                <w:spacing w:val="-6"/>
                <w:sz w:val="24"/>
              </w:rPr>
              <w:t> </w:t>
            </w:r>
            <w:r>
              <w:rPr>
                <w:sz w:val="24"/>
              </w:rPr>
              <w:t>10</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N/A</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Marcos y cuadros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Marmolería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Masajes relajantes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0"/>
              <w:jc w:val="right"/>
              <w:rPr>
                <w:sz w:val="24"/>
              </w:rPr>
            </w:pPr>
            <w:r>
              <w:rPr>
                <w:w w:val="99"/>
                <w:sz w:val="24"/>
              </w:rPr>
              <w:t>-</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Material acrílico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89"/>
              <w:rPr>
                <w:sz w:val="24"/>
              </w:rPr>
            </w:pPr>
            <w:r>
              <w:rPr>
                <w:sz w:val="24"/>
              </w:rPr>
              <w:t>Material de hospital y laboratorio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Material eléctrico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1103" w:hRule="atLeast"/>
        </w:trPr>
        <w:tc>
          <w:tcPr>
            <w:tcW w:w="2268" w:type="dxa"/>
          </w:tcPr>
          <w:p>
            <w:pPr>
              <w:pStyle w:val="TableParagraph"/>
              <w:spacing w:before="2"/>
              <w:ind w:left="67" w:right="786"/>
              <w:jc w:val="both"/>
              <w:rPr>
                <w:sz w:val="24"/>
              </w:rPr>
            </w:pPr>
            <w:r>
              <w:rPr>
                <w:sz w:val="24"/>
              </w:rPr>
              <w:t>Material para construcción (pétreos y</w:t>
            </w:r>
          </w:p>
          <w:p>
            <w:pPr>
              <w:pStyle w:val="TableParagraph"/>
              <w:spacing w:line="253" w:lineRule="exact"/>
              <w:ind w:left="67"/>
              <w:rPr>
                <w:sz w:val="24"/>
              </w:rPr>
            </w:pPr>
            <w:r>
              <w:rPr>
                <w:sz w:val="24"/>
              </w:rPr>
              <w:t>agregados)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933.93</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r>
        <w:trPr>
          <w:trHeight w:val="1106" w:hRule="atLeast"/>
        </w:trPr>
        <w:tc>
          <w:tcPr>
            <w:tcW w:w="2268" w:type="dxa"/>
          </w:tcPr>
          <w:p>
            <w:pPr>
              <w:pStyle w:val="TableParagraph"/>
              <w:spacing w:line="270" w:lineRule="atLeast" w:before="2"/>
              <w:ind w:left="67" w:right="734"/>
              <w:jc w:val="both"/>
              <w:rPr>
                <w:sz w:val="24"/>
              </w:rPr>
            </w:pPr>
            <w:r>
              <w:rPr>
                <w:sz w:val="24"/>
              </w:rPr>
              <w:t>Material para construcción compra venta mediano</w:t>
            </w:r>
          </w:p>
        </w:tc>
        <w:tc>
          <w:tcPr>
            <w:tcW w:w="1561" w:type="dxa"/>
          </w:tcPr>
          <w:p>
            <w:pPr>
              <w:pStyle w:val="TableParagraph"/>
              <w:rPr>
                <w:b/>
                <w:sz w:val="26"/>
              </w:rPr>
            </w:pPr>
          </w:p>
          <w:p>
            <w:pPr>
              <w:pStyle w:val="TableParagraph"/>
              <w:rPr>
                <w:b/>
                <w:sz w:val="26"/>
              </w:rPr>
            </w:pPr>
          </w:p>
          <w:p>
            <w:pPr>
              <w:pStyle w:val="TableParagraph"/>
              <w:spacing w:line="255" w:lineRule="exact" w:before="232"/>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2"/>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line="255" w:lineRule="exact" w:before="232"/>
              <w:ind w:right="63"/>
              <w:jc w:val="right"/>
              <w:rPr>
                <w:sz w:val="24"/>
              </w:rPr>
            </w:pPr>
            <w:r>
              <w:rPr>
                <w:sz w:val="24"/>
              </w:rPr>
              <w:t>367.86</w:t>
            </w:r>
          </w:p>
        </w:tc>
        <w:tc>
          <w:tcPr>
            <w:tcW w:w="1304" w:type="dxa"/>
          </w:tcPr>
          <w:p>
            <w:pPr>
              <w:pStyle w:val="TableParagraph"/>
              <w:rPr>
                <w:b/>
                <w:sz w:val="26"/>
              </w:rPr>
            </w:pPr>
          </w:p>
          <w:p>
            <w:pPr>
              <w:pStyle w:val="TableParagraph"/>
              <w:rPr>
                <w:b/>
                <w:sz w:val="26"/>
              </w:rPr>
            </w:pPr>
          </w:p>
          <w:p>
            <w:pPr>
              <w:pStyle w:val="TableParagraph"/>
              <w:spacing w:line="255" w:lineRule="exact" w:before="232"/>
              <w:ind w:right="63"/>
              <w:jc w:val="right"/>
              <w:rPr>
                <w:sz w:val="24"/>
              </w:rPr>
            </w:pPr>
            <w:r>
              <w:rPr>
                <w:w w:val="99"/>
                <w:sz w:val="24"/>
              </w:rPr>
              <w:t>-</w:t>
            </w:r>
          </w:p>
        </w:tc>
      </w:tr>
      <w:tr>
        <w:trPr>
          <w:trHeight w:val="1104" w:hRule="atLeast"/>
        </w:trPr>
        <w:tc>
          <w:tcPr>
            <w:tcW w:w="2268" w:type="dxa"/>
          </w:tcPr>
          <w:p>
            <w:pPr>
              <w:pStyle w:val="TableParagraph"/>
              <w:ind w:left="67"/>
              <w:rPr>
                <w:sz w:val="24"/>
              </w:rPr>
            </w:pPr>
            <w:r>
              <w:rPr>
                <w:sz w:val="24"/>
              </w:rPr>
              <w:t>Material para construcción</w:t>
            </w:r>
          </w:p>
          <w:p>
            <w:pPr>
              <w:pStyle w:val="TableParagraph"/>
              <w:spacing w:line="270" w:lineRule="atLeast" w:before="1"/>
              <w:ind w:left="67" w:right="716"/>
              <w:rPr>
                <w:sz w:val="24"/>
              </w:rPr>
            </w:pPr>
            <w:r>
              <w:rPr>
                <w:sz w:val="24"/>
              </w:rPr>
              <w:t>compra venta grande</w:t>
            </w:r>
          </w:p>
        </w:tc>
        <w:tc>
          <w:tcPr>
            <w:tcW w:w="1561" w:type="dxa"/>
          </w:tcPr>
          <w:p>
            <w:pPr>
              <w:pStyle w:val="TableParagraph"/>
              <w:rPr>
                <w:b/>
                <w:sz w:val="26"/>
              </w:rPr>
            </w:pPr>
          </w:p>
          <w:p>
            <w:pPr>
              <w:pStyle w:val="TableParagraph"/>
              <w:rPr>
                <w:b/>
                <w:sz w:val="26"/>
              </w:rPr>
            </w:pPr>
          </w:p>
          <w:p>
            <w:pPr>
              <w:pStyle w:val="TableParagraph"/>
              <w:spacing w:line="255" w:lineRule="exact" w:before="23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1"/>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1"/>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231"/>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Materias prima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Menudería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688" w:hRule="atLeast"/>
        </w:trPr>
        <w:tc>
          <w:tcPr>
            <w:tcW w:w="2268" w:type="dxa"/>
          </w:tcPr>
          <w:p>
            <w:pPr>
              <w:pStyle w:val="TableParagraph"/>
              <w:spacing w:before="10"/>
              <w:rPr>
                <w:b/>
                <w:sz w:val="35"/>
              </w:rPr>
            </w:pPr>
          </w:p>
          <w:p>
            <w:pPr>
              <w:pStyle w:val="TableParagraph"/>
              <w:spacing w:line="255" w:lineRule="exact"/>
              <w:ind w:left="67"/>
              <w:rPr>
                <w:sz w:val="24"/>
              </w:rPr>
            </w:pPr>
            <w:r>
              <w:rPr>
                <w:sz w:val="24"/>
              </w:rPr>
              <w:t>Mercería</w:t>
            </w:r>
          </w:p>
        </w:tc>
        <w:tc>
          <w:tcPr>
            <w:tcW w:w="1561" w:type="dxa"/>
          </w:tcPr>
          <w:p>
            <w:pPr>
              <w:pStyle w:val="TableParagraph"/>
              <w:spacing w:before="10"/>
              <w:rPr>
                <w:b/>
                <w:sz w:val="35"/>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0"/>
              <w:rPr>
                <w:b/>
                <w:sz w:val="35"/>
              </w:rPr>
            </w:pPr>
          </w:p>
          <w:p>
            <w:pPr>
              <w:pStyle w:val="TableParagraph"/>
              <w:spacing w:line="255" w:lineRule="exact"/>
              <w:ind w:right="62"/>
              <w:jc w:val="right"/>
              <w:rPr>
                <w:sz w:val="24"/>
              </w:rPr>
            </w:pPr>
            <w:r>
              <w:rPr>
                <w:sz w:val="24"/>
              </w:rPr>
              <w:t>384.82</w:t>
            </w:r>
          </w:p>
        </w:tc>
        <w:tc>
          <w:tcPr>
            <w:tcW w:w="1324" w:type="dxa"/>
          </w:tcPr>
          <w:p>
            <w:pPr>
              <w:pStyle w:val="TableParagraph"/>
              <w:spacing w:before="10"/>
              <w:rPr>
                <w:b/>
                <w:sz w:val="35"/>
              </w:rPr>
            </w:pPr>
          </w:p>
          <w:p>
            <w:pPr>
              <w:pStyle w:val="TableParagraph"/>
              <w:spacing w:line="255" w:lineRule="exact"/>
              <w:ind w:right="63"/>
              <w:jc w:val="right"/>
              <w:rPr>
                <w:sz w:val="24"/>
              </w:rPr>
            </w:pPr>
            <w:r>
              <w:rPr>
                <w:sz w:val="24"/>
              </w:rPr>
              <w:t>183.93</w:t>
            </w:r>
          </w:p>
        </w:tc>
        <w:tc>
          <w:tcPr>
            <w:tcW w:w="1304" w:type="dxa"/>
          </w:tcPr>
          <w:p>
            <w:pPr>
              <w:pStyle w:val="TableParagraph"/>
              <w:spacing w:before="10"/>
              <w:rPr>
                <w:b/>
                <w:sz w:val="35"/>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03"/>
              <w:rPr>
                <w:sz w:val="24"/>
              </w:rPr>
            </w:pPr>
            <w:r>
              <w:rPr>
                <w:sz w:val="24"/>
              </w:rPr>
              <w:t>Mesas de futbolitos por c/u</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6" w:lineRule="exact" w:before="4"/>
              <w:ind w:left="67" w:right="343"/>
              <w:rPr>
                <w:sz w:val="24"/>
              </w:rPr>
            </w:pPr>
            <w:r>
              <w:rPr>
                <w:sz w:val="24"/>
              </w:rPr>
              <w:t>Minisúper (chico) de 1 a 25 mts.2</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rFonts w:ascii="Times New Roman"/>
                <w:sz w:val="24"/>
              </w:rPr>
            </w:pP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71712">
            <wp:simplePos x="0" y="0"/>
            <wp:positionH relativeFrom="page">
              <wp:posOffset>1252555</wp:posOffset>
            </wp:positionH>
            <wp:positionV relativeFrom="page">
              <wp:posOffset>2084831</wp:posOffset>
            </wp:positionV>
            <wp:extent cx="5026050" cy="5148262"/>
            <wp:effectExtent l="0" t="0" r="0" b="0"/>
            <wp:wrapNone/>
            <wp:docPr id="203" name="image95.png"/>
            <wp:cNvGraphicFramePr>
              <a:graphicFrameLocks noChangeAspect="1"/>
            </wp:cNvGraphicFramePr>
            <a:graphic>
              <a:graphicData uri="http://schemas.openxmlformats.org/drawingml/2006/picture">
                <pic:pic>
                  <pic:nvPicPr>
                    <pic:cNvPr id="204"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156"/>
              <w:rPr>
                <w:sz w:val="24"/>
              </w:rPr>
            </w:pPr>
            <w:r>
              <w:rPr>
                <w:sz w:val="24"/>
              </w:rPr>
              <w:t>Minisúper (grande) de 25 mts.2 en 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Miscelánea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ind w:left="67"/>
              <w:rPr>
                <w:sz w:val="24"/>
              </w:rPr>
            </w:pPr>
            <w:r>
              <w:rPr>
                <w:sz w:val="24"/>
              </w:rPr>
              <w:t>Modificaciones</w:t>
            </w:r>
          </w:p>
          <w:p>
            <w:pPr>
              <w:pStyle w:val="TableParagraph"/>
              <w:spacing w:line="270" w:lineRule="atLeast" w:before="1"/>
              <w:ind w:left="67" w:right="63"/>
              <w:rPr>
                <w:sz w:val="24"/>
              </w:rPr>
            </w:pPr>
            <w:r>
              <w:rPr>
                <w:sz w:val="24"/>
              </w:rPr>
              <w:t>corporales (tatuajes y perforaciones)</w:t>
            </w:r>
          </w:p>
        </w:tc>
        <w:tc>
          <w:tcPr>
            <w:tcW w:w="1561" w:type="dxa"/>
          </w:tcPr>
          <w:p>
            <w:pPr>
              <w:pStyle w:val="TableParagraph"/>
              <w:rPr>
                <w:b/>
                <w:sz w:val="26"/>
              </w:rPr>
            </w:pPr>
          </w:p>
          <w:p>
            <w:pPr>
              <w:pStyle w:val="TableParagraph"/>
              <w:rPr>
                <w:b/>
                <w:sz w:val="22"/>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before="1"/>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before="1"/>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before="1"/>
              <w:ind w:right="66"/>
              <w:jc w:val="right"/>
              <w:rPr>
                <w:sz w:val="24"/>
              </w:rPr>
            </w:pPr>
            <w:r>
              <w:rPr>
                <w:sz w:val="24"/>
              </w:rPr>
              <w:t>807.14</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Molino de nixtamal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827" w:hRule="atLeast"/>
        </w:trPr>
        <w:tc>
          <w:tcPr>
            <w:tcW w:w="2268" w:type="dxa"/>
          </w:tcPr>
          <w:p>
            <w:pPr>
              <w:pStyle w:val="TableParagraph"/>
              <w:spacing w:line="270" w:lineRule="atLeast"/>
              <w:ind w:left="67" w:right="129"/>
              <w:rPr>
                <w:sz w:val="24"/>
              </w:rPr>
            </w:pPr>
            <w:r>
              <w:rPr>
                <w:sz w:val="24"/>
              </w:rPr>
              <w:t>Mueblería (grande) de 31 mts.2 en 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169"/>
              <w:rPr>
                <w:sz w:val="24"/>
              </w:rPr>
            </w:pPr>
            <w:r>
              <w:rPr>
                <w:sz w:val="24"/>
              </w:rPr>
              <w:t>Mueblería en pequeño de 1 a 30 mts.2</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line="270" w:lineRule="atLeast" w:before="2"/>
              <w:ind w:left="67" w:right="169"/>
              <w:rPr>
                <w:sz w:val="24"/>
              </w:rPr>
            </w:pPr>
            <w:r>
              <w:rPr>
                <w:sz w:val="24"/>
              </w:rPr>
              <w:t>Muebles y equipos de oficina</w:t>
            </w:r>
          </w:p>
        </w:tc>
        <w:tc>
          <w:tcPr>
            <w:tcW w:w="1561" w:type="dxa"/>
          </w:tcPr>
          <w:p>
            <w:pPr>
              <w:pStyle w:val="TableParagraph"/>
              <w:spacing w:before="2"/>
              <w:rPr>
                <w:b/>
                <w:sz w:val="24"/>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6"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6"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6" w:lineRule="exact"/>
              <w:ind w:right="63"/>
              <w:jc w:val="right"/>
              <w:rPr>
                <w:sz w:val="24"/>
              </w:rPr>
            </w:pPr>
            <w:r>
              <w:rPr>
                <w:w w:val="99"/>
                <w:sz w:val="24"/>
              </w:rPr>
              <w:t>-</w:t>
            </w:r>
          </w:p>
        </w:tc>
      </w:tr>
      <w:tr>
        <w:trPr>
          <w:trHeight w:val="1103" w:hRule="atLeast"/>
        </w:trPr>
        <w:tc>
          <w:tcPr>
            <w:tcW w:w="2268" w:type="dxa"/>
          </w:tcPr>
          <w:p>
            <w:pPr>
              <w:pStyle w:val="TableParagraph"/>
              <w:spacing w:line="270" w:lineRule="atLeast"/>
              <w:ind w:left="67" w:right="489"/>
              <w:rPr>
                <w:sz w:val="24"/>
              </w:rPr>
            </w:pPr>
            <w:r>
              <w:rPr>
                <w:sz w:val="24"/>
              </w:rPr>
              <w:t>Oficina administrativa recaudadora de pagos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N/A</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570"/>
              <w:rPr>
                <w:sz w:val="24"/>
              </w:rPr>
            </w:pPr>
            <w:r>
              <w:rPr>
                <w:sz w:val="24"/>
              </w:rPr>
              <w:t>Oficinas administrativas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spacing w:line="271" w:lineRule="exact"/>
              <w:ind w:left="67"/>
              <w:rPr>
                <w:sz w:val="24"/>
              </w:rPr>
            </w:pPr>
            <w:r>
              <w:rPr>
                <w:sz w:val="24"/>
              </w:rPr>
              <w:t>Óptica (grandes) de</w:t>
            </w:r>
          </w:p>
          <w:p>
            <w:pPr>
              <w:pStyle w:val="TableParagraph"/>
              <w:spacing w:line="270" w:lineRule="atLeast"/>
              <w:ind w:left="67" w:right="916"/>
              <w:rPr>
                <w:sz w:val="24"/>
              </w:rPr>
            </w:pPr>
            <w:r>
              <w:rPr>
                <w:sz w:val="24"/>
              </w:rPr>
              <w:t>21 mts.2 en adelante</w:t>
            </w:r>
          </w:p>
        </w:tc>
        <w:tc>
          <w:tcPr>
            <w:tcW w:w="1561" w:type="dxa"/>
          </w:tcPr>
          <w:p>
            <w:pPr>
              <w:pStyle w:val="TableParagraph"/>
              <w:rPr>
                <w:b/>
                <w:sz w:val="26"/>
              </w:rPr>
            </w:pPr>
          </w:p>
          <w:p>
            <w:pPr>
              <w:pStyle w:val="TableParagraph"/>
              <w:spacing w:before="6"/>
              <w:rPr>
                <w:b/>
                <w:sz w:val="21"/>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before="1"/>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before="1"/>
              <w:ind w:right="63"/>
              <w:jc w:val="right"/>
              <w:rPr>
                <w:sz w:val="24"/>
              </w:rPr>
            </w:pPr>
            <w:r>
              <w:rPr>
                <w:sz w:val="24"/>
              </w:rPr>
              <w:t>183.93</w:t>
            </w:r>
          </w:p>
        </w:tc>
        <w:tc>
          <w:tcPr>
            <w:tcW w:w="1304" w:type="dxa"/>
          </w:tcPr>
          <w:p>
            <w:pPr>
              <w:pStyle w:val="TableParagraph"/>
              <w:rPr>
                <w:b/>
                <w:sz w:val="26"/>
              </w:rPr>
            </w:pPr>
          </w:p>
          <w:p>
            <w:pPr>
              <w:pStyle w:val="TableParagraph"/>
              <w:spacing w:before="6"/>
              <w:rPr>
                <w:b/>
                <w:sz w:val="21"/>
              </w:rPr>
            </w:pPr>
          </w:p>
          <w:p>
            <w:pPr>
              <w:pStyle w:val="TableParagraph"/>
              <w:spacing w:line="255" w:lineRule="exact" w:before="1"/>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210"/>
              <w:rPr>
                <w:sz w:val="24"/>
              </w:rPr>
            </w:pPr>
            <w:r>
              <w:rPr>
                <w:sz w:val="24"/>
              </w:rPr>
              <w:t>Óptica (medianas) de 1 a 20 mts.2</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47" w:hRule="atLeast"/>
        </w:trPr>
        <w:tc>
          <w:tcPr>
            <w:tcW w:w="2268" w:type="dxa"/>
          </w:tcPr>
          <w:p>
            <w:pPr>
              <w:pStyle w:val="TableParagraph"/>
              <w:spacing w:line="276" w:lineRule="exact"/>
              <w:ind w:left="67" w:right="836"/>
              <w:rPr>
                <w:sz w:val="24"/>
              </w:rPr>
            </w:pPr>
            <w:r>
              <w:rPr>
                <w:sz w:val="24"/>
              </w:rPr>
              <w:t>Paleteria y/o nevería</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241.07</w:t>
            </w:r>
          </w:p>
        </w:tc>
      </w:tr>
      <w:tr>
        <w:trPr>
          <w:trHeight w:val="546" w:hRule="atLeast"/>
        </w:trPr>
        <w:tc>
          <w:tcPr>
            <w:tcW w:w="2268" w:type="dxa"/>
          </w:tcPr>
          <w:p>
            <w:pPr>
              <w:pStyle w:val="TableParagraph"/>
              <w:spacing w:before="7"/>
              <w:rPr>
                <w:b/>
                <w:sz w:val="23"/>
              </w:rPr>
            </w:pPr>
          </w:p>
          <w:p>
            <w:pPr>
              <w:pStyle w:val="TableParagraph"/>
              <w:spacing w:line="255" w:lineRule="exact"/>
              <w:ind w:left="67"/>
              <w:rPr>
                <w:sz w:val="24"/>
              </w:rPr>
            </w:pPr>
            <w:r>
              <w:rPr>
                <w:sz w:val="24"/>
              </w:rPr>
              <w:t>Panadería</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160.71</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Panificadora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823"/>
              <w:rPr>
                <w:sz w:val="24"/>
              </w:rPr>
            </w:pPr>
            <w:r>
              <w:rPr>
                <w:sz w:val="24"/>
              </w:rPr>
              <w:t>Pañales desechables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56"/>
              <w:rPr>
                <w:sz w:val="24"/>
              </w:rPr>
            </w:pPr>
            <w:r>
              <w:rPr>
                <w:sz w:val="24"/>
              </w:rPr>
              <w:t>Papelería (chica) de 1 a 20 mts.2</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ind w:left="67" w:right="169"/>
              <w:rPr>
                <w:sz w:val="24"/>
              </w:rPr>
            </w:pPr>
            <w:r>
              <w:rPr>
                <w:sz w:val="24"/>
              </w:rPr>
              <w:t>Papelería (grande) de 21 mts.2 en</w:t>
            </w:r>
          </w:p>
          <w:p>
            <w:pPr>
              <w:pStyle w:val="TableParagraph"/>
              <w:spacing w:line="255" w:lineRule="exact"/>
              <w:ind w:left="67"/>
              <w:rPr>
                <w:sz w:val="24"/>
              </w:rPr>
            </w:pPr>
            <w:r>
              <w:rPr>
                <w:sz w:val="24"/>
              </w:rPr>
              <w:t>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72736">
            <wp:simplePos x="0" y="0"/>
            <wp:positionH relativeFrom="page">
              <wp:posOffset>1252555</wp:posOffset>
            </wp:positionH>
            <wp:positionV relativeFrom="page">
              <wp:posOffset>2138172</wp:posOffset>
            </wp:positionV>
            <wp:extent cx="5021401" cy="5143500"/>
            <wp:effectExtent l="0" t="0" r="0" b="0"/>
            <wp:wrapNone/>
            <wp:docPr id="205" name="image94.png"/>
            <wp:cNvGraphicFramePr>
              <a:graphicFrameLocks noChangeAspect="1"/>
            </wp:cNvGraphicFramePr>
            <a:graphic>
              <a:graphicData uri="http://schemas.openxmlformats.org/drawingml/2006/picture">
                <pic:pic>
                  <pic:nvPicPr>
                    <pic:cNvPr id="206"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810"/>
              <w:rPr>
                <w:sz w:val="24"/>
              </w:rPr>
            </w:pPr>
            <w:r>
              <w:rPr>
                <w:sz w:val="24"/>
              </w:rPr>
              <w:t>Paquetería y mensajería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Parque acuático</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2,018.65</w:t>
            </w:r>
          </w:p>
        </w:tc>
      </w:tr>
      <w:tr>
        <w:trPr>
          <w:trHeight w:val="554" w:hRule="atLeast"/>
        </w:trPr>
        <w:tc>
          <w:tcPr>
            <w:tcW w:w="2268" w:type="dxa"/>
          </w:tcPr>
          <w:p>
            <w:pPr>
              <w:pStyle w:val="TableParagraph"/>
              <w:spacing w:before="2"/>
              <w:rPr>
                <w:b/>
                <w:sz w:val="24"/>
              </w:rPr>
            </w:pPr>
          </w:p>
          <w:p>
            <w:pPr>
              <w:pStyle w:val="TableParagraph"/>
              <w:spacing w:line="255" w:lineRule="exact"/>
              <w:ind w:left="67"/>
              <w:rPr>
                <w:sz w:val="24"/>
              </w:rPr>
            </w:pPr>
            <w:r>
              <w:rPr>
                <w:sz w:val="24"/>
              </w:rPr>
              <w:t>Partes de colisión</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before="1"/>
              <w:ind w:left="67"/>
              <w:rPr>
                <w:sz w:val="24"/>
              </w:rPr>
            </w:pPr>
            <w:r>
              <w:rPr>
                <w:sz w:val="24"/>
              </w:rPr>
              <w:t>Pastelería</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1"/>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rPr>
                <w:b/>
                <w:sz w:val="24"/>
              </w:rPr>
            </w:pPr>
          </w:p>
          <w:p>
            <w:pPr>
              <w:pStyle w:val="TableParagraph"/>
              <w:spacing w:line="255" w:lineRule="exact" w:before="1"/>
              <w:ind w:right="66"/>
              <w:jc w:val="right"/>
              <w:rPr>
                <w:sz w:val="24"/>
              </w:rPr>
            </w:pPr>
            <w:r>
              <w:rPr>
                <w:sz w:val="24"/>
              </w:rPr>
              <w:t>807.14</w:t>
            </w:r>
          </w:p>
        </w:tc>
      </w:tr>
      <w:tr>
        <w:trPr>
          <w:trHeight w:val="827" w:hRule="atLeast"/>
        </w:trPr>
        <w:tc>
          <w:tcPr>
            <w:tcW w:w="2268" w:type="dxa"/>
          </w:tcPr>
          <w:p>
            <w:pPr>
              <w:pStyle w:val="TableParagraph"/>
              <w:spacing w:line="270" w:lineRule="atLeast"/>
              <w:ind w:left="67" w:right="223"/>
              <w:rPr>
                <w:sz w:val="24"/>
              </w:rPr>
            </w:pPr>
            <w:r>
              <w:rPr>
                <w:sz w:val="24"/>
              </w:rPr>
              <w:t>Pasteurizadora de leche y otros productos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Peleteria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Peluquería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rFonts w:ascii="Times New Roman"/>
                <w:sz w:val="24"/>
              </w:rPr>
            </w:pP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1147" w:hRule="atLeast"/>
        </w:trPr>
        <w:tc>
          <w:tcPr>
            <w:tcW w:w="2268" w:type="dxa"/>
          </w:tcPr>
          <w:p>
            <w:pPr>
              <w:pStyle w:val="TableParagraph"/>
              <w:spacing w:before="9"/>
              <w:rPr>
                <w:b/>
                <w:sz w:val="27"/>
              </w:rPr>
            </w:pPr>
          </w:p>
          <w:p>
            <w:pPr>
              <w:pStyle w:val="TableParagraph"/>
              <w:ind w:left="67"/>
              <w:rPr>
                <w:sz w:val="24"/>
              </w:rPr>
            </w:pPr>
            <w:r>
              <w:rPr>
                <w:sz w:val="24"/>
              </w:rPr>
              <w:t>Perforación de</w:t>
            </w:r>
          </w:p>
          <w:p>
            <w:pPr>
              <w:pStyle w:val="TableParagraph"/>
              <w:spacing w:line="270" w:lineRule="atLeast"/>
              <w:ind w:left="67" w:right="756"/>
              <w:rPr>
                <w:sz w:val="24"/>
              </w:rPr>
            </w:pPr>
            <w:r>
              <w:rPr>
                <w:sz w:val="24"/>
              </w:rPr>
              <w:t>pozos y rehabilitación</w:t>
            </w:r>
          </w:p>
        </w:tc>
        <w:tc>
          <w:tcPr>
            <w:tcW w:w="1561" w:type="dxa"/>
          </w:tcPr>
          <w:p>
            <w:pPr>
              <w:pStyle w:val="TableParagraph"/>
              <w:rPr>
                <w:b/>
                <w:sz w:val="26"/>
              </w:rPr>
            </w:pPr>
          </w:p>
          <w:p>
            <w:pPr>
              <w:pStyle w:val="TableParagraph"/>
              <w:rPr>
                <w:b/>
                <w:sz w:val="26"/>
              </w:rPr>
            </w:pPr>
          </w:p>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before="9"/>
              <w:rPr>
                <w:b/>
                <w:sz w:val="23"/>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6"/>
              </w:rPr>
            </w:pPr>
          </w:p>
          <w:p>
            <w:pPr>
              <w:pStyle w:val="TableParagraph"/>
              <w:spacing w:before="9"/>
              <w:rPr>
                <w:b/>
                <w:sz w:val="23"/>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Perfumería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Pescadería</w:t>
            </w:r>
          </w:p>
        </w:tc>
        <w:tc>
          <w:tcPr>
            <w:tcW w:w="1561" w:type="dxa"/>
          </w:tcPr>
          <w:p>
            <w:pPr>
              <w:pStyle w:val="TableParagraph"/>
              <w:spacing w:before="2"/>
              <w:rPr>
                <w:b/>
                <w:sz w:val="24"/>
              </w:rPr>
            </w:pPr>
          </w:p>
          <w:p>
            <w:pPr>
              <w:pStyle w:val="TableParagraph"/>
              <w:spacing w:line="255" w:lineRule="exact"/>
              <w:ind w:right="59"/>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1103" w:hRule="atLeast"/>
        </w:trPr>
        <w:tc>
          <w:tcPr>
            <w:tcW w:w="2268" w:type="dxa"/>
          </w:tcPr>
          <w:p>
            <w:pPr>
              <w:pStyle w:val="TableParagraph"/>
              <w:spacing w:line="270" w:lineRule="atLeast"/>
              <w:ind w:left="67" w:right="743"/>
              <w:rPr>
                <w:sz w:val="24"/>
              </w:rPr>
            </w:pPr>
            <w:r>
              <w:rPr>
                <w:sz w:val="24"/>
              </w:rPr>
              <w:t>Pescaderías, expendios de mariscos y preparados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154.46</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230"/>
              <w:ind w:right="66"/>
              <w:jc w:val="right"/>
              <w:rPr>
                <w:sz w:val="24"/>
              </w:rPr>
            </w:pPr>
            <w:r>
              <w:rPr>
                <w:sz w:val="24"/>
              </w:rPr>
              <w:t>322.32</w:t>
            </w:r>
          </w:p>
        </w:tc>
      </w:tr>
      <w:tr>
        <w:trPr>
          <w:trHeight w:val="623" w:hRule="atLeast"/>
        </w:trPr>
        <w:tc>
          <w:tcPr>
            <w:tcW w:w="2268" w:type="dxa"/>
          </w:tcPr>
          <w:p>
            <w:pPr>
              <w:pStyle w:val="TableParagraph"/>
              <w:spacing w:before="3"/>
              <w:rPr>
                <w:b/>
                <w:sz w:val="30"/>
              </w:rPr>
            </w:pPr>
          </w:p>
          <w:p>
            <w:pPr>
              <w:pStyle w:val="TableParagraph"/>
              <w:spacing w:line="255" w:lineRule="exact"/>
              <w:ind w:left="67"/>
              <w:rPr>
                <w:sz w:val="24"/>
              </w:rPr>
            </w:pPr>
            <w:r>
              <w:rPr>
                <w:sz w:val="24"/>
              </w:rPr>
              <w:t>Plantas de hornato</w:t>
            </w:r>
          </w:p>
        </w:tc>
        <w:tc>
          <w:tcPr>
            <w:tcW w:w="1561" w:type="dxa"/>
          </w:tcPr>
          <w:p>
            <w:pPr>
              <w:pStyle w:val="TableParagraph"/>
              <w:spacing w:before="3"/>
              <w:rPr>
                <w:b/>
                <w:sz w:val="30"/>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3"/>
              <w:rPr>
                <w:b/>
                <w:sz w:val="30"/>
              </w:rPr>
            </w:pPr>
          </w:p>
          <w:p>
            <w:pPr>
              <w:pStyle w:val="TableParagraph"/>
              <w:spacing w:line="255" w:lineRule="exact"/>
              <w:ind w:right="62"/>
              <w:jc w:val="right"/>
              <w:rPr>
                <w:sz w:val="24"/>
              </w:rPr>
            </w:pPr>
            <w:r>
              <w:rPr>
                <w:sz w:val="24"/>
              </w:rPr>
              <w:t>384.82</w:t>
            </w:r>
          </w:p>
        </w:tc>
        <w:tc>
          <w:tcPr>
            <w:tcW w:w="1324" w:type="dxa"/>
          </w:tcPr>
          <w:p>
            <w:pPr>
              <w:pStyle w:val="TableParagraph"/>
              <w:spacing w:before="3"/>
              <w:rPr>
                <w:b/>
                <w:sz w:val="30"/>
              </w:rPr>
            </w:pPr>
          </w:p>
          <w:p>
            <w:pPr>
              <w:pStyle w:val="TableParagraph"/>
              <w:spacing w:line="255" w:lineRule="exact"/>
              <w:ind w:right="63"/>
              <w:jc w:val="right"/>
              <w:rPr>
                <w:sz w:val="24"/>
              </w:rPr>
            </w:pPr>
            <w:r>
              <w:rPr>
                <w:sz w:val="24"/>
              </w:rPr>
              <w:t>N/A</w:t>
            </w:r>
          </w:p>
        </w:tc>
        <w:tc>
          <w:tcPr>
            <w:tcW w:w="1304" w:type="dxa"/>
          </w:tcPr>
          <w:p>
            <w:pPr>
              <w:pStyle w:val="TableParagraph"/>
              <w:spacing w:before="3"/>
              <w:rPr>
                <w:b/>
                <w:sz w:val="30"/>
              </w:rPr>
            </w:pPr>
          </w:p>
          <w:p>
            <w:pPr>
              <w:pStyle w:val="TableParagraph"/>
              <w:spacing w:line="255" w:lineRule="exact"/>
              <w:ind w:right="63"/>
              <w:jc w:val="right"/>
              <w:rPr>
                <w:sz w:val="24"/>
              </w:rPr>
            </w:pPr>
            <w:r>
              <w:rPr>
                <w:w w:val="99"/>
                <w:sz w:val="24"/>
              </w:rPr>
              <w:t>-</w:t>
            </w:r>
          </w:p>
        </w:tc>
      </w:tr>
      <w:tr>
        <w:trPr>
          <w:trHeight w:val="631" w:hRule="atLeast"/>
        </w:trPr>
        <w:tc>
          <w:tcPr>
            <w:tcW w:w="2268" w:type="dxa"/>
          </w:tcPr>
          <w:p>
            <w:pPr>
              <w:pStyle w:val="TableParagraph"/>
              <w:spacing w:line="270" w:lineRule="atLeast" w:before="80"/>
              <w:ind w:left="67" w:right="903"/>
              <w:rPr>
                <w:sz w:val="24"/>
              </w:rPr>
            </w:pPr>
            <w:r>
              <w:rPr>
                <w:sz w:val="24"/>
              </w:rPr>
              <w:t>Plantas medicinales</w:t>
            </w:r>
          </w:p>
        </w:tc>
        <w:tc>
          <w:tcPr>
            <w:tcW w:w="1561" w:type="dxa"/>
          </w:tcPr>
          <w:p>
            <w:pPr>
              <w:pStyle w:val="TableParagraph"/>
              <w:spacing w:before="11"/>
              <w:rPr>
                <w:b/>
                <w:sz w:val="30"/>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30"/>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30"/>
              </w:rPr>
            </w:pPr>
          </w:p>
          <w:p>
            <w:pPr>
              <w:pStyle w:val="TableParagraph"/>
              <w:spacing w:line="255" w:lineRule="exact"/>
              <w:ind w:right="63"/>
              <w:jc w:val="right"/>
              <w:rPr>
                <w:sz w:val="24"/>
              </w:rPr>
            </w:pPr>
            <w:r>
              <w:rPr>
                <w:sz w:val="24"/>
              </w:rPr>
              <w:t>N/A</w:t>
            </w:r>
          </w:p>
        </w:tc>
        <w:tc>
          <w:tcPr>
            <w:tcW w:w="1304" w:type="dxa"/>
          </w:tcPr>
          <w:p>
            <w:pPr>
              <w:pStyle w:val="TableParagraph"/>
              <w:spacing w:before="11"/>
              <w:rPr>
                <w:b/>
                <w:sz w:val="30"/>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before="2"/>
              <w:ind w:left="67" w:right="556"/>
              <w:rPr>
                <w:sz w:val="24"/>
              </w:rPr>
            </w:pPr>
            <w:r>
              <w:rPr>
                <w:sz w:val="24"/>
              </w:rPr>
              <w:t>Plásticos venta (artículos)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1,382.14</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276"/>
              <w:rPr>
                <w:sz w:val="24"/>
              </w:rPr>
            </w:pPr>
            <w:r>
              <w:rPr>
                <w:sz w:val="24"/>
              </w:rPr>
              <w:t>Polarizado de vidrios en general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2"/>
              <w:jc w:val="right"/>
              <w:rPr>
                <w:sz w:val="24"/>
              </w:rPr>
            </w:pPr>
            <w:r>
              <w:rPr>
                <w:sz w:val="24"/>
              </w:rPr>
              <w:t>N/A</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before="6"/>
              <w:rPr>
                <w:b/>
                <w:sz w:val="23"/>
              </w:rPr>
            </w:pPr>
          </w:p>
          <w:p>
            <w:pPr>
              <w:pStyle w:val="TableParagraph"/>
              <w:spacing w:line="255" w:lineRule="exact" w:before="1"/>
              <w:ind w:left="67"/>
              <w:rPr>
                <w:sz w:val="24"/>
              </w:rPr>
            </w:pPr>
            <w:r>
              <w:rPr>
                <w:sz w:val="24"/>
              </w:rPr>
              <w:t>Pollería</w:t>
            </w:r>
          </w:p>
        </w:tc>
        <w:tc>
          <w:tcPr>
            <w:tcW w:w="1561" w:type="dxa"/>
          </w:tcPr>
          <w:p>
            <w:pPr>
              <w:pStyle w:val="TableParagraph"/>
              <w:spacing w:before="6"/>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before="1"/>
              <w:ind w:right="62"/>
              <w:jc w:val="right"/>
              <w:rPr>
                <w:sz w:val="24"/>
              </w:rPr>
            </w:pPr>
            <w:r>
              <w:rPr>
                <w:sz w:val="24"/>
              </w:rPr>
              <w:t>154.46</w:t>
            </w:r>
          </w:p>
        </w:tc>
        <w:tc>
          <w:tcPr>
            <w:tcW w:w="1324" w:type="dxa"/>
          </w:tcPr>
          <w:p>
            <w:pPr>
              <w:pStyle w:val="TableParagraph"/>
              <w:rPr>
                <w:rFonts w:ascii="Times New Roman"/>
                <w:sz w:val="24"/>
              </w:rPr>
            </w:pPr>
          </w:p>
        </w:tc>
        <w:tc>
          <w:tcPr>
            <w:tcW w:w="1304" w:type="dxa"/>
          </w:tcPr>
          <w:p>
            <w:pPr>
              <w:pStyle w:val="TableParagraph"/>
              <w:spacing w:before="6"/>
              <w:rPr>
                <w:b/>
                <w:sz w:val="23"/>
              </w:rPr>
            </w:pPr>
          </w:p>
          <w:p>
            <w:pPr>
              <w:pStyle w:val="TableParagraph"/>
              <w:spacing w:line="255" w:lineRule="exact" w:before="1"/>
              <w:ind w:right="66"/>
              <w:jc w:val="right"/>
              <w:rPr>
                <w:sz w:val="24"/>
              </w:rPr>
            </w:pPr>
            <w:r>
              <w:rPr>
                <w:sz w:val="24"/>
              </w:rPr>
              <w:t>160.71</w:t>
            </w:r>
          </w:p>
        </w:tc>
      </w:tr>
      <w:tr>
        <w:trPr>
          <w:trHeight w:val="551" w:hRule="atLeast"/>
        </w:trPr>
        <w:tc>
          <w:tcPr>
            <w:tcW w:w="2268" w:type="dxa"/>
          </w:tcPr>
          <w:p>
            <w:pPr>
              <w:pStyle w:val="TableParagraph"/>
              <w:spacing w:line="270" w:lineRule="atLeast"/>
              <w:ind w:left="67" w:right="410"/>
              <w:rPr>
                <w:sz w:val="24"/>
              </w:rPr>
            </w:pPr>
            <w:r>
              <w:rPr>
                <w:sz w:val="24"/>
              </w:rPr>
              <w:t>Pollo rostizado y asados (chico)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Posadas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73760">
            <wp:simplePos x="0" y="0"/>
            <wp:positionH relativeFrom="page">
              <wp:posOffset>1252555</wp:posOffset>
            </wp:positionH>
            <wp:positionV relativeFrom="page">
              <wp:posOffset>2084831</wp:posOffset>
            </wp:positionV>
            <wp:extent cx="5026050" cy="5148262"/>
            <wp:effectExtent l="0" t="0" r="0" b="0"/>
            <wp:wrapNone/>
            <wp:docPr id="207" name="image95.png"/>
            <wp:cNvGraphicFramePr>
              <a:graphicFrameLocks noChangeAspect="1"/>
            </wp:cNvGraphicFramePr>
            <a:graphic>
              <a:graphicData uri="http://schemas.openxmlformats.org/drawingml/2006/picture">
                <pic:pic>
                  <pic:nvPicPr>
                    <pic:cNvPr id="208"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Pozolería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827" w:hRule="atLeast"/>
        </w:trPr>
        <w:tc>
          <w:tcPr>
            <w:tcW w:w="2268" w:type="dxa"/>
          </w:tcPr>
          <w:p>
            <w:pPr>
              <w:pStyle w:val="TableParagraph"/>
              <w:spacing w:line="270" w:lineRule="atLeast"/>
              <w:ind w:left="67" w:right="169"/>
              <w:rPr>
                <w:sz w:val="24"/>
              </w:rPr>
            </w:pPr>
            <w:r>
              <w:rPr>
                <w:sz w:val="24"/>
              </w:rPr>
              <w:t>Prestación de toda clase de servicio administrativo</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N/A</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rPr>
                <w:b/>
                <w:sz w:val="24"/>
              </w:rPr>
            </w:pPr>
          </w:p>
          <w:p>
            <w:pPr>
              <w:pStyle w:val="TableParagraph"/>
              <w:spacing w:line="255" w:lineRule="exact"/>
              <w:ind w:left="67"/>
              <w:rPr>
                <w:sz w:val="24"/>
              </w:rPr>
            </w:pPr>
            <w:r>
              <w:rPr>
                <w:sz w:val="24"/>
              </w:rPr>
              <w:t>Procesadora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827" w:hRule="atLeast"/>
        </w:trPr>
        <w:tc>
          <w:tcPr>
            <w:tcW w:w="2268" w:type="dxa"/>
          </w:tcPr>
          <w:p>
            <w:pPr>
              <w:pStyle w:val="TableParagraph"/>
              <w:spacing w:line="270" w:lineRule="atLeast"/>
              <w:ind w:left="67" w:right="663"/>
              <w:rPr>
                <w:sz w:val="24"/>
              </w:rPr>
            </w:pPr>
            <w:r>
              <w:rPr>
                <w:sz w:val="24"/>
              </w:rPr>
              <w:t>Prod. Para decoración de pasteles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1023"/>
              <w:rPr>
                <w:sz w:val="24"/>
              </w:rPr>
            </w:pPr>
            <w:r>
              <w:rPr>
                <w:sz w:val="24"/>
              </w:rPr>
              <w:t>Prod. Para estéticas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Prod. Químicos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53" w:hRule="atLeast"/>
        </w:trPr>
        <w:tc>
          <w:tcPr>
            <w:tcW w:w="2268" w:type="dxa"/>
          </w:tcPr>
          <w:p>
            <w:pPr>
              <w:pStyle w:val="TableParagraph"/>
              <w:spacing w:line="270" w:lineRule="atLeast" w:before="2"/>
              <w:ind w:left="67" w:right="436"/>
              <w:rPr>
                <w:sz w:val="24"/>
              </w:rPr>
            </w:pPr>
            <w:r>
              <w:rPr>
                <w:sz w:val="24"/>
              </w:rPr>
              <w:t>Producción de azúcar y alcohol</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933.93</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1,382.14</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2,018.65</w:t>
            </w:r>
          </w:p>
        </w:tc>
      </w:tr>
      <w:tr>
        <w:trPr>
          <w:trHeight w:val="551" w:hRule="atLeast"/>
        </w:trPr>
        <w:tc>
          <w:tcPr>
            <w:tcW w:w="2268" w:type="dxa"/>
          </w:tcPr>
          <w:p>
            <w:pPr>
              <w:pStyle w:val="TableParagraph"/>
              <w:rPr>
                <w:b/>
                <w:sz w:val="24"/>
              </w:rPr>
            </w:pPr>
          </w:p>
          <w:p>
            <w:pPr>
              <w:pStyle w:val="TableParagraph"/>
              <w:spacing w:line="256" w:lineRule="exact"/>
              <w:ind w:left="67"/>
              <w:rPr>
                <w:sz w:val="24"/>
              </w:rPr>
            </w:pPr>
            <w:r>
              <w:rPr>
                <w:sz w:val="24"/>
              </w:rPr>
              <w:t>Productos lácteos</w:t>
            </w:r>
          </w:p>
        </w:tc>
        <w:tc>
          <w:tcPr>
            <w:tcW w:w="1561" w:type="dxa"/>
          </w:tcPr>
          <w:p>
            <w:pPr>
              <w:pStyle w:val="TableParagraph"/>
              <w:rPr>
                <w:b/>
                <w:sz w:val="24"/>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6" w:lineRule="exact"/>
              <w:ind w:right="62"/>
              <w:jc w:val="right"/>
              <w:rPr>
                <w:sz w:val="24"/>
              </w:rPr>
            </w:pPr>
            <w:r>
              <w:rPr>
                <w:sz w:val="24"/>
              </w:rPr>
              <w:t>384.82</w:t>
            </w:r>
          </w:p>
        </w:tc>
        <w:tc>
          <w:tcPr>
            <w:tcW w:w="1324" w:type="dxa"/>
          </w:tcPr>
          <w:p>
            <w:pPr>
              <w:pStyle w:val="TableParagraph"/>
              <w:rPr>
                <w:b/>
                <w:sz w:val="24"/>
              </w:rPr>
            </w:pPr>
          </w:p>
          <w:p>
            <w:pPr>
              <w:pStyle w:val="TableParagraph"/>
              <w:spacing w:line="256" w:lineRule="exact"/>
              <w:ind w:right="63"/>
              <w:jc w:val="right"/>
              <w:rPr>
                <w:sz w:val="24"/>
              </w:rPr>
            </w:pPr>
            <w:r>
              <w:rPr>
                <w:sz w:val="24"/>
              </w:rPr>
              <w:t>183.93</w:t>
            </w:r>
          </w:p>
        </w:tc>
        <w:tc>
          <w:tcPr>
            <w:tcW w:w="1304" w:type="dxa"/>
          </w:tcPr>
          <w:p>
            <w:pPr>
              <w:pStyle w:val="TableParagraph"/>
              <w:rPr>
                <w:b/>
                <w:sz w:val="24"/>
              </w:rPr>
            </w:pPr>
          </w:p>
          <w:p>
            <w:pPr>
              <w:pStyle w:val="TableParagraph"/>
              <w:spacing w:line="256"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1090"/>
              <w:rPr>
                <w:sz w:val="24"/>
              </w:rPr>
            </w:pPr>
            <w:r>
              <w:rPr>
                <w:sz w:val="24"/>
              </w:rPr>
              <w:t>Productos naturales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903"/>
              <w:rPr>
                <w:sz w:val="24"/>
              </w:rPr>
            </w:pPr>
            <w:r>
              <w:rPr>
                <w:sz w:val="24"/>
              </w:rPr>
              <w:t>Pronósticos (deportivos)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764" w:hRule="atLeast"/>
        </w:trPr>
        <w:tc>
          <w:tcPr>
            <w:tcW w:w="2268" w:type="dxa"/>
          </w:tcPr>
          <w:p>
            <w:pPr>
              <w:pStyle w:val="TableParagraph"/>
              <w:rPr>
                <w:b/>
                <w:sz w:val="26"/>
              </w:rPr>
            </w:pPr>
          </w:p>
          <w:p>
            <w:pPr>
              <w:pStyle w:val="TableParagraph"/>
              <w:spacing w:line="255" w:lineRule="exact" w:before="190"/>
              <w:ind w:left="67"/>
              <w:rPr>
                <w:sz w:val="24"/>
              </w:rPr>
            </w:pPr>
            <w:r>
              <w:rPr>
                <w:sz w:val="24"/>
              </w:rPr>
              <w:t>Pulido y encerado</w:t>
            </w:r>
          </w:p>
        </w:tc>
        <w:tc>
          <w:tcPr>
            <w:tcW w:w="1561" w:type="dxa"/>
          </w:tcPr>
          <w:p>
            <w:pPr>
              <w:pStyle w:val="TableParagraph"/>
              <w:rPr>
                <w:b/>
                <w:sz w:val="26"/>
              </w:rPr>
            </w:pPr>
          </w:p>
          <w:p>
            <w:pPr>
              <w:pStyle w:val="TableParagraph"/>
              <w:spacing w:line="255" w:lineRule="exact" w:before="19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line="255" w:lineRule="exact" w:before="190"/>
              <w:ind w:right="62"/>
              <w:jc w:val="right"/>
              <w:rPr>
                <w:sz w:val="24"/>
              </w:rPr>
            </w:pPr>
            <w:r>
              <w:rPr>
                <w:sz w:val="24"/>
              </w:rPr>
              <w:t>384.82</w:t>
            </w:r>
          </w:p>
        </w:tc>
        <w:tc>
          <w:tcPr>
            <w:tcW w:w="1324" w:type="dxa"/>
          </w:tcPr>
          <w:p>
            <w:pPr>
              <w:pStyle w:val="TableParagraph"/>
              <w:rPr>
                <w:b/>
                <w:sz w:val="26"/>
              </w:rPr>
            </w:pPr>
          </w:p>
          <w:p>
            <w:pPr>
              <w:pStyle w:val="TableParagraph"/>
              <w:spacing w:line="255" w:lineRule="exact" w:before="190"/>
              <w:ind w:right="63"/>
              <w:jc w:val="right"/>
              <w:rPr>
                <w:sz w:val="24"/>
              </w:rPr>
            </w:pPr>
            <w:r>
              <w:rPr>
                <w:sz w:val="24"/>
              </w:rPr>
              <w:t>183.93</w:t>
            </w:r>
          </w:p>
        </w:tc>
        <w:tc>
          <w:tcPr>
            <w:tcW w:w="1304" w:type="dxa"/>
          </w:tcPr>
          <w:p>
            <w:pPr>
              <w:pStyle w:val="TableParagraph"/>
              <w:rPr>
                <w:b/>
                <w:sz w:val="26"/>
              </w:rPr>
            </w:pPr>
          </w:p>
          <w:p>
            <w:pPr>
              <w:pStyle w:val="TableParagraph"/>
              <w:spacing w:line="255" w:lineRule="exact" w:before="190"/>
              <w:ind w:right="63"/>
              <w:jc w:val="right"/>
              <w:rPr>
                <w:sz w:val="24"/>
              </w:rPr>
            </w:pPr>
            <w:r>
              <w:rPr>
                <w:w w:val="99"/>
                <w:sz w:val="24"/>
              </w:rPr>
              <w:t>-</w:t>
            </w:r>
          </w:p>
        </w:tc>
      </w:tr>
      <w:tr>
        <w:trPr>
          <w:trHeight w:val="628" w:hRule="atLeast"/>
        </w:trPr>
        <w:tc>
          <w:tcPr>
            <w:tcW w:w="2268" w:type="dxa"/>
          </w:tcPr>
          <w:p>
            <w:pPr>
              <w:pStyle w:val="TableParagraph"/>
              <w:spacing w:line="270" w:lineRule="atLeast" w:before="77"/>
              <w:ind w:left="67" w:right="556"/>
              <w:rPr>
                <w:sz w:val="24"/>
              </w:rPr>
            </w:pPr>
            <w:r>
              <w:rPr>
                <w:sz w:val="24"/>
              </w:rPr>
              <w:t>Purificadora de agua grandes</w:t>
            </w:r>
          </w:p>
        </w:tc>
        <w:tc>
          <w:tcPr>
            <w:tcW w:w="1561" w:type="dxa"/>
          </w:tcPr>
          <w:p>
            <w:pPr>
              <w:pStyle w:val="TableParagraph"/>
              <w:spacing w:before="8"/>
              <w:rPr>
                <w:b/>
                <w:sz w:val="30"/>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8"/>
              <w:rPr>
                <w:b/>
                <w:sz w:val="30"/>
              </w:rPr>
            </w:pPr>
          </w:p>
          <w:p>
            <w:pPr>
              <w:pStyle w:val="TableParagraph"/>
              <w:spacing w:line="255" w:lineRule="exact"/>
              <w:ind w:right="62"/>
              <w:jc w:val="right"/>
              <w:rPr>
                <w:sz w:val="24"/>
              </w:rPr>
            </w:pPr>
            <w:r>
              <w:rPr>
                <w:sz w:val="24"/>
              </w:rPr>
              <w:t>933.93</w:t>
            </w:r>
          </w:p>
        </w:tc>
        <w:tc>
          <w:tcPr>
            <w:tcW w:w="1324" w:type="dxa"/>
          </w:tcPr>
          <w:p>
            <w:pPr>
              <w:pStyle w:val="TableParagraph"/>
              <w:spacing w:before="8"/>
              <w:rPr>
                <w:b/>
                <w:sz w:val="30"/>
              </w:rPr>
            </w:pPr>
          </w:p>
          <w:p>
            <w:pPr>
              <w:pStyle w:val="TableParagraph"/>
              <w:spacing w:line="255" w:lineRule="exact"/>
              <w:ind w:right="63"/>
              <w:jc w:val="right"/>
              <w:rPr>
                <w:sz w:val="24"/>
              </w:rPr>
            </w:pPr>
            <w:r>
              <w:rPr>
                <w:sz w:val="24"/>
              </w:rPr>
              <w:t>367.86</w:t>
            </w:r>
          </w:p>
        </w:tc>
        <w:tc>
          <w:tcPr>
            <w:tcW w:w="1304" w:type="dxa"/>
          </w:tcPr>
          <w:p>
            <w:pPr>
              <w:pStyle w:val="TableParagraph"/>
              <w:spacing w:before="8"/>
              <w:rPr>
                <w:b/>
                <w:sz w:val="30"/>
              </w:rPr>
            </w:pPr>
          </w:p>
          <w:p>
            <w:pPr>
              <w:pStyle w:val="TableParagraph"/>
              <w:spacing w:line="255" w:lineRule="exact"/>
              <w:ind w:right="66"/>
              <w:jc w:val="right"/>
              <w:rPr>
                <w:sz w:val="24"/>
              </w:rPr>
            </w:pPr>
            <w:r>
              <w:rPr>
                <w:sz w:val="24"/>
              </w:rPr>
              <w:t>807.14</w:t>
            </w:r>
          </w:p>
        </w:tc>
      </w:tr>
      <w:tr>
        <w:trPr>
          <w:trHeight w:val="636" w:hRule="atLeast"/>
        </w:trPr>
        <w:tc>
          <w:tcPr>
            <w:tcW w:w="2268" w:type="dxa"/>
          </w:tcPr>
          <w:p>
            <w:pPr>
              <w:pStyle w:val="TableParagraph"/>
              <w:spacing w:line="270" w:lineRule="atLeast" w:before="86"/>
              <w:ind w:left="67" w:right="529"/>
              <w:rPr>
                <w:sz w:val="24"/>
              </w:rPr>
            </w:pPr>
            <w:r>
              <w:rPr>
                <w:sz w:val="24"/>
              </w:rPr>
              <w:t>Purificadora de agua medianas</w:t>
            </w:r>
          </w:p>
        </w:tc>
        <w:tc>
          <w:tcPr>
            <w:tcW w:w="1561" w:type="dxa"/>
          </w:tcPr>
          <w:p>
            <w:pPr>
              <w:pStyle w:val="TableParagraph"/>
              <w:spacing w:before="5"/>
              <w:rPr>
                <w:b/>
                <w:sz w:val="3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5"/>
              <w:rPr>
                <w:b/>
                <w:sz w:val="31"/>
              </w:rPr>
            </w:pPr>
          </w:p>
          <w:p>
            <w:pPr>
              <w:pStyle w:val="TableParagraph"/>
              <w:spacing w:line="255" w:lineRule="exact"/>
              <w:ind w:right="62"/>
              <w:jc w:val="right"/>
              <w:rPr>
                <w:sz w:val="24"/>
              </w:rPr>
            </w:pPr>
            <w:r>
              <w:rPr>
                <w:sz w:val="24"/>
              </w:rPr>
              <w:t>154.46</w:t>
            </w:r>
          </w:p>
        </w:tc>
        <w:tc>
          <w:tcPr>
            <w:tcW w:w="1324" w:type="dxa"/>
          </w:tcPr>
          <w:p>
            <w:pPr>
              <w:pStyle w:val="TableParagraph"/>
              <w:spacing w:before="5"/>
              <w:rPr>
                <w:b/>
                <w:sz w:val="31"/>
              </w:rPr>
            </w:pPr>
          </w:p>
          <w:p>
            <w:pPr>
              <w:pStyle w:val="TableParagraph"/>
              <w:spacing w:line="255" w:lineRule="exact"/>
              <w:ind w:right="63"/>
              <w:jc w:val="right"/>
              <w:rPr>
                <w:sz w:val="24"/>
              </w:rPr>
            </w:pPr>
            <w:r>
              <w:rPr>
                <w:sz w:val="24"/>
              </w:rPr>
              <w:t>183.93</w:t>
            </w:r>
          </w:p>
        </w:tc>
        <w:tc>
          <w:tcPr>
            <w:tcW w:w="1304" w:type="dxa"/>
          </w:tcPr>
          <w:p>
            <w:pPr>
              <w:pStyle w:val="TableParagraph"/>
              <w:spacing w:before="5"/>
              <w:rPr>
                <w:b/>
                <w:sz w:val="31"/>
              </w:rPr>
            </w:pPr>
          </w:p>
          <w:p>
            <w:pPr>
              <w:pStyle w:val="TableParagraph"/>
              <w:spacing w:line="255" w:lineRule="exact"/>
              <w:ind w:right="66"/>
              <w:jc w:val="right"/>
              <w:rPr>
                <w:sz w:val="24"/>
              </w:rPr>
            </w:pPr>
            <w:r>
              <w:rPr>
                <w:sz w:val="24"/>
              </w:rPr>
              <w:t>807.14</w:t>
            </w:r>
          </w:p>
        </w:tc>
      </w:tr>
      <w:tr>
        <w:trPr>
          <w:trHeight w:val="915" w:hRule="atLeast"/>
        </w:trPr>
        <w:tc>
          <w:tcPr>
            <w:tcW w:w="2268" w:type="dxa"/>
          </w:tcPr>
          <w:p>
            <w:pPr>
              <w:pStyle w:val="TableParagraph"/>
              <w:spacing w:line="270" w:lineRule="atLeast" w:before="89"/>
              <w:ind w:left="67" w:right="303"/>
              <w:rPr>
                <w:sz w:val="24"/>
              </w:rPr>
            </w:pPr>
            <w:r>
              <w:rPr>
                <w:sz w:val="24"/>
              </w:rPr>
              <w:t>Reciclado de cartón, chatarra y otros</w:t>
            </w:r>
          </w:p>
        </w:tc>
        <w:tc>
          <w:tcPr>
            <w:tcW w:w="1561" w:type="dxa"/>
          </w:tcPr>
          <w:p>
            <w:pPr>
              <w:pStyle w:val="TableParagraph"/>
              <w:rPr>
                <w:b/>
                <w:sz w:val="26"/>
              </w:rPr>
            </w:pPr>
          </w:p>
          <w:p>
            <w:pPr>
              <w:pStyle w:val="TableParagraph"/>
              <w:spacing w:before="8"/>
              <w:rPr>
                <w:b/>
                <w:sz w:val="29"/>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8"/>
              <w:rPr>
                <w:b/>
                <w:sz w:val="29"/>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spacing w:before="8"/>
              <w:rPr>
                <w:b/>
                <w:sz w:val="29"/>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8"/>
              <w:rPr>
                <w:b/>
                <w:sz w:val="29"/>
              </w:rPr>
            </w:pPr>
          </w:p>
          <w:p>
            <w:pPr>
              <w:pStyle w:val="TableParagraph"/>
              <w:spacing w:line="255" w:lineRule="exact"/>
              <w:ind w:right="66"/>
              <w:jc w:val="right"/>
              <w:rPr>
                <w:sz w:val="24"/>
              </w:rPr>
            </w:pPr>
            <w:r>
              <w:rPr>
                <w:sz w:val="24"/>
              </w:rPr>
              <w:t>322.32</w:t>
            </w:r>
          </w:p>
        </w:tc>
      </w:tr>
      <w:tr>
        <w:trPr>
          <w:trHeight w:val="926" w:hRule="atLeast"/>
        </w:trPr>
        <w:tc>
          <w:tcPr>
            <w:tcW w:w="2268" w:type="dxa"/>
          </w:tcPr>
          <w:p>
            <w:pPr>
              <w:pStyle w:val="TableParagraph"/>
              <w:spacing w:line="270" w:lineRule="atLeast" w:before="98"/>
              <w:ind w:left="67" w:right="143"/>
              <w:rPr>
                <w:sz w:val="24"/>
              </w:rPr>
            </w:pPr>
            <w:r>
              <w:rPr>
                <w:sz w:val="24"/>
              </w:rPr>
              <w:t>Reciclaje de desechos sólidos y residuos</w:t>
            </w:r>
          </w:p>
        </w:tc>
        <w:tc>
          <w:tcPr>
            <w:tcW w:w="1561" w:type="dxa"/>
          </w:tcPr>
          <w:p>
            <w:pPr>
              <w:pStyle w:val="TableParagraph"/>
              <w:rPr>
                <w:b/>
                <w:sz w:val="26"/>
              </w:rPr>
            </w:pPr>
          </w:p>
          <w:p>
            <w:pPr>
              <w:pStyle w:val="TableParagraph"/>
              <w:spacing w:before="6"/>
              <w:rPr>
                <w:b/>
                <w:sz w:val="30"/>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30"/>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spacing w:before="6"/>
              <w:rPr>
                <w:b/>
                <w:sz w:val="30"/>
              </w:rPr>
            </w:pPr>
          </w:p>
          <w:p>
            <w:pPr>
              <w:pStyle w:val="TableParagraph"/>
              <w:spacing w:line="255" w:lineRule="exact"/>
              <w:ind w:right="63"/>
              <w:jc w:val="right"/>
              <w:rPr>
                <w:sz w:val="24"/>
              </w:rPr>
            </w:pPr>
            <w:r>
              <w:rPr>
                <w:sz w:val="24"/>
              </w:rPr>
              <w:t>552.68</w:t>
            </w:r>
          </w:p>
        </w:tc>
        <w:tc>
          <w:tcPr>
            <w:tcW w:w="1304" w:type="dxa"/>
          </w:tcPr>
          <w:p>
            <w:pPr>
              <w:pStyle w:val="TableParagraph"/>
              <w:rPr>
                <w:b/>
                <w:sz w:val="26"/>
              </w:rPr>
            </w:pPr>
          </w:p>
          <w:p>
            <w:pPr>
              <w:pStyle w:val="TableParagraph"/>
              <w:spacing w:before="6"/>
              <w:rPr>
                <w:b/>
                <w:sz w:val="30"/>
              </w:rPr>
            </w:pPr>
          </w:p>
          <w:p>
            <w:pPr>
              <w:pStyle w:val="TableParagraph"/>
              <w:spacing w:line="255" w:lineRule="exact"/>
              <w:ind w:right="66"/>
              <w:jc w:val="right"/>
              <w:rPr>
                <w:sz w:val="24"/>
              </w:rPr>
            </w:pPr>
            <w:r>
              <w:rPr>
                <w:sz w:val="24"/>
              </w:rPr>
              <w:t>807.14</w:t>
            </w:r>
          </w:p>
        </w:tc>
      </w:tr>
      <w:tr>
        <w:trPr>
          <w:trHeight w:val="553" w:hRule="atLeast"/>
        </w:trPr>
        <w:tc>
          <w:tcPr>
            <w:tcW w:w="2268" w:type="dxa"/>
          </w:tcPr>
          <w:p>
            <w:pPr>
              <w:pStyle w:val="TableParagraph"/>
              <w:spacing w:line="270" w:lineRule="atLeast" w:before="2"/>
              <w:ind w:left="67" w:right="770"/>
              <w:rPr>
                <w:sz w:val="24"/>
              </w:rPr>
            </w:pPr>
            <w:r>
              <w:rPr>
                <w:sz w:val="24"/>
              </w:rPr>
              <w:t>Refacc. Automotrices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241.07</w:t>
            </w:r>
          </w:p>
        </w:tc>
      </w:tr>
      <w:tr>
        <w:trPr>
          <w:trHeight w:val="1104" w:hRule="atLeast"/>
        </w:trPr>
        <w:tc>
          <w:tcPr>
            <w:tcW w:w="2268" w:type="dxa"/>
          </w:tcPr>
          <w:p>
            <w:pPr>
              <w:pStyle w:val="TableParagraph"/>
              <w:ind w:left="67" w:right="276"/>
              <w:rPr>
                <w:sz w:val="24"/>
              </w:rPr>
            </w:pPr>
            <w:r>
              <w:rPr>
                <w:sz w:val="24"/>
              </w:rPr>
              <w:t>Refaccionaria en general (grandes) de 31 mts.2 en</w:t>
            </w:r>
          </w:p>
          <w:p>
            <w:pPr>
              <w:pStyle w:val="TableParagraph"/>
              <w:spacing w:line="255" w:lineRule="exact"/>
              <w:ind w:left="67"/>
              <w:rPr>
                <w:sz w:val="24"/>
              </w:rPr>
            </w:pPr>
            <w:r>
              <w:rPr>
                <w:sz w:val="24"/>
              </w:rPr>
              <w:t>adelante</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74784">
            <wp:simplePos x="0" y="0"/>
            <wp:positionH relativeFrom="page">
              <wp:posOffset>1252555</wp:posOffset>
            </wp:positionH>
            <wp:positionV relativeFrom="page">
              <wp:posOffset>2138172</wp:posOffset>
            </wp:positionV>
            <wp:extent cx="5021401" cy="5143500"/>
            <wp:effectExtent l="0" t="0" r="0" b="0"/>
            <wp:wrapNone/>
            <wp:docPr id="209" name="image94.png"/>
            <wp:cNvGraphicFramePr>
              <a:graphicFrameLocks noChangeAspect="1"/>
            </wp:cNvGraphicFramePr>
            <a:graphic>
              <a:graphicData uri="http://schemas.openxmlformats.org/drawingml/2006/picture">
                <pic:pic>
                  <pic:nvPicPr>
                    <pic:cNvPr id="210"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103"/>
              <w:rPr>
                <w:sz w:val="24"/>
              </w:rPr>
            </w:pPr>
            <w:r>
              <w:rPr>
                <w:sz w:val="24"/>
              </w:rPr>
              <w:t>Refaccionaria en general (medianas) de 1 a 30 mts.2</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516"/>
              <w:rPr>
                <w:sz w:val="24"/>
              </w:rPr>
            </w:pPr>
            <w:r>
              <w:rPr>
                <w:sz w:val="24"/>
              </w:rPr>
              <w:t>Refacciones de bicicletas (y reparación)</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w w:val="99"/>
                <w:sz w:val="24"/>
              </w:rPr>
              <w:t>-</w:t>
            </w:r>
          </w:p>
        </w:tc>
      </w:tr>
      <w:tr>
        <w:trPr>
          <w:trHeight w:val="829" w:hRule="atLeast"/>
        </w:trPr>
        <w:tc>
          <w:tcPr>
            <w:tcW w:w="2268" w:type="dxa"/>
          </w:tcPr>
          <w:p>
            <w:pPr>
              <w:pStyle w:val="TableParagraph"/>
              <w:spacing w:line="270" w:lineRule="atLeast" w:before="2"/>
              <w:ind w:left="67" w:right="200"/>
              <w:jc w:val="both"/>
              <w:rPr>
                <w:sz w:val="24"/>
              </w:rPr>
            </w:pPr>
            <w:r>
              <w:rPr>
                <w:sz w:val="24"/>
              </w:rPr>
              <w:t>Refacciones radio y tv. (y reparación) (grandes)</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199"/>
              <w:jc w:val="both"/>
              <w:rPr>
                <w:sz w:val="24"/>
              </w:rPr>
            </w:pPr>
            <w:r>
              <w:rPr>
                <w:sz w:val="24"/>
              </w:rPr>
              <w:t>Refacciones radio y tv. (y reparación) (medianas)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850"/>
              <w:rPr>
                <w:sz w:val="24"/>
              </w:rPr>
            </w:pPr>
            <w:r>
              <w:rPr>
                <w:sz w:val="24"/>
              </w:rPr>
              <w:t>Refacciones usadas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Refresquerías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828" w:hRule="atLeast"/>
        </w:trPr>
        <w:tc>
          <w:tcPr>
            <w:tcW w:w="2268" w:type="dxa"/>
          </w:tcPr>
          <w:p>
            <w:pPr>
              <w:pStyle w:val="TableParagraph"/>
              <w:spacing w:line="276" w:lineRule="exact" w:before="4"/>
              <w:ind w:left="67" w:right="103"/>
              <w:rPr>
                <w:sz w:val="24"/>
              </w:rPr>
            </w:pPr>
            <w:r>
              <w:rPr>
                <w:sz w:val="24"/>
              </w:rPr>
              <w:t>Remanufacturaccio n de cartuchos p/impresoras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47" w:hRule="atLeast"/>
        </w:trPr>
        <w:tc>
          <w:tcPr>
            <w:tcW w:w="2268" w:type="dxa"/>
          </w:tcPr>
          <w:p>
            <w:pPr>
              <w:pStyle w:val="TableParagraph"/>
              <w:spacing w:line="276" w:lineRule="exact"/>
              <w:ind w:left="67" w:right="543"/>
              <w:rPr>
                <w:sz w:val="24"/>
              </w:rPr>
            </w:pPr>
            <w:r>
              <w:rPr>
                <w:sz w:val="24"/>
              </w:rPr>
              <w:t>Renta de autos usados</w:t>
            </w:r>
          </w:p>
        </w:tc>
        <w:tc>
          <w:tcPr>
            <w:tcW w:w="1561" w:type="dxa"/>
          </w:tcPr>
          <w:p>
            <w:pPr>
              <w:pStyle w:val="TableParagraph"/>
              <w:spacing w:before="7"/>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before="1"/>
              <w:ind w:right="62"/>
              <w:jc w:val="right"/>
              <w:rPr>
                <w:sz w:val="24"/>
              </w:rPr>
            </w:pPr>
            <w:r>
              <w:rPr>
                <w:sz w:val="24"/>
              </w:rPr>
              <w:t>384.82</w:t>
            </w:r>
          </w:p>
        </w:tc>
        <w:tc>
          <w:tcPr>
            <w:tcW w:w="1324" w:type="dxa"/>
          </w:tcPr>
          <w:p>
            <w:pPr>
              <w:pStyle w:val="TableParagraph"/>
              <w:spacing w:before="7"/>
              <w:rPr>
                <w:b/>
                <w:sz w:val="23"/>
              </w:rPr>
            </w:pPr>
          </w:p>
          <w:p>
            <w:pPr>
              <w:pStyle w:val="TableParagraph"/>
              <w:spacing w:line="255" w:lineRule="exact" w:before="1"/>
              <w:ind w:right="63"/>
              <w:jc w:val="right"/>
              <w:rPr>
                <w:sz w:val="24"/>
              </w:rPr>
            </w:pPr>
            <w:r>
              <w:rPr>
                <w:sz w:val="24"/>
              </w:rPr>
              <w:t>367.86</w:t>
            </w:r>
          </w:p>
        </w:tc>
        <w:tc>
          <w:tcPr>
            <w:tcW w:w="1304" w:type="dxa"/>
          </w:tcPr>
          <w:p>
            <w:pPr>
              <w:pStyle w:val="TableParagraph"/>
              <w:spacing w:before="7"/>
              <w:rPr>
                <w:b/>
                <w:sz w:val="23"/>
              </w:rPr>
            </w:pPr>
          </w:p>
          <w:p>
            <w:pPr>
              <w:pStyle w:val="TableParagraph"/>
              <w:spacing w:line="255" w:lineRule="exact" w:before="1"/>
              <w:ind w:right="63"/>
              <w:jc w:val="right"/>
              <w:rPr>
                <w:sz w:val="24"/>
              </w:rPr>
            </w:pPr>
            <w:r>
              <w:rPr>
                <w:w w:val="99"/>
                <w:sz w:val="24"/>
              </w:rPr>
              <w:t>-</w:t>
            </w:r>
          </w:p>
        </w:tc>
      </w:tr>
      <w:tr>
        <w:trPr>
          <w:trHeight w:val="331" w:hRule="atLeast"/>
        </w:trPr>
        <w:tc>
          <w:tcPr>
            <w:tcW w:w="2268" w:type="dxa"/>
          </w:tcPr>
          <w:p>
            <w:pPr>
              <w:pStyle w:val="TableParagraph"/>
              <w:spacing w:line="255" w:lineRule="exact" w:before="56"/>
              <w:ind w:left="67"/>
              <w:rPr>
                <w:sz w:val="24"/>
              </w:rPr>
            </w:pPr>
            <w:r>
              <w:rPr>
                <w:sz w:val="24"/>
              </w:rPr>
              <w:t>Renta de madera</w:t>
            </w:r>
          </w:p>
        </w:tc>
        <w:tc>
          <w:tcPr>
            <w:tcW w:w="1561" w:type="dxa"/>
          </w:tcPr>
          <w:p>
            <w:pPr>
              <w:pStyle w:val="TableParagraph"/>
              <w:spacing w:line="255" w:lineRule="exact" w:before="56"/>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line="255" w:lineRule="exact" w:before="56"/>
              <w:ind w:right="62"/>
              <w:jc w:val="right"/>
              <w:rPr>
                <w:sz w:val="24"/>
              </w:rPr>
            </w:pPr>
            <w:r>
              <w:rPr>
                <w:sz w:val="24"/>
              </w:rPr>
              <w:t>384.82</w:t>
            </w:r>
          </w:p>
        </w:tc>
        <w:tc>
          <w:tcPr>
            <w:tcW w:w="1324" w:type="dxa"/>
          </w:tcPr>
          <w:p>
            <w:pPr>
              <w:pStyle w:val="TableParagraph"/>
              <w:spacing w:line="255" w:lineRule="exact" w:before="56"/>
              <w:ind w:right="63"/>
              <w:jc w:val="right"/>
              <w:rPr>
                <w:sz w:val="24"/>
              </w:rPr>
            </w:pPr>
            <w:r>
              <w:rPr>
                <w:sz w:val="24"/>
              </w:rPr>
              <w:t>367.86</w:t>
            </w:r>
          </w:p>
        </w:tc>
        <w:tc>
          <w:tcPr>
            <w:tcW w:w="1304" w:type="dxa"/>
          </w:tcPr>
          <w:p>
            <w:pPr>
              <w:pStyle w:val="TableParagraph"/>
              <w:spacing w:line="255" w:lineRule="exact" w:before="56"/>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56"/>
              <w:rPr>
                <w:sz w:val="24"/>
              </w:rPr>
            </w:pPr>
            <w:r>
              <w:rPr>
                <w:sz w:val="24"/>
              </w:rPr>
              <w:t>Renta de muebles, para fiesta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Renta de trajes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129"/>
              <w:rPr>
                <w:sz w:val="24"/>
              </w:rPr>
            </w:pPr>
            <w:r>
              <w:rPr>
                <w:sz w:val="24"/>
              </w:rPr>
              <w:t>Rep. Y mant. De equipo de cómputo (exclusivam.)</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8" w:hRule="atLeast"/>
        </w:trPr>
        <w:tc>
          <w:tcPr>
            <w:tcW w:w="2268" w:type="dxa"/>
          </w:tcPr>
          <w:p>
            <w:pPr>
              <w:pStyle w:val="TableParagraph"/>
              <w:spacing w:line="270" w:lineRule="atLeast"/>
              <w:ind w:left="67" w:right="415"/>
              <w:jc w:val="both"/>
              <w:rPr>
                <w:sz w:val="24"/>
              </w:rPr>
            </w:pPr>
            <w:r>
              <w:rPr>
                <w:sz w:val="24"/>
              </w:rPr>
              <w:t>Rep. Y mant. De maquinaria para tortillería</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930"/>
              <w:rPr>
                <w:sz w:val="24"/>
              </w:rPr>
            </w:pPr>
            <w:r>
              <w:rPr>
                <w:sz w:val="24"/>
              </w:rPr>
              <w:t>Reparación cámaras fotográficas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9" w:hRule="atLeast"/>
        </w:trPr>
        <w:tc>
          <w:tcPr>
            <w:tcW w:w="2268" w:type="dxa"/>
          </w:tcPr>
          <w:p>
            <w:pPr>
              <w:pStyle w:val="TableParagraph"/>
              <w:spacing w:line="270" w:lineRule="atLeast" w:before="2"/>
              <w:ind w:left="67" w:right="236"/>
              <w:rPr>
                <w:sz w:val="24"/>
              </w:rPr>
            </w:pPr>
            <w:r>
              <w:rPr>
                <w:sz w:val="24"/>
              </w:rPr>
              <w:t>Reparación de aparatos electrodomésticos</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w w:val="99"/>
                <w:sz w:val="24"/>
              </w:rPr>
              <w:t>-</w:t>
            </w:r>
          </w:p>
        </w:tc>
      </w:tr>
      <w:tr>
        <w:trPr>
          <w:trHeight w:val="1104" w:hRule="atLeast"/>
        </w:trPr>
        <w:tc>
          <w:tcPr>
            <w:tcW w:w="2268" w:type="dxa"/>
          </w:tcPr>
          <w:p>
            <w:pPr>
              <w:pStyle w:val="TableParagraph"/>
              <w:ind w:left="67" w:right="609"/>
              <w:rPr>
                <w:sz w:val="24"/>
              </w:rPr>
            </w:pPr>
            <w:r>
              <w:rPr>
                <w:sz w:val="24"/>
              </w:rPr>
              <w:t>Reparación de aparatos electrónicos y</w:t>
            </w:r>
          </w:p>
          <w:p>
            <w:pPr>
              <w:pStyle w:val="TableParagraph"/>
              <w:spacing w:line="255" w:lineRule="exact"/>
              <w:ind w:left="67"/>
              <w:rPr>
                <w:sz w:val="24"/>
              </w:rPr>
            </w:pPr>
            <w:r>
              <w:rPr>
                <w:sz w:val="24"/>
              </w:rPr>
              <w:t>electrodomésticos</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30"/>
              <w:ind w:right="61"/>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75808">
            <wp:simplePos x="0" y="0"/>
            <wp:positionH relativeFrom="page">
              <wp:posOffset>1252555</wp:posOffset>
            </wp:positionH>
            <wp:positionV relativeFrom="page">
              <wp:posOffset>2084831</wp:posOffset>
            </wp:positionV>
            <wp:extent cx="5026050" cy="5148262"/>
            <wp:effectExtent l="0" t="0" r="0" b="0"/>
            <wp:wrapNone/>
            <wp:docPr id="211" name="image95.png"/>
            <wp:cNvGraphicFramePr>
              <a:graphicFrameLocks noChangeAspect="1"/>
            </wp:cNvGraphicFramePr>
            <a:graphic>
              <a:graphicData uri="http://schemas.openxmlformats.org/drawingml/2006/picture">
                <pic:pic>
                  <pic:nvPicPr>
                    <pic:cNvPr id="212"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609"/>
              <w:rPr>
                <w:sz w:val="24"/>
              </w:rPr>
            </w:pPr>
            <w:r>
              <w:rPr>
                <w:sz w:val="24"/>
              </w:rPr>
              <w:t>Reparación de calzado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609"/>
              <w:rPr>
                <w:sz w:val="24"/>
              </w:rPr>
            </w:pPr>
            <w:r>
              <w:rPr>
                <w:sz w:val="24"/>
              </w:rPr>
              <w:t>Reparación de lonas y ventas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169"/>
              <w:rPr>
                <w:sz w:val="24"/>
              </w:rPr>
            </w:pPr>
            <w:r>
              <w:rPr>
                <w:sz w:val="24"/>
              </w:rPr>
              <w:t>Reparación de muebles de oficina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3" w:hRule="atLeast"/>
        </w:trPr>
        <w:tc>
          <w:tcPr>
            <w:tcW w:w="2268" w:type="dxa"/>
          </w:tcPr>
          <w:p>
            <w:pPr>
              <w:pStyle w:val="TableParagraph"/>
              <w:spacing w:line="276" w:lineRule="exact"/>
              <w:ind w:left="67" w:right="103"/>
              <w:rPr>
                <w:sz w:val="24"/>
              </w:rPr>
            </w:pPr>
            <w:r>
              <w:rPr>
                <w:sz w:val="24"/>
              </w:rPr>
              <w:t>Reparación y venta de aire acondicionado</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6"/>
              <w:jc w:val="right"/>
              <w:rPr>
                <w:sz w:val="24"/>
              </w:rPr>
            </w:pPr>
            <w:r>
              <w:rPr>
                <w:sz w:val="24"/>
              </w:rPr>
              <w:t>160.71</w:t>
            </w:r>
          </w:p>
        </w:tc>
      </w:tr>
      <w:tr>
        <w:trPr>
          <w:trHeight w:val="546" w:hRule="atLeast"/>
        </w:trPr>
        <w:tc>
          <w:tcPr>
            <w:tcW w:w="2268" w:type="dxa"/>
          </w:tcPr>
          <w:p>
            <w:pPr>
              <w:pStyle w:val="TableParagraph"/>
              <w:spacing w:line="271" w:lineRule="exact"/>
              <w:ind w:left="67"/>
              <w:rPr>
                <w:sz w:val="24"/>
              </w:rPr>
            </w:pPr>
            <w:r>
              <w:rPr>
                <w:sz w:val="24"/>
              </w:rPr>
              <w:t>Reparación, inst.</w:t>
            </w:r>
          </w:p>
          <w:p>
            <w:pPr>
              <w:pStyle w:val="TableParagraph"/>
              <w:spacing w:line="255" w:lineRule="exact"/>
              <w:ind w:left="67"/>
              <w:rPr>
                <w:sz w:val="24"/>
              </w:rPr>
            </w:pPr>
            <w:r>
              <w:rPr>
                <w:sz w:val="24"/>
              </w:rPr>
              <w:t>De art. De gas</w:t>
            </w:r>
          </w:p>
        </w:tc>
        <w:tc>
          <w:tcPr>
            <w:tcW w:w="1561" w:type="dxa"/>
          </w:tcPr>
          <w:p>
            <w:pPr>
              <w:pStyle w:val="TableParagraph"/>
              <w:spacing w:before="6"/>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before="1"/>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before="1"/>
              <w:ind w:right="63"/>
              <w:jc w:val="right"/>
              <w:rPr>
                <w:sz w:val="24"/>
              </w:rPr>
            </w:pPr>
            <w:r>
              <w:rPr>
                <w:sz w:val="24"/>
              </w:rPr>
              <w:t>183.93</w:t>
            </w:r>
          </w:p>
        </w:tc>
        <w:tc>
          <w:tcPr>
            <w:tcW w:w="1304" w:type="dxa"/>
          </w:tcPr>
          <w:p>
            <w:pPr>
              <w:pStyle w:val="TableParagraph"/>
              <w:spacing w:before="6"/>
              <w:rPr>
                <w:b/>
                <w:sz w:val="23"/>
              </w:rPr>
            </w:pPr>
          </w:p>
          <w:p>
            <w:pPr>
              <w:pStyle w:val="TableParagraph"/>
              <w:spacing w:line="255" w:lineRule="exact" w:before="1"/>
              <w:ind w:right="66"/>
              <w:jc w:val="right"/>
              <w:rPr>
                <w:sz w:val="24"/>
              </w:rPr>
            </w:pPr>
            <w:r>
              <w:rPr>
                <w:sz w:val="24"/>
              </w:rPr>
              <w:t>160.71</w:t>
            </w:r>
          </w:p>
        </w:tc>
      </w:tr>
      <w:tr>
        <w:trPr>
          <w:trHeight w:val="827" w:hRule="atLeast"/>
        </w:trPr>
        <w:tc>
          <w:tcPr>
            <w:tcW w:w="2268" w:type="dxa"/>
          </w:tcPr>
          <w:p>
            <w:pPr>
              <w:pStyle w:val="TableParagraph"/>
              <w:ind w:left="67" w:right="209"/>
              <w:rPr>
                <w:sz w:val="24"/>
              </w:rPr>
            </w:pPr>
            <w:r>
              <w:rPr>
                <w:sz w:val="24"/>
              </w:rPr>
              <w:t>Reparación, mant. De equip.</w:t>
            </w:r>
          </w:p>
          <w:p>
            <w:pPr>
              <w:pStyle w:val="TableParagraph"/>
              <w:spacing w:line="255" w:lineRule="exact"/>
              <w:ind w:left="67"/>
              <w:rPr>
                <w:sz w:val="24"/>
              </w:rPr>
            </w:pPr>
            <w:r>
              <w:rPr>
                <w:sz w:val="24"/>
              </w:rPr>
              <w:t>P/radiocom. Elect.</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160.71</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Repostería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5"/>
              <w:jc w:val="right"/>
              <w:rPr>
                <w:sz w:val="24"/>
              </w:rPr>
            </w:pPr>
            <w:r>
              <w:rPr>
                <w:sz w:val="24"/>
              </w:rPr>
              <w:t>160.71</w:t>
            </w:r>
          </w:p>
        </w:tc>
      </w:tr>
      <w:tr>
        <w:trPr>
          <w:trHeight w:val="1022" w:hRule="atLeast"/>
        </w:trPr>
        <w:tc>
          <w:tcPr>
            <w:tcW w:w="2268" w:type="dxa"/>
          </w:tcPr>
          <w:p>
            <w:pPr>
              <w:pStyle w:val="TableParagraph"/>
              <w:spacing w:before="194"/>
              <w:ind w:left="67"/>
              <w:rPr>
                <w:sz w:val="24"/>
              </w:rPr>
            </w:pPr>
            <w:r>
              <w:rPr>
                <w:sz w:val="24"/>
              </w:rPr>
              <w:t>Restaurant</w:t>
            </w:r>
          </w:p>
          <w:p>
            <w:pPr>
              <w:pStyle w:val="TableParagraph"/>
              <w:spacing w:line="270" w:lineRule="atLeast" w:before="1"/>
              <w:ind w:left="67" w:right="263"/>
              <w:rPr>
                <w:sz w:val="24"/>
              </w:rPr>
            </w:pPr>
            <w:r>
              <w:rPr>
                <w:sz w:val="24"/>
              </w:rPr>
              <w:t>(grande) de 31 mts.2 en adelante</w:t>
            </w:r>
          </w:p>
        </w:tc>
        <w:tc>
          <w:tcPr>
            <w:tcW w:w="1561" w:type="dxa"/>
          </w:tcPr>
          <w:p>
            <w:pPr>
              <w:pStyle w:val="TableParagraph"/>
              <w:rPr>
                <w:b/>
                <w:sz w:val="26"/>
              </w:rPr>
            </w:pPr>
          </w:p>
          <w:p>
            <w:pPr>
              <w:pStyle w:val="TableParagraph"/>
              <w:spacing w:before="11"/>
              <w:rPr>
                <w:b/>
                <w:sz w:val="38"/>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38"/>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spacing w:before="11"/>
              <w:rPr>
                <w:b/>
                <w:sz w:val="38"/>
              </w:rPr>
            </w:pPr>
          </w:p>
          <w:p>
            <w:pPr>
              <w:pStyle w:val="TableParagraph"/>
              <w:spacing w:line="255" w:lineRule="exact"/>
              <w:ind w:right="63"/>
              <w:jc w:val="right"/>
              <w:rPr>
                <w:sz w:val="24"/>
              </w:rPr>
            </w:pPr>
            <w:r>
              <w:rPr>
                <w:sz w:val="24"/>
              </w:rPr>
              <w:t>552.68</w:t>
            </w:r>
          </w:p>
        </w:tc>
        <w:tc>
          <w:tcPr>
            <w:tcW w:w="1304" w:type="dxa"/>
          </w:tcPr>
          <w:p>
            <w:pPr>
              <w:pStyle w:val="TableParagraph"/>
              <w:rPr>
                <w:b/>
                <w:sz w:val="26"/>
              </w:rPr>
            </w:pPr>
          </w:p>
          <w:p>
            <w:pPr>
              <w:pStyle w:val="TableParagraph"/>
              <w:spacing w:before="11"/>
              <w:rPr>
                <w:b/>
                <w:sz w:val="38"/>
              </w:rPr>
            </w:pPr>
          </w:p>
          <w:p>
            <w:pPr>
              <w:pStyle w:val="TableParagraph"/>
              <w:spacing w:line="255" w:lineRule="exact"/>
              <w:ind w:right="66"/>
              <w:jc w:val="right"/>
              <w:rPr>
                <w:sz w:val="24"/>
              </w:rPr>
            </w:pPr>
            <w:r>
              <w:rPr>
                <w:sz w:val="24"/>
              </w:rPr>
              <w:t>2,018.65</w:t>
            </w:r>
          </w:p>
        </w:tc>
      </w:tr>
      <w:tr>
        <w:trPr>
          <w:trHeight w:val="829" w:hRule="atLeast"/>
        </w:trPr>
        <w:tc>
          <w:tcPr>
            <w:tcW w:w="2268" w:type="dxa"/>
          </w:tcPr>
          <w:p>
            <w:pPr>
              <w:pStyle w:val="TableParagraph"/>
              <w:spacing w:line="270" w:lineRule="atLeast" w:before="2"/>
              <w:ind w:left="67" w:right="383"/>
              <w:rPr>
                <w:sz w:val="24"/>
              </w:rPr>
            </w:pPr>
            <w:r>
              <w:rPr>
                <w:sz w:val="24"/>
              </w:rPr>
              <w:t>Restaurantes (chico) de 1 a 30 mts.2</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6" w:lineRule="exact" w:before="4"/>
              <w:ind w:left="67" w:right="1064"/>
              <w:rPr>
                <w:sz w:val="24"/>
              </w:rPr>
            </w:pPr>
            <w:r>
              <w:rPr>
                <w:sz w:val="24"/>
              </w:rPr>
              <w:t>Revistas y periódicos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before="6"/>
              <w:rPr>
                <w:b/>
                <w:sz w:val="23"/>
              </w:rPr>
            </w:pPr>
          </w:p>
          <w:p>
            <w:pPr>
              <w:pStyle w:val="TableParagraph"/>
              <w:spacing w:line="255" w:lineRule="exact" w:before="1"/>
              <w:ind w:left="67"/>
              <w:rPr>
                <w:sz w:val="24"/>
              </w:rPr>
            </w:pPr>
            <w:r>
              <w:rPr>
                <w:sz w:val="24"/>
              </w:rPr>
              <w:t>Rockolas</w:t>
            </w:r>
          </w:p>
        </w:tc>
        <w:tc>
          <w:tcPr>
            <w:tcW w:w="1561" w:type="dxa"/>
          </w:tcPr>
          <w:p>
            <w:pPr>
              <w:pStyle w:val="TableParagraph"/>
              <w:spacing w:before="6"/>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before="1"/>
              <w:ind w:right="62"/>
              <w:jc w:val="right"/>
              <w:rPr>
                <w:sz w:val="24"/>
              </w:rPr>
            </w:pPr>
            <w:r>
              <w:rPr>
                <w:sz w:val="24"/>
              </w:rPr>
              <w:t>154.46</w:t>
            </w:r>
          </w:p>
        </w:tc>
        <w:tc>
          <w:tcPr>
            <w:tcW w:w="1324" w:type="dxa"/>
          </w:tcPr>
          <w:p>
            <w:pPr>
              <w:pStyle w:val="TableParagraph"/>
              <w:spacing w:before="6"/>
              <w:rPr>
                <w:b/>
                <w:sz w:val="23"/>
              </w:rPr>
            </w:pPr>
          </w:p>
          <w:p>
            <w:pPr>
              <w:pStyle w:val="TableParagraph"/>
              <w:spacing w:line="255" w:lineRule="exact" w:before="1"/>
              <w:ind w:right="63"/>
              <w:jc w:val="right"/>
              <w:rPr>
                <w:sz w:val="24"/>
              </w:rPr>
            </w:pPr>
            <w:r>
              <w:rPr>
                <w:sz w:val="24"/>
              </w:rPr>
              <w:t>183.93</w:t>
            </w:r>
          </w:p>
        </w:tc>
        <w:tc>
          <w:tcPr>
            <w:tcW w:w="1304" w:type="dxa"/>
          </w:tcPr>
          <w:p>
            <w:pPr>
              <w:pStyle w:val="TableParagraph"/>
              <w:spacing w:before="6"/>
              <w:rPr>
                <w:b/>
                <w:sz w:val="23"/>
              </w:rPr>
            </w:pPr>
          </w:p>
          <w:p>
            <w:pPr>
              <w:pStyle w:val="TableParagraph"/>
              <w:spacing w:line="255" w:lineRule="exact" w:before="1"/>
              <w:ind w:right="63"/>
              <w:jc w:val="right"/>
              <w:rPr>
                <w:sz w:val="24"/>
              </w:rPr>
            </w:pPr>
            <w:r>
              <w:rPr>
                <w:w w:val="99"/>
                <w:sz w:val="24"/>
              </w:rPr>
              <w:t>-</w:t>
            </w:r>
          </w:p>
        </w:tc>
      </w:tr>
      <w:tr>
        <w:trPr>
          <w:trHeight w:val="1025" w:hRule="atLeast"/>
        </w:trPr>
        <w:tc>
          <w:tcPr>
            <w:tcW w:w="2268" w:type="dxa"/>
          </w:tcPr>
          <w:p>
            <w:pPr>
              <w:pStyle w:val="TableParagraph"/>
              <w:spacing w:before="197"/>
              <w:ind w:left="67" w:right="383"/>
              <w:rPr>
                <w:sz w:val="24"/>
              </w:rPr>
            </w:pPr>
            <w:r>
              <w:rPr>
                <w:sz w:val="24"/>
              </w:rPr>
              <w:t>Ropa (venta) (chica) de 1 a 20</w:t>
            </w:r>
          </w:p>
          <w:p>
            <w:pPr>
              <w:pStyle w:val="TableParagraph"/>
              <w:spacing w:line="255" w:lineRule="exact"/>
              <w:ind w:left="67"/>
              <w:rPr>
                <w:sz w:val="24"/>
              </w:rPr>
            </w:pPr>
            <w:r>
              <w:rPr>
                <w:sz w:val="24"/>
              </w:rPr>
              <w:t>mts.2</w:t>
            </w:r>
          </w:p>
        </w:tc>
        <w:tc>
          <w:tcPr>
            <w:tcW w:w="1561" w:type="dxa"/>
          </w:tcPr>
          <w:p>
            <w:pPr>
              <w:pStyle w:val="TableParagraph"/>
              <w:rPr>
                <w:b/>
                <w:sz w:val="26"/>
              </w:rPr>
            </w:pPr>
          </w:p>
          <w:p>
            <w:pPr>
              <w:pStyle w:val="TableParagraph"/>
              <w:rPr>
                <w:b/>
                <w:sz w:val="26"/>
              </w:rPr>
            </w:pPr>
          </w:p>
          <w:p>
            <w:pPr>
              <w:pStyle w:val="TableParagraph"/>
              <w:spacing w:line="255" w:lineRule="exact" w:before="15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151"/>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151"/>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151"/>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76"/>
              <w:rPr>
                <w:sz w:val="24"/>
              </w:rPr>
            </w:pPr>
            <w:r>
              <w:rPr>
                <w:sz w:val="24"/>
              </w:rPr>
              <w:t>Ropa venta (grande) de 21 mts. En adelante</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223"/>
              <w:rPr>
                <w:sz w:val="24"/>
              </w:rPr>
            </w:pPr>
            <w:r>
              <w:rPr>
                <w:sz w:val="24"/>
              </w:rPr>
              <w:t>Sala de exhibición por c/u</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Salón de eventos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1,211.61</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Salón de fiestas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4" w:hRule="atLeast"/>
        </w:trPr>
        <w:tc>
          <w:tcPr>
            <w:tcW w:w="2268" w:type="dxa"/>
          </w:tcPr>
          <w:p>
            <w:pPr>
              <w:pStyle w:val="TableParagraph"/>
              <w:rPr>
                <w:b/>
                <w:sz w:val="24"/>
              </w:rPr>
            </w:pPr>
          </w:p>
          <w:p>
            <w:pPr>
              <w:pStyle w:val="TableParagraph"/>
              <w:spacing w:line="258" w:lineRule="exact"/>
              <w:ind w:left="67"/>
              <w:rPr>
                <w:sz w:val="24"/>
              </w:rPr>
            </w:pPr>
            <w:r>
              <w:rPr>
                <w:sz w:val="24"/>
              </w:rPr>
              <w:t>Sanatorio</w:t>
            </w:r>
          </w:p>
        </w:tc>
        <w:tc>
          <w:tcPr>
            <w:tcW w:w="1561" w:type="dxa"/>
          </w:tcPr>
          <w:p>
            <w:pPr>
              <w:pStyle w:val="TableParagraph"/>
              <w:rPr>
                <w:b/>
                <w:sz w:val="24"/>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8" w:lineRule="exact"/>
              <w:ind w:right="62"/>
              <w:jc w:val="right"/>
              <w:rPr>
                <w:sz w:val="24"/>
              </w:rPr>
            </w:pPr>
            <w:r>
              <w:rPr>
                <w:sz w:val="24"/>
              </w:rPr>
              <w:t>154.46</w:t>
            </w:r>
          </w:p>
        </w:tc>
        <w:tc>
          <w:tcPr>
            <w:tcW w:w="1324" w:type="dxa"/>
          </w:tcPr>
          <w:p>
            <w:pPr>
              <w:pStyle w:val="TableParagraph"/>
              <w:rPr>
                <w:b/>
                <w:sz w:val="24"/>
              </w:rPr>
            </w:pPr>
          </w:p>
          <w:p>
            <w:pPr>
              <w:pStyle w:val="TableParagraph"/>
              <w:spacing w:line="258" w:lineRule="exact"/>
              <w:ind w:right="63"/>
              <w:jc w:val="right"/>
              <w:rPr>
                <w:sz w:val="24"/>
              </w:rPr>
            </w:pPr>
            <w:r>
              <w:rPr>
                <w:sz w:val="24"/>
              </w:rPr>
              <w:t>1,382.14</w:t>
            </w:r>
          </w:p>
        </w:tc>
        <w:tc>
          <w:tcPr>
            <w:tcW w:w="1304" w:type="dxa"/>
          </w:tcPr>
          <w:p>
            <w:pPr>
              <w:pStyle w:val="TableParagraph"/>
              <w:rPr>
                <w:b/>
                <w:sz w:val="24"/>
              </w:rPr>
            </w:pPr>
          </w:p>
          <w:p>
            <w:pPr>
              <w:pStyle w:val="TableParagraph"/>
              <w:spacing w:line="258" w:lineRule="exact"/>
              <w:ind w:right="66"/>
              <w:jc w:val="right"/>
              <w:rPr>
                <w:sz w:val="24"/>
              </w:rPr>
            </w:pPr>
            <w:r>
              <w:rPr>
                <w:sz w:val="24"/>
              </w:rPr>
              <w:t>1,211.61</w:t>
            </w:r>
          </w:p>
        </w:tc>
      </w:tr>
    </w:tbl>
    <w:p>
      <w:pPr>
        <w:spacing w:after="0" w:line="258"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76832">
            <wp:simplePos x="0" y="0"/>
            <wp:positionH relativeFrom="page">
              <wp:posOffset>1252555</wp:posOffset>
            </wp:positionH>
            <wp:positionV relativeFrom="page">
              <wp:posOffset>2138172</wp:posOffset>
            </wp:positionV>
            <wp:extent cx="5021401" cy="5143500"/>
            <wp:effectExtent l="0" t="0" r="0" b="0"/>
            <wp:wrapNone/>
            <wp:docPr id="213" name="image94.png"/>
            <wp:cNvGraphicFramePr>
              <a:graphicFrameLocks noChangeAspect="1"/>
            </wp:cNvGraphicFramePr>
            <a:graphic>
              <a:graphicData uri="http://schemas.openxmlformats.org/drawingml/2006/picture">
                <pic:pic>
                  <pic:nvPicPr>
                    <pic:cNvPr id="214"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Sastrería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4" w:lineRule="exact" w:before="8"/>
              <w:ind w:left="67" w:right="623"/>
              <w:rPr>
                <w:sz w:val="24"/>
              </w:rPr>
            </w:pPr>
            <w:r>
              <w:rPr>
                <w:sz w:val="24"/>
              </w:rPr>
              <w:t>Semillas de cualquier impl.</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2"/>
              <w:ind w:left="67" w:right="63"/>
              <w:rPr>
                <w:sz w:val="24"/>
              </w:rPr>
            </w:pPr>
            <w:r>
              <w:rPr>
                <w:sz w:val="24"/>
              </w:rPr>
              <w:t>Serv. De protección y seguridad</w:t>
            </w:r>
          </w:p>
        </w:tc>
        <w:tc>
          <w:tcPr>
            <w:tcW w:w="1561" w:type="dxa"/>
          </w:tcPr>
          <w:p>
            <w:pPr>
              <w:pStyle w:val="TableParagraph"/>
              <w:spacing w:before="9"/>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before="1"/>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before="1"/>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before="1"/>
              <w:ind w:right="63"/>
              <w:jc w:val="right"/>
              <w:rPr>
                <w:sz w:val="24"/>
              </w:rPr>
            </w:pPr>
            <w:r>
              <w:rPr>
                <w:w w:val="99"/>
                <w:sz w:val="24"/>
              </w:rPr>
              <w:t>-</w:t>
            </w:r>
          </w:p>
        </w:tc>
      </w:tr>
      <w:tr>
        <w:trPr>
          <w:trHeight w:val="548" w:hRule="atLeast"/>
        </w:trPr>
        <w:tc>
          <w:tcPr>
            <w:tcW w:w="2268" w:type="dxa"/>
          </w:tcPr>
          <w:p>
            <w:pPr>
              <w:pStyle w:val="TableParagraph"/>
              <w:spacing w:line="276" w:lineRule="exact" w:before="1"/>
              <w:ind w:left="67" w:right="143"/>
              <w:rPr>
                <w:sz w:val="24"/>
              </w:rPr>
            </w:pPr>
            <w:r>
              <w:rPr>
                <w:sz w:val="24"/>
              </w:rPr>
              <w:t>Servicios de banca y crédito</w:t>
            </w:r>
          </w:p>
        </w:tc>
        <w:tc>
          <w:tcPr>
            <w:tcW w:w="1561" w:type="dxa"/>
          </w:tcPr>
          <w:p>
            <w:pPr>
              <w:pStyle w:val="TableParagraph"/>
              <w:spacing w:before="8"/>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8"/>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8"/>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8"/>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line="271" w:lineRule="exact"/>
              <w:ind w:left="67"/>
              <w:rPr>
                <w:sz w:val="24"/>
              </w:rPr>
            </w:pPr>
            <w:r>
              <w:rPr>
                <w:sz w:val="24"/>
              </w:rPr>
              <w:t>Servicios de</w:t>
            </w:r>
          </w:p>
          <w:p>
            <w:pPr>
              <w:pStyle w:val="TableParagraph"/>
              <w:spacing w:line="255" w:lineRule="exact"/>
              <w:ind w:left="67"/>
              <w:rPr>
                <w:sz w:val="24"/>
              </w:rPr>
            </w:pPr>
            <w:r>
              <w:rPr>
                <w:sz w:val="24"/>
              </w:rPr>
              <w:t>fumigación</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322.32</w:t>
            </w:r>
          </w:p>
        </w:tc>
      </w:tr>
      <w:tr>
        <w:trPr>
          <w:trHeight w:val="827" w:hRule="atLeast"/>
        </w:trPr>
        <w:tc>
          <w:tcPr>
            <w:tcW w:w="2268" w:type="dxa"/>
          </w:tcPr>
          <w:p>
            <w:pPr>
              <w:pStyle w:val="TableParagraph"/>
              <w:spacing w:line="270" w:lineRule="atLeast"/>
              <w:ind w:left="67" w:right="783"/>
              <w:rPr>
                <w:sz w:val="24"/>
              </w:rPr>
            </w:pPr>
            <w:r>
              <w:rPr>
                <w:sz w:val="24"/>
              </w:rPr>
              <w:t>Servicios de instalaciones eléctricas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827" w:hRule="atLeast"/>
        </w:trPr>
        <w:tc>
          <w:tcPr>
            <w:tcW w:w="2268" w:type="dxa"/>
          </w:tcPr>
          <w:p>
            <w:pPr>
              <w:pStyle w:val="TableParagraph"/>
              <w:spacing w:line="270" w:lineRule="atLeast"/>
              <w:ind w:left="67" w:right="863"/>
              <w:rPr>
                <w:sz w:val="24"/>
              </w:rPr>
            </w:pPr>
            <w:r>
              <w:rPr>
                <w:sz w:val="24"/>
              </w:rPr>
              <w:t>Servicios de plomería y similares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6" w:lineRule="exact" w:before="4"/>
              <w:ind w:left="67" w:right="863"/>
              <w:rPr>
                <w:sz w:val="24"/>
              </w:rPr>
            </w:pPr>
            <w:r>
              <w:rPr>
                <w:sz w:val="24"/>
              </w:rPr>
              <w:t>Servicios de rotulación</w:t>
            </w:r>
          </w:p>
        </w:tc>
        <w:tc>
          <w:tcPr>
            <w:tcW w:w="1561" w:type="dxa"/>
          </w:tcPr>
          <w:p>
            <w:pPr>
              <w:pStyle w:val="TableParagraph"/>
              <w:spacing w:before="11"/>
              <w:rPr>
                <w:b/>
                <w:sz w:val="23"/>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6"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6"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6" w:lineRule="exact"/>
              <w:ind w:right="63"/>
              <w:jc w:val="right"/>
              <w:rPr>
                <w:sz w:val="24"/>
              </w:rPr>
            </w:pPr>
            <w:r>
              <w:rPr>
                <w:w w:val="99"/>
                <w:sz w:val="24"/>
              </w:rPr>
              <w:t>-</w:t>
            </w:r>
          </w:p>
        </w:tc>
      </w:tr>
      <w:tr>
        <w:trPr>
          <w:trHeight w:val="549" w:hRule="atLeast"/>
        </w:trPr>
        <w:tc>
          <w:tcPr>
            <w:tcW w:w="2268" w:type="dxa"/>
          </w:tcPr>
          <w:p>
            <w:pPr>
              <w:pStyle w:val="TableParagraph"/>
              <w:spacing w:before="9"/>
              <w:rPr>
                <w:b/>
                <w:sz w:val="23"/>
              </w:rPr>
            </w:pPr>
          </w:p>
          <w:p>
            <w:pPr>
              <w:pStyle w:val="TableParagraph"/>
              <w:spacing w:line="255" w:lineRule="exact"/>
              <w:ind w:left="67"/>
              <w:rPr>
                <w:sz w:val="24"/>
              </w:rPr>
            </w:pPr>
            <w:r>
              <w:rPr>
                <w:sz w:val="24"/>
              </w:rPr>
              <w:t>Sombrerería</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143"/>
              <w:rPr>
                <w:sz w:val="24"/>
              </w:rPr>
            </w:pPr>
            <w:r>
              <w:rPr>
                <w:sz w:val="24"/>
              </w:rPr>
              <w:t>Supermercado/tien da de autoservicio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1"/>
              <w:jc w:val="right"/>
              <w:rPr>
                <w:sz w:val="24"/>
              </w:rPr>
            </w:pPr>
            <w:r>
              <w:rPr>
                <w:sz w:val="24"/>
              </w:rPr>
              <w:t>2,220.54</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551" w:hRule="atLeast"/>
        </w:trPr>
        <w:tc>
          <w:tcPr>
            <w:tcW w:w="2268" w:type="dxa"/>
          </w:tcPr>
          <w:p>
            <w:pPr>
              <w:pStyle w:val="TableParagraph"/>
              <w:spacing w:line="270" w:lineRule="atLeast"/>
              <w:ind w:left="67" w:right="837"/>
              <w:rPr>
                <w:sz w:val="24"/>
              </w:rPr>
            </w:pPr>
            <w:r>
              <w:rPr>
                <w:sz w:val="24"/>
              </w:rPr>
              <w:t>Tabaquería (producción)</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1,211.61</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Tabaquería (venta)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1051" w:hRule="atLeast"/>
        </w:trPr>
        <w:tc>
          <w:tcPr>
            <w:tcW w:w="2268" w:type="dxa"/>
          </w:tcPr>
          <w:p>
            <w:pPr>
              <w:pStyle w:val="TableParagraph"/>
              <w:spacing w:before="223"/>
              <w:ind w:left="67" w:right="623"/>
              <w:rPr>
                <w:sz w:val="24"/>
              </w:rPr>
            </w:pPr>
            <w:r>
              <w:rPr>
                <w:sz w:val="24"/>
              </w:rPr>
              <w:t>Talabarterías (reparación de</w:t>
            </w:r>
          </w:p>
          <w:p>
            <w:pPr>
              <w:pStyle w:val="TableParagraph"/>
              <w:spacing w:line="255" w:lineRule="exact" w:before="1"/>
              <w:ind w:left="67"/>
              <w:rPr>
                <w:sz w:val="24"/>
              </w:rPr>
            </w:pPr>
            <w:r>
              <w:rPr>
                <w:sz w:val="24"/>
              </w:rPr>
              <w:t>artículos de piel)</w:t>
            </w:r>
          </w:p>
        </w:tc>
        <w:tc>
          <w:tcPr>
            <w:tcW w:w="1561" w:type="dxa"/>
          </w:tcPr>
          <w:p>
            <w:pPr>
              <w:pStyle w:val="TableParagraph"/>
              <w:rPr>
                <w:b/>
                <w:sz w:val="26"/>
              </w:rPr>
            </w:pPr>
          </w:p>
          <w:p>
            <w:pPr>
              <w:pStyle w:val="TableParagraph"/>
              <w:rPr>
                <w:b/>
                <w:sz w:val="26"/>
              </w:rPr>
            </w:pPr>
          </w:p>
          <w:p>
            <w:pPr>
              <w:pStyle w:val="TableParagraph"/>
              <w:spacing w:line="255" w:lineRule="exact" w:before="178"/>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178"/>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178"/>
              <w:ind w:right="63"/>
              <w:jc w:val="right"/>
              <w:rPr>
                <w:sz w:val="24"/>
              </w:rPr>
            </w:pPr>
            <w:r>
              <w:rPr>
                <w:sz w:val="24"/>
              </w:rPr>
              <w:t>183.93</w:t>
            </w:r>
          </w:p>
        </w:tc>
        <w:tc>
          <w:tcPr>
            <w:tcW w:w="1304" w:type="dxa"/>
          </w:tcPr>
          <w:p>
            <w:pPr>
              <w:pStyle w:val="TableParagraph"/>
              <w:rPr>
                <w:b/>
                <w:sz w:val="26"/>
              </w:rPr>
            </w:pPr>
          </w:p>
          <w:p>
            <w:pPr>
              <w:pStyle w:val="TableParagraph"/>
              <w:rPr>
                <w:b/>
                <w:sz w:val="26"/>
              </w:rPr>
            </w:pPr>
          </w:p>
          <w:p>
            <w:pPr>
              <w:pStyle w:val="TableParagraph"/>
              <w:spacing w:line="255" w:lineRule="exact" w:before="178"/>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Taller de muelles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Taller auto eléctrico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503"/>
              <w:rPr>
                <w:sz w:val="24"/>
              </w:rPr>
            </w:pPr>
            <w:r>
              <w:rPr>
                <w:sz w:val="24"/>
              </w:rPr>
              <w:t>Taller de amortiguadores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Taller de bicicletas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Taller de bocinas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4" w:hRule="atLeast"/>
        </w:trPr>
        <w:tc>
          <w:tcPr>
            <w:tcW w:w="2268" w:type="dxa"/>
          </w:tcPr>
          <w:p>
            <w:pPr>
              <w:pStyle w:val="TableParagraph"/>
              <w:spacing w:line="274" w:lineRule="exact" w:before="8"/>
              <w:ind w:left="67" w:right="356"/>
              <w:rPr>
                <w:sz w:val="24"/>
              </w:rPr>
            </w:pPr>
            <w:r>
              <w:rPr>
                <w:sz w:val="24"/>
              </w:rPr>
              <w:t>Taller de clutch y balatas</w:t>
            </w:r>
          </w:p>
        </w:tc>
        <w:tc>
          <w:tcPr>
            <w:tcW w:w="1561" w:type="dxa"/>
          </w:tcPr>
          <w:p>
            <w:pPr>
              <w:pStyle w:val="TableParagraph"/>
              <w:rPr>
                <w:b/>
                <w:sz w:val="24"/>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8" w:lineRule="exact"/>
              <w:ind w:right="62"/>
              <w:jc w:val="right"/>
              <w:rPr>
                <w:sz w:val="24"/>
              </w:rPr>
            </w:pPr>
            <w:r>
              <w:rPr>
                <w:sz w:val="24"/>
              </w:rPr>
              <w:t>154.46</w:t>
            </w:r>
          </w:p>
        </w:tc>
        <w:tc>
          <w:tcPr>
            <w:tcW w:w="1324" w:type="dxa"/>
          </w:tcPr>
          <w:p>
            <w:pPr>
              <w:pStyle w:val="TableParagraph"/>
              <w:rPr>
                <w:b/>
                <w:sz w:val="24"/>
              </w:rPr>
            </w:pPr>
          </w:p>
          <w:p>
            <w:pPr>
              <w:pStyle w:val="TableParagraph"/>
              <w:spacing w:line="258" w:lineRule="exact"/>
              <w:ind w:right="63"/>
              <w:jc w:val="right"/>
              <w:rPr>
                <w:sz w:val="24"/>
              </w:rPr>
            </w:pPr>
            <w:r>
              <w:rPr>
                <w:sz w:val="24"/>
              </w:rPr>
              <w:t>367.86</w:t>
            </w:r>
          </w:p>
        </w:tc>
        <w:tc>
          <w:tcPr>
            <w:tcW w:w="1304" w:type="dxa"/>
          </w:tcPr>
          <w:p>
            <w:pPr>
              <w:pStyle w:val="TableParagraph"/>
              <w:rPr>
                <w:b/>
                <w:sz w:val="24"/>
              </w:rPr>
            </w:pPr>
          </w:p>
          <w:p>
            <w:pPr>
              <w:pStyle w:val="TableParagraph"/>
              <w:spacing w:line="258" w:lineRule="exact"/>
              <w:ind w:right="66"/>
              <w:jc w:val="right"/>
              <w:rPr>
                <w:sz w:val="24"/>
              </w:rPr>
            </w:pPr>
            <w:r>
              <w:rPr>
                <w:sz w:val="24"/>
              </w:rPr>
              <w:t>322.32</w:t>
            </w:r>
          </w:p>
        </w:tc>
      </w:tr>
    </w:tbl>
    <w:p>
      <w:pPr>
        <w:spacing w:after="0" w:line="258" w:lineRule="exact"/>
        <w:jc w:val="right"/>
        <w:rPr>
          <w:sz w:val="24"/>
        </w:rPr>
        <w:sectPr>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77856">
            <wp:simplePos x="0" y="0"/>
            <wp:positionH relativeFrom="page">
              <wp:posOffset>1252555</wp:posOffset>
            </wp:positionH>
            <wp:positionV relativeFrom="page">
              <wp:posOffset>2084831</wp:posOffset>
            </wp:positionV>
            <wp:extent cx="5026050" cy="5148262"/>
            <wp:effectExtent l="0" t="0" r="0" b="0"/>
            <wp:wrapNone/>
            <wp:docPr id="215" name="image95.png"/>
            <wp:cNvGraphicFramePr>
              <a:graphicFrameLocks noChangeAspect="1"/>
            </wp:cNvGraphicFramePr>
            <a:graphic>
              <a:graphicData uri="http://schemas.openxmlformats.org/drawingml/2006/picture">
                <pic:pic>
                  <pic:nvPicPr>
                    <pic:cNvPr id="216"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783"/>
              <w:rPr>
                <w:sz w:val="24"/>
              </w:rPr>
            </w:pPr>
            <w:r>
              <w:rPr>
                <w:sz w:val="24"/>
              </w:rPr>
              <w:t>Taller de compresoras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783"/>
              <w:rPr>
                <w:sz w:val="24"/>
              </w:rPr>
            </w:pPr>
            <w:r>
              <w:rPr>
                <w:sz w:val="24"/>
              </w:rPr>
              <w:t>Taller de compresores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160.71</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Taller de costura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160.71</w:t>
            </w:r>
          </w:p>
        </w:tc>
      </w:tr>
      <w:tr>
        <w:trPr>
          <w:trHeight w:val="552" w:hRule="atLeast"/>
        </w:trPr>
        <w:tc>
          <w:tcPr>
            <w:tcW w:w="2268" w:type="dxa"/>
          </w:tcPr>
          <w:p>
            <w:pPr>
              <w:pStyle w:val="TableParagraph"/>
              <w:spacing w:line="270" w:lineRule="atLeast" w:before="1"/>
              <w:ind w:left="67" w:right="849"/>
              <w:rPr>
                <w:sz w:val="24"/>
              </w:rPr>
            </w:pPr>
            <w:r>
              <w:rPr>
                <w:sz w:val="24"/>
              </w:rPr>
              <w:t>Taller de embobinado</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6"/>
              <w:jc w:val="right"/>
              <w:rPr>
                <w:sz w:val="24"/>
              </w:rPr>
            </w:pPr>
            <w:r>
              <w:rPr>
                <w:sz w:val="24"/>
              </w:rPr>
              <w:t>322.32</w:t>
            </w:r>
          </w:p>
        </w:tc>
      </w:tr>
      <w:tr>
        <w:trPr>
          <w:trHeight w:val="550" w:hRule="atLeast"/>
        </w:trPr>
        <w:tc>
          <w:tcPr>
            <w:tcW w:w="2268" w:type="dxa"/>
          </w:tcPr>
          <w:p>
            <w:pPr>
              <w:pStyle w:val="TableParagraph"/>
              <w:spacing w:line="276" w:lineRule="exact" w:before="4"/>
              <w:ind w:left="67" w:right="503"/>
              <w:rPr>
                <w:sz w:val="24"/>
              </w:rPr>
            </w:pPr>
            <w:r>
              <w:rPr>
                <w:sz w:val="24"/>
              </w:rPr>
              <w:t>Taller de frenos automotriz</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822" w:hRule="atLeast"/>
        </w:trPr>
        <w:tc>
          <w:tcPr>
            <w:tcW w:w="2268" w:type="dxa"/>
          </w:tcPr>
          <w:p>
            <w:pPr>
              <w:pStyle w:val="TableParagraph"/>
              <w:spacing w:line="271" w:lineRule="exact"/>
              <w:ind w:left="67"/>
              <w:rPr>
                <w:sz w:val="24"/>
              </w:rPr>
            </w:pPr>
            <w:r>
              <w:rPr>
                <w:sz w:val="24"/>
              </w:rPr>
              <w:t>Taller de</w:t>
            </w:r>
          </w:p>
          <w:p>
            <w:pPr>
              <w:pStyle w:val="TableParagraph"/>
              <w:spacing w:line="270" w:lineRule="atLeast"/>
              <w:ind w:left="67" w:right="703"/>
              <w:rPr>
                <w:sz w:val="24"/>
              </w:rPr>
            </w:pPr>
            <w:r>
              <w:rPr>
                <w:sz w:val="24"/>
              </w:rPr>
              <w:t>instalación de autoestéreos</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6"/>
              <w:jc w:val="right"/>
              <w:rPr>
                <w:sz w:val="24"/>
              </w:rPr>
            </w:pPr>
            <w:r>
              <w:rPr>
                <w:sz w:val="24"/>
              </w:rPr>
              <w:t>322.32</w:t>
            </w:r>
          </w:p>
        </w:tc>
      </w:tr>
      <w:tr>
        <w:trPr>
          <w:trHeight w:val="552" w:hRule="atLeast"/>
        </w:trPr>
        <w:tc>
          <w:tcPr>
            <w:tcW w:w="2268" w:type="dxa"/>
          </w:tcPr>
          <w:p>
            <w:pPr>
              <w:pStyle w:val="TableParagraph"/>
              <w:spacing w:line="270" w:lineRule="atLeast" w:before="2"/>
              <w:ind w:left="67" w:right="196"/>
              <w:rPr>
                <w:sz w:val="24"/>
              </w:rPr>
            </w:pPr>
            <w:r>
              <w:rPr>
                <w:sz w:val="24"/>
              </w:rPr>
              <w:t>Taller de laminado y pintura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Taller de lavadoras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spacing w:line="270" w:lineRule="atLeast"/>
              <w:ind w:left="67" w:right="277"/>
              <w:rPr>
                <w:sz w:val="24"/>
              </w:rPr>
            </w:pPr>
            <w:r>
              <w:rPr>
                <w:sz w:val="24"/>
              </w:rPr>
              <w:t>Taller de mofles y radiadores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837"/>
              <w:rPr>
                <w:sz w:val="24"/>
              </w:rPr>
            </w:pPr>
            <w:r>
              <w:rPr>
                <w:sz w:val="24"/>
              </w:rPr>
              <w:t>Taller de motocicletas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917"/>
              <w:rPr>
                <w:sz w:val="24"/>
              </w:rPr>
            </w:pPr>
            <w:r>
              <w:rPr>
                <w:sz w:val="24"/>
              </w:rPr>
              <w:t>Taller de motosierras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0" w:hRule="atLeast"/>
        </w:trPr>
        <w:tc>
          <w:tcPr>
            <w:tcW w:w="2268" w:type="dxa"/>
          </w:tcPr>
          <w:p>
            <w:pPr>
              <w:pStyle w:val="TableParagraph"/>
              <w:spacing w:line="276" w:lineRule="exact" w:before="4"/>
              <w:ind w:left="67" w:right="183"/>
              <w:rPr>
                <w:sz w:val="24"/>
              </w:rPr>
            </w:pPr>
            <w:r>
              <w:rPr>
                <w:sz w:val="24"/>
              </w:rPr>
              <w:t>Taller de puertas y ventanas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160.71</w:t>
            </w:r>
          </w:p>
        </w:tc>
      </w:tr>
      <w:tr>
        <w:trPr>
          <w:trHeight w:val="548" w:hRule="atLeast"/>
        </w:trPr>
        <w:tc>
          <w:tcPr>
            <w:tcW w:w="2268" w:type="dxa"/>
          </w:tcPr>
          <w:p>
            <w:pPr>
              <w:pStyle w:val="TableParagraph"/>
              <w:spacing w:line="276" w:lineRule="exact" w:before="2"/>
              <w:ind w:left="67" w:right="650"/>
              <w:rPr>
                <w:sz w:val="24"/>
              </w:rPr>
            </w:pPr>
            <w:r>
              <w:rPr>
                <w:sz w:val="24"/>
              </w:rPr>
              <w:t>Taller de rectificaciones</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ind w:right="66"/>
              <w:jc w:val="right"/>
              <w:rPr>
                <w:sz w:val="24"/>
              </w:rPr>
            </w:pPr>
            <w:r>
              <w:rPr>
                <w:sz w:val="24"/>
              </w:rPr>
              <w:t>322.32</w:t>
            </w:r>
          </w:p>
        </w:tc>
      </w:tr>
      <w:tr>
        <w:trPr>
          <w:trHeight w:val="546" w:hRule="atLeast"/>
        </w:trPr>
        <w:tc>
          <w:tcPr>
            <w:tcW w:w="2268" w:type="dxa"/>
          </w:tcPr>
          <w:p>
            <w:pPr>
              <w:pStyle w:val="TableParagraph"/>
              <w:spacing w:line="271" w:lineRule="exact"/>
              <w:ind w:left="67"/>
              <w:rPr>
                <w:sz w:val="24"/>
              </w:rPr>
            </w:pPr>
            <w:r>
              <w:rPr>
                <w:sz w:val="24"/>
              </w:rPr>
              <w:t>Taller de</w:t>
            </w:r>
          </w:p>
          <w:p>
            <w:pPr>
              <w:pStyle w:val="TableParagraph"/>
              <w:spacing w:line="255" w:lineRule="exact"/>
              <w:ind w:left="67"/>
              <w:rPr>
                <w:sz w:val="24"/>
              </w:rPr>
            </w:pPr>
            <w:r>
              <w:rPr>
                <w:sz w:val="24"/>
              </w:rPr>
              <w:t>refrigeración</w:t>
            </w:r>
          </w:p>
        </w:tc>
        <w:tc>
          <w:tcPr>
            <w:tcW w:w="1561" w:type="dxa"/>
          </w:tcPr>
          <w:p>
            <w:pPr>
              <w:pStyle w:val="TableParagraph"/>
              <w:spacing w:before="6"/>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6"/>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6"/>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6"/>
              <w:rPr>
                <w:b/>
                <w:sz w:val="23"/>
              </w:rPr>
            </w:pPr>
          </w:p>
          <w:p>
            <w:pPr>
              <w:pStyle w:val="TableParagraph"/>
              <w:spacing w:line="255" w:lineRule="exact"/>
              <w:ind w:right="66"/>
              <w:jc w:val="right"/>
              <w:rPr>
                <w:sz w:val="24"/>
              </w:rPr>
            </w:pPr>
            <w:r>
              <w:rPr>
                <w:sz w:val="24"/>
              </w:rPr>
              <w:t>322.32</w:t>
            </w:r>
          </w:p>
        </w:tc>
      </w:tr>
      <w:tr>
        <w:trPr>
          <w:trHeight w:val="552" w:hRule="atLeast"/>
        </w:trPr>
        <w:tc>
          <w:tcPr>
            <w:tcW w:w="2268" w:type="dxa"/>
          </w:tcPr>
          <w:p>
            <w:pPr>
              <w:pStyle w:val="TableParagraph"/>
              <w:spacing w:line="270" w:lineRule="atLeast" w:before="1"/>
              <w:ind w:left="67" w:right="383"/>
              <w:rPr>
                <w:sz w:val="24"/>
              </w:rPr>
            </w:pPr>
            <w:r>
              <w:rPr>
                <w:sz w:val="24"/>
              </w:rPr>
              <w:t>Taller de rep. De copiadoras y fax</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6"/>
              <w:jc w:val="right"/>
              <w:rPr>
                <w:sz w:val="24"/>
              </w:rPr>
            </w:pPr>
            <w:r>
              <w:rPr>
                <w:sz w:val="24"/>
              </w:rPr>
              <w:t>322.32</w:t>
            </w:r>
          </w:p>
        </w:tc>
      </w:tr>
      <w:tr>
        <w:trPr>
          <w:trHeight w:val="826" w:hRule="atLeast"/>
        </w:trPr>
        <w:tc>
          <w:tcPr>
            <w:tcW w:w="2268" w:type="dxa"/>
          </w:tcPr>
          <w:p>
            <w:pPr>
              <w:pStyle w:val="TableParagraph"/>
              <w:spacing w:line="276" w:lineRule="exact" w:before="4"/>
              <w:ind w:left="67" w:right="703"/>
              <w:rPr>
                <w:sz w:val="24"/>
              </w:rPr>
            </w:pPr>
            <w:r>
              <w:rPr>
                <w:sz w:val="24"/>
              </w:rPr>
              <w:t>Taller de reparación de alhajas</w:t>
            </w:r>
          </w:p>
        </w:tc>
        <w:tc>
          <w:tcPr>
            <w:tcW w:w="1561"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21"/>
              </w:rPr>
            </w:pPr>
          </w:p>
          <w:p>
            <w:pPr>
              <w:pStyle w:val="TableParagraph"/>
              <w:spacing w:line="255" w:lineRule="exact"/>
              <w:ind w:right="60"/>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5" w:lineRule="exact"/>
              <w:ind w:right="63"/>
              <w:jc w:val="right"/>
              <w:rPr>
                <w:sz w:val="24"/>
              </w:rPr>
            </w:pPr>
            <w:r>
              <w:rPr>
                <w:sz w:val="24"/>
              </w:rPr>
              <w:t>183.93</w:t>
            </w:r>
          </w:p>
        </w:tc>
        <w:tc>
          <w:tcPr>
            <w:tcW w:w="1304" w:type="dxa"/>
          </w:tcPr>
          <w:p>
            <w:pPr>
              <w:pStyle w:val="TableParagraph"/>
              <w:rPr>
                <w:rFonts w:ascii="Times New Roman"/>
                <w:sz w:val="24"/>
              </w:rPr>
            </w:pPr>
          </w:p>
        </w:tc>
      </w:tr>
      <w:tr>
        <w:trPr>
          <w:trHeight w:val="822" w:hRule="atLeast"/>
        </w:trPr>
        <w:tc>
          <w:tcPr>
            <w:tcW w:w="2268" w:type="dxa"/>
          </w:tcPr>
          <w:p>
            <w:pPr>
              <w:pStyle w:val="TableParagraph"/>
              <w:ind w:left="67" w:right="303"/>
              <w:rPr>
                <w:sz w:val="24"/>
              </w:rPr>
            </w:pPr>
            <w:r>
              <w:rPr>
                <w:sz w:val="24"/>
              </w:rPr>
              <w:t>Taller de reparación de</w:t>
            </w:r>
            <w:r>
              <w:rPr>
                <w:spacing w:val="-1"/>
                <w:sz w:val="24"/>
              </w:rPr>
              <w:t> </w:t>
            </w:r>
            <w:r>
              <w:rPr>
                <w:spacing w:val="-4"/>
                <w:sz w:val="24"/>
              </w:rPr>
              <w:t>art.</w:t>
            </w:r>
          </w:p>
          <w:p>
            <w:pPr>
              <w:pStyle w:val="TableParagraph"/>
              <w:spacing w:line="255" w:lineRule="exact"/>
              <w:ind w:left="67"/>
              <w:rPr>
                <w:sz w:val="24"/>
              </w:rPr>
            </w:pPr>
            <w:r>
              <w:rPr>
                <w:sz w:val="24"/>
              </w:rPr>
              <w:t>De fibra (de</w:t>
            </w:r>
            <w:r>
              <w:rPr>
                <w:spacing w:val="-5"/>
                <w:sz w:val="24"/>
              </w:rPr>
              <w:t> </w:t>
            </w:r>
            <w:r>
              <w:rPr>
                <w:sz w:val="24"/>
              </w:rPr>
              <w:t>vidrio)</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6"/>
              <w:jc w:val="right"/>
              <w:rPr>
                <w:sz w:val="24"/>
              </w:rPr>
            </w:pPr>
            <w:r>
              <w:rPr>
                <w:sz w:val="24"/>
              </w:rPr>
              <w:t>322.32</w:t>
            </w:r>
          </w:p>
        </w:tc>
      </w:tr>
      <w:tr>
        <w:trPr>
          <w:trHeight w:val="827" w:hRule="atLeast"/>
        </w:trPr>
        <w:tc>
          <w:tcPr>
            <w:tcW w:w="2268" w:type="dxa"/>
          </w:tcPr>
          <w:p>
            <w:pPr>
              <w:pStyle w:val="TableParagraph"/>
              <w:spacing w:line="270" w:lineRule="atLeast"/>
              <w:ind w:left="67" w:right="703"/>
              <w:rPr>
                <w:sz w:val="24"/>
              </w:rPr>
            </w:pPr>
            <w:r>
              <w:rPr>
                <w:sz w:val="24"/>
              </w:rPr>
              <w:t>Taller de reparación de bombas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554" w:hRule="atLeast"/>
        </w:trPr>
        <w:tc>
          <w:tcPr>
            <w:tcW w:w="2268" w:type="dxa"/>
          </w:tcPr>
          <w:p>
            <w:pPr>
              <w:pStyle w:val="TableParagraph"/>
              <w:rPr>
                <w:b/>
                <w:sz w:val="24"/>
              </w:rPr>
            </w:pPr>
          </w:p>
          <w:p>
            <w:pPr>
              <w:pStyle w:val="TableParagraph"/>
              <w:spacing w:line="258" w:lineRule="exact"/>
              <w:ind w:left="67"/>
              <w:rPr>
                <w:sz w:val="24"/>
              </w:rPr>
            </w:pPr>
            <w:r>
              <w:rPr>
                <w:sz w:val="24"/>
              </w:rPr>
              <w:t>Taller de serigrafía</w:t>
            </w:r>
          </w:p>
        </w:tc>
        <w:tc>
          <w:tcPr>
            <w:tcW w:w="1561" w:type="dxa"/>
          </w:tcPr>
          <w:p>
            <w:pPr>
              <w:pStyle w:val="TableParagraph"/>
              <w:rPr>
                <w:b/>
                <w:sz w:val="24"/>
              </w:rPr>
            </w:pPr>
          </w:p>
          <w:p>
            <w:pPr>
              <w:pStyle w:val="TableParagraph"/>
              <w:spacing w:line="258"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8" w:lineRule="exact"/>
              <w:ind w:right="62"/>
              <w:jc w:val="right"/>
              <w:rPr>
                <w:sz w:val="24"/>
              </w:rPr>
            </w:pPr>
            <w:r>
              <w:rPr>
                <w:sz w:val="24"/>
              </w:rPr>
              <w:t>384.82</w:t>
            </w:r>
          </w:p>
        </w:tc>
        <w:tc>
          <w:tcPr>
            <w:tcW w:w="1324" w:type="dxa"/>
          </w:tcPr>
          <w:p>
            <w:pPr>
              <w:pStyle w:val="TableParagraph"/>
              <w:rPr>
                <w:b/>
                <w:sz w:val="24"/>
              </w:rPr>
            </w:pPr>
          </w:p>
          <w:p>
            <w:pPr>
              <w:pStyle w:val="TableParagraph"/>
              <w:spacing w:line="258" w:lineRule="exact"/>
              <w:ind w:right="63"/>
              <w:jc w:val="right"/>
              <w:rPr>
                <w:sz w:val="24"/>
              </w:rPr>
            </w:pPr>
            <w:r>
              <w:rPr>
                <w:sz w:val="24"/>
              </w:rPr>
              <w:t>183.93</w:t>
            </w:r>
          </w:p>
        </w:tc>
        <w:tc>
          <w:tcPr>
            <w:tcW w:w="1304" w:type="dxa"/>
          </w:tcPr>
          <w:p>
            <w:pPr>
              <w:pStyle w:val="TableParagraph"/>
              <w:rPr>
                <w:b/>
                <w:sz w:val="24"/>
              </w:rPr>
            </w:pPr>
          </w:p>
          <w:p>
            <w:pPr>
              <w:pStyle w:val="TableParagraph"/>
              <w:spacing w:line="258" w:lineRule="exact"/>
              <w:ind w:right="66"/>
              <w:jc w:val="right"/>
              <w:rPr>
                <w:sz w:val="24"/>
              </w:rPr>
            </w:pPr>
            <w:r>
              <w:rPr>
                <w:sz w:val="24"/>
              </w:rPr>
              <w:t>160.71</w:t>
            </w:r>
          </w:p>
        </w:tc>
      </w:tr>
    </w:tbl>
    <w:p>
      <w:pPr>
        <w:spacing w:after="0" w:line="258"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78880">
            <wp:simplePos x="0" y="0"/>
            <wp:positionH relativeFrom="page">
              <wp:posOffset>1252555</wp:posOffset>
            </wp:positionH>
            <wp:positionV relativeFrom="page">
              <wp:posOffset>2138172</wp:posOffset>
            </wp:positionV>
            <wp:extent cx="5021401" cy="5143500"/>
            <wp:effectExtent l="0" t="0" r="0" b="0"/>
            <wp:wrapNone/>
            <wp:docPr id="217" name="image94.png"/>
            <wp:cNvGraphicFramePr>
              <a:graphicFrameLocks noChangeAspect="1"/>
            </wp:cNvGraphicFramePr>
            <a:graphic>
              <a:graphicData uri="http://schemas.openxmlformats.org/drawingml/2006/picture">
                <pic:pic>
                  <pic:nvPicPr>
                    <pic:cNvPr id="218"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116"/>
              <w:rPr>
                <w:sz w:val="24"/>
              </w:rPr>
            </w:pPr>
            <w:r>
              <w:rPr>
                <w:sz w:val="24"/>
              </w:rPr>
              <w:t>Taller de soldadura y torno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4" w:lineRule="exact" w:before="8"/>
              <w:ind w:left="67" w:right="276"/>
              <w:rPr>
                <w:sz w:val="24"/>
              </w:rPr>
            </w:pPr>
            <w:r>
              <w:rPr>
                <w:sz w:val="24"/>
              </w:rPr>
              <w:t>Taller de velas de cera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241.07</w:t>
            </w:r>
          </w:p>
        </w:tc>
      </w:tr>
      <w:tr>
        <w:trPr>
          <w:trHeight w:val="549" w:hRule="atLeast"/>
        </w:trPr>
        <w:tc>
          <w:tcPr>
            <w:tcW w:w="2268" w:type="dxa"/>
          </w:tcPr>
          <w:p>
            <w:pPr>
              <w:pStyle w:val="TableParagraph"/>
              <w:spacing w:before="9"/>
              <w:rPr>
                <w:b/>
                <w:sz w:val="23"/>
              </w:rPr>
            </w:pPr>
          </w:p>
          <w:p>
            <w:pPr>
              <w:pStyle w:val="TableParagraph"/>
              <w:spacing w:line="255" w:lineRule="exact"/>
              <w:ind w:left="67"/>
              <w:rPr>
                <w:sz w:val="24"/>
              </w:rPr>
            </w:pPr>
            <w:r>
              <w:rPr>
                <w:sz w:val="24"/>
              </w:rPr>
              <w:t>Taller dental</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ind w:right="66"/>
              <w:jc w:val="right"/>
              <w:rPr>
                <w:sz w:val="24"/>
              </w:rPr>
            </w:pPr>
            <w:r>
              <w:rPr>
                <w:sz w:val="24"/>
              </w:rPr>
              <w:t>322.32</w:t>
            </w:r>
          </w:p>
        </w:tc>
      </w:tr>
      <w:tr>
        <w:trPr>
          <w:trHeight w:val="552" w:hRule="atLeast"/>
        </w:trPr>
        <w:tc>
          <w:tcPr>
            <w:tcW w:w="2268" w:type="dxa"/>
          </w:tcPr>
          <w:p>
            <w:pPr>
              <w:pStyle w:val="TableParagraph"/>
              <w:spacing w:line="270" w:lineRule="atLeast" w:before="1"/>
              <w:ind w:left="67" w:right="143"/>
              <w:rPr>
                <w:sz w:val="24"/>
              </w:rPr>
            </w:pPr>
            <w:r>
              <w:rPr>
                <w:sz w:val="24"/>
              </w:rPr>
              <w:t>Taller mecánico en general</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154.46</w:t>
            </w:r>
          </w:p>
        </w:tc>
        <w:tc>
          <w:tcPr>
            <w:tcW w:w="1324" w:type="dxa"/>
          </w:tcPr>
          <w:p>
            <w:pPr>
              <w:pStyle w:val="TableParagraph"/>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477"/>
              <w:rPr>
                <w:sz w:val="24"/>
              </w:rPr>
            </w:pPr>
            <w:r>
              <w:rPr>
                <w:sz w:val="24"/>
              </w:rPr>
              <w:t>Taller mecánico industrial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1"/>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1098" w:hRule="atLeast"/>
        </w:trPr>
        <w:tc>
          <w:tcPr>
            <w:tcW w:w="2268" w:type="dxa"/>
          </w:tcPr>
          <w:p>
            <w:pPr>
              <w:pStyle w:val="TableParagraph"/>
              <w:ind w:left="67" w:right="530"/>
              <w:rPr>
                <w:sz w:val="24"/>
              </w:rPr>
            </w:pPr>
            <w:r>
              <w:rPr>
                <w:sz w:val="24"/>
              </w:rPr>
              <w:t>Taller o fab. De uniformes escolares y</w:t>
            </w:r>
          </w:p>
          <w:p>
            <w:pPr>
              <w:pStyle w:val="TableParagraph"/>
              <w:spacing w:line="255" w:lineRule="exact"/>
              <w:ind w:left="67"/>
              <w:rPr>
                <w:sz w:val="24"/>
              </w:rPr>
            </w:pPr>
            <w:r>
              <w:rPr>
                <w:sz w:val="24"/>
              </w:rPr>
              <w:t>deportivos</w:t>
            </w:r>
          </w:p>
        </w:tc>
        <w:tc>
          <w:tcPr>
            <w:tcW w:w="1561" w:type="dxa"/>
          </w:tcPr>
          <w:p>
            <w:pPr>
              <w:pStyle w:val="TableParagraph"/>
              <w:rPr>
                <w:b/>
                <w:sz w:val="26"/>
              </w:rPr>
            </w:pPr>
          </w:p>
          <w:p>
            <w:pPr>
              <w:pStyle w:val="TableParagraph"/>
              <w:rPr>
                <w:b/>
                <w:sz w:val="26"/>
              </w:rPr>
            </w:pPr>
          </w:p>
          <w:p>
            <w:pPr>
              <w:pStyle w:val="TableParagraph"/>
              <w:spacing w:line="255" w:lineRule="exact" w:before="225"/>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6"/>
              </w:rPr>
            </w:pPr>
          </w:p>
          <w:p>
            <w:pPr>
              <w:pStyle w:val="TableParagraph"/>
              <w:spacing w:line="255" w:lineRule="exact" w:before="225"/>
              <w:ind w:right="62"/>
              <w:jc w:val="right"/>
              <w:rPr>
                <w:sz w:val="24"/>
              </w:rPr>
            </w:pPr>
            <w:r>
              <w:rPr>
                <w:sz w:val="24"/>
              </w:rPr>
              <w:t>384.82</w:t>
            </w:r>
          </w:p>
        </w:tc>
        <w:tc>
          <w:tcPr>
            <w:tcW w:w="1324" w:type="dxa"/>
          </w:tcPr>
          <w:p>
            <w:pPr>
              <w:pStyle w:val="TableParagraph"/>
              <w:rPr>
                <w:b/>
                <w:sz w:val="26"/>
              </w:rPr>
            </w:pPr>
          </w:p>
          <w:p>
            <w:pPr>
              <w:pStyle w:val="TableParagraph"/>
              <w:rPr>
                <w:b/>
                <w:sz w:val="26"/>
              </w:rPr>
            </w:pPr>
          </w:p>
          <w:p>
            <w:pPr>
              <w:pStyle w:val="TableParagraph"/>
              <w:spacing w:line="255" w:lineRule="exact" w:before="225"/>
              <w:ind w:right="63"/>
              <w:jc w:val="right"/>
              <w:rPr>
                <w:sz w:val="24"/>
              </w:rPr>
            </w:pPr>
            <w:r>
              <w:rPr>
                <w:sz w:val="24"/>
              </w:rPr>
              <w:t>552.68</w:t>
            </w:r>
          </w:p>
        </w:tc>
        <w:tc>
          <w:tcPr>
            <w:tcW w:w="1304" w:type="dxa"/>
          </w:tcPr>
          <w:p>
            <w:pPr>
              <w:pStyle w:val="TableParagraph"/>
              <w:rPr>
                <w:b/>
                <w:sz w:val="26"/>
              </w:rPr>
            </w:pPr>
          </w:p>
          <w:p>
            <w:pPr>
              <w:pStyle w:val="TableParagraph"/>
              <w:rPr>
                <w:b/>
                <w:sz w:val="26"/>
              </w:rPr>
            </w:pPr>
          </w:p>
          <w:p>
            <w:pPr>
              <w:pStyle w:val="TableParagraph"/>
              <w:spacing w:line="255" w:lineRule="exact" w:before="225"/>
              <w:ind w:right="66"/>
              <w:jc w:val="right"/>
              <w:rPr>
                <w:sz w:val="24"/>
              </w:rPr>
            </w:pPr>
            <w:r>
              <w:rPr>
                <w:sz w:val="24"/>
              </w:rPr>
              <w:t>322.32</w:t>
            </w:r>
          </w:p>
        </w:tc>
      </w:tr>
      <w:tr>
        <w:trPr>
          <w:trHeight w:val="551" w:hRule="atLeast"/>
        </w:trPr>
        <w:tc>
          <w:tcPr>
            <w:tcW w:w="2268" w:type="dxa"/>
          </w:tcPr>
          <w:p>
            <w:pPr>
              <w:pStyle w:val="TableParagraph"/>
              <w:spacing w:line="270" w:lineRule="atLeast"/>
              <w:ind w:left="67" w:right="63"/>
              <w:rPr>
                <w:sz w:val="24"/>
              </w:rPr>
            </w:pPr>
            <w:r>
              <w:rPr>
                <w:sz w:val="24"/>
              </w:rPr>
              <w:t>Taller o fábrica de loza y/o marmolería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2" w:hRule="atLeast"/>
        </w:trPr>
        <w:tc>
          <w:tcPr>
            <w:tcW w:w="2268" w:type="dxa"/>
          </w:tcPr>
          <w:p>
            <w:pPr>
              <w:pStyle w:val="TableParagraph"/>
              <w:spacing w:before="11"/>
              <w:rPr>
                <w:b/>
                <w:sz w:val="23"/>
              </w:rPr>
            </w:pPr>
          </w:p>
          <w:p>
            <w:pPr>
              <w:pStyle w:val="TableParagraph"/>
              <w:spacing w:line="256" w:lineRule="exact"/>
              <w:ind w:left="67"/>
              <w:rPr>
                <w:sz w:val="24"/>
              </w:rPr>
            </w:pPr>
            <w:r>
              <w:rPr>
                <w:sz w:val="24"/>
              </w:rPr>
              <w:t>Taller óptico</w:t>
            </w:r>
          </w:p>
        </w:tc>
        <w:tc>
          <w:tcPr>
            <w:tcW w:w="1561" w:type="dxa"/>
          </w:tcPr>
          <w:p>
            <w:pPr>
              <w:pStyle w:val="TableParagraph"/>
              <w:spacing w:before="11"/>
              <w:rPr>
                <w:b/>
                <w:sz w:val="23"/>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6"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6"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6" w:lineRule="exact"/>
              <w:ind w:right="66"/>
              <w:jc w:val="right"/>
              <w:rPr>
                <w:sz w:val="24"/>
              </w:rPr>
            </w:pPr>
            <w:r>
              <w:rPr>
                <w:sz w:val="24"/>
              </w:rPr>
              <w:t>322.32</w:t>
            </w:r>
          </w:p>
        </w:tc>
      </w:tr>
      <w:tr>
        <w:trPr>
          <w:trHeight w:val="554" w:hRule="atLeast"/>
        </w:trPr>
        <w:tc>
          <w:tcPr>
            <w:tcW w:w="2268" w:type="dxa"/>
          </w:tcPr>
          <w:p>
            <w:pPr>
              <w:pStyle w:val="TableParagraph"/>
              <w:spacing w:line="270" w:lineRule="atLeast" w:before="2"/>
              <w:ind w:left="67" w:right="370"/>
              <w:rPr>
                <w:sz w:val="24"/>
              </w:rPr>
            </w:pPr>
            <w:r>
              <w:rPr>
                <w:sz w:val="24"/>
              </w:rPr>
              <w:t>Taller reparación parabrisas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142"/>
              <w:rPr>
                <w:sz w:val="24"/>
              </w:rPr>
            </w:pPr>
            <w:r>
              <w:rPr>
                <w:sz w:val="24"/>
              </w:rPr>
              <w:t>Tanques y equipos para gas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1"/>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Tapicería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169"/>
              <w:rPr>
                <w:sz w:val="24"/>
              </w:rPr>
            </w:pPr>
            <w:r>
              <w:rPr>
                <w:sz w:val="24"/>
              </w:rPr>
              <w:t>Taquería chica (de 5 a 50 mts2)</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906" w:hRule="atLeast"/>
        </w:trPr>
        <w:tc>
          <w:tcPr>
            <w:tcW w:w="2268" w:type="dxa"/>
          </w:tcPr>
          <w:p>
            <w:pPr>
              <w:pStyle w:val="TableParagraph"/>
              <w:spacing w:line="270" w:lineRule="atLeast" w:before="79"/>
              <w:ind w:left="67" w:right="396"/>
              <w:rPr>
                <w:sz w:val="24"/>
              </w:rPr>
            </w:pPr>
            <w:r>
              <w:rPr>
                <w:sz w:val="24"/>
              </w:rPr>
              <w:t>Taquería grande (de 51 mts2 en adelante)</w:t>
            </w:r>
          </w:p>
        </w:tc>
        <w:tc>
          <w:tcPr>
            <w:tcW w:w="1561" w:type="dxa"/>
          </w:tcPr>
          <w:p>
            <w:pPr>
              <w:pStyle w:val="TableParagraph"/>
              <w:rPr>
                <w:b/>
                <w:sz w:val="26"/>
              </w:rPr>
            </w:pPr>
          </w:p>
          <w:p>
            <w:pPr>
              <w:pStyle w:val="TableParagraph"/>
              <w:spacing w:before="10"/>
              <w:rPr>
                <w:b/>
                <w:sz w:val="28"/>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0"/>
              <w:rPr>
                <w:b/>
                <w:sz w:val="28"/>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0"/>
              <w:rPr>
                <w:b/>
                <w:sz w:val="28"/>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10"/>
              <w:rPr>
                <w:b/>
                <w:sz w:val="28"/>
              </w:rPr>
            </w:pPr>
          </w:p>
          <w:p>
            <w:pPr>
              <w:pStyle w:val="TableParagraph"/>
              <w:spacing w:line="255" w:lineRule="exact"/>
              <w:ind w:right="66"/>
              <w:jc w:val="right"/>
              <w:rPr>
                <w:sz w:val="24"/>
              </w:rPr>
            </w:pPr>
            <w:r>
              <w:rPr>
                <w:sz w:val="24"/>
              </w:rPr>
              <w:t>322.32</w:t>
            </w:r>
          </w:p>
        </w:tc>
      </w:tr>
      <w:tr>
        <w:trPr>
          <w:trHeight w:val="554" w:hRule="atLeast"/>
        </w:trPr>
        <w:tc>
          <w:tcPr>
            <w:tcW w:w="2268" w:type="dxa"/>
          </w:tcPr>
          <w:p>
            <w:pPr>
              <w:pStyle w:val="TableParagraph"/>
              <w:spacing w:before="2"/>
              <w:rPr>
                <w:b/>
                <w:sz w:val="24"/>
              </w:rPr>
            </w:pPr>
          </w:p>
          <w:p>
            <w:pPr>
              <w:pStyle w:val="TableParagraph"/>
              <w:spacing w:line="255" w:lineRule="exact" w:before="1"/>
              <w:ind w:left="67"/>
              <w:rPr>
                <w:sz w:val="24"/>
              </w:rPr>
            </w:pPr>
            <w:r>
              <w:rPr>
                <w:sz w:val="24"/>
              </w:rPr>
              <w:t>Telas (ventas)</w:t>
            </w:r>
          </w:p>
        </w:tc>
        <w:tc>
          <w:tcPr>
            <w:tcW w:w="1561" w:type="dxa"/>
          </w:tcPr>
          <w:p>
            <w:pPr>
              <w:pStyle w:val="TableParagraph"/>
              <w:spacing w:before="2"/>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before="1"/>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before="1"/>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Teléfonos celulares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Tendajon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Tintorería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Tlapalería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5"/>
              <w:jc w:val="right"/>
              <w:rPr>
                <w:sz w:val="24"/>
              </w:rPr>
            </w:pPr>
            <w:r>
              <w:rPr>
                <w:sz w:val="24"/>
              </w:rPr>
              <w:t>322.32</w:t>
            </w:r>
          </w:p>
        </w:tc>
      </w:tr>
      <w:tr>
        <w:trPr>
          <w:trHeight w:val="552" w:hRule="atLeast"/>
        </w:trPr>
        <w:tc>
          <w:tcPr>
            <w:tcW w:w="2268" w:type="dxa"/>
          </w:tcPr>
          <w:p>
            <w:pPr>
              <w:pStyle w:val="TableParagraph"/>
              <w:rPr>
                <w:b/>
                <w:sz w:val="24"/>
              </w:rPr>
            </w:pPr>
          </w:p>
          <w:p>
            <w:pPr>
              <w:pStyle w:val="TableParagraph"/>
              <w:spacing w:line="256" w:lineRule="exact"/>
              <w:ind w:left="67"/>
              <w:rPr>
                <w:sz w:val="24"/>
              </w:rPr>
            </w:pPr>
            <w:r>
              <w:rPr>
                <w:sz w:val="24"/>
              </w:rPr>
              <w:t>Topografías</w:t>
            </w:r>
          </w:p>
        </w:tc>
        <w:tc>
          <w:tcPr>
            <w:tcW w:w="1561" w:type="dxa"/>
          </w:tcPr>
          <w:p>
            <w:pPr>
              <w:pStyle w:val="TableParagraph"/>
              <w:rPr>
                <w:b/>
                <w:sz w:val="24"/>
              </w:rPr>
            </w:pPr>
          </w:p>
          <w:p>
            <w:pPr>
              <w:pStyle w:val="TableParagraph"/>
              <w:spacing w:line="256"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6" w:lineRule="exact"/>
              <w:ind w:right="62"/>
              <w:jc w:val="right"/>
              <w:rPr>
                <w:sz w:val="24"/>
              </w:rPr>
            </w:pPr>
            <w:r>
              <w:rPr>
                <w:sz w:val="24"/>
              </w:rPr>
              <w:t>384.82</w:t>
            </w:r>
          </w:p>
        </w:tc>
        <w:tc>
          <w:tcPr>
            <w:tcW w:w="1324" w:type="dxa"/>
          </w:tcPr>
          <w:p>
            <w:pPr>
              <w:pStyle w:val="TableParagraph"/>
              <w:rPr>
                <w:b/>
                <w:sz w:val="24"/>
              </w:rPr>
            </w:pPr>
          </w:p>
          <w:p>
            <w:pPr>
              <w:pStyle w:val="TableParagraph"/>
              <w:spacing w:line="256" w:lineRule="exact"/>
              <w:ind w:right="63"/>
              <w:jc w:val="right"/>
              <w:rPr>
                <w:sz w:val="24"/>
              </w:rPr>
            </w:pPr>
            <w:r>
              <w:rPr>
                <w:sz w:val="24"/>
              </w:rPr>
              <w:t>183.93</w:t>
            </w:r>
          </w:p>
        </w:tc>
        <w:tc>
          <w:tcPr>
            <w:tcW w:w="1304" w:type="dxa"/>
          </w:tcPr>
          <w:p>
            <w:pPr>
              <w:pStyle w:val="TableParagraph"/>
              <w:rPr>
                <w:b/>
                <w:sz w:val="24"/>
              </w:rPr>
            </w:pPr>
          </w:p>
          <w:p>
            <w:pPr>
              <w:pStyle w:val="TableParagraph"/>
              <w:spacing w:line="256" w:lineRule="exact"/>
              <w:ind w:right="63"/>
              <w:jc w:val="right"/>
              <w:rPr>
                <w:sz w:val="24"/>
              </w:rPr>
            </w:pPr>
            <w:r>
              <w:rPr>
                <w:w w:val="99"/>
                <w:sz w:val="24"/>
              </w:rPr>
              <w:t>-</w:t>
            </w:r>
          </w:p>
        </w:tc>
      </w:tr>
    </w:tbl>
    <w:p>
      <w:pPr>
        <w:spacing w:after="0" w:line="256" w:lineRule="exact"/>
        <w:jc w:val="right"/>
        <w:rPr>
          <w:sz w:val="24"/>
        </w:rPr>
        <w:sectPr>
          <w:headerReference w:type="default" r:id="rId106"/>
          <w:headerReference w:type="even" r:id="rId107"/>
          <w:pgSz w:w="12250" w:h="15850"/>
          <w:pgMar w:header="730" w:footer="0" w:top="1000" w:bottom="280" w:left="860" w:right="820"/>
        </w:sectPr>
      </w:pPr>
    </w:p>
    <w:p>
      <w:pPr>
        <w:pStyle w:val="BodyText"/>
        <w:spacing w:before="10"/>
        <w:rPr>
          <w:b/>
          <w:sz w:val="15"/>
        </w:rPr>
      </w:pPr>
      <w:r>
        <w:rPr/>
        <w:drawing>
          <wp:anchor distT="0" distB="0" distL="0" distR="0" allowOverlap="1" layoutInCell="1" locked="0" behindDoc="1" simplePos="0" relativeHeight="227579904">
            <wp:simplePos x="0" y="0"/>
            <wp:positionH relativeFrom="page">
              <wp:posOffset>1252555</wp:posOffset>
            </wp:positionH>
            <wp:positionV relativeFrom="page">
              <wp:posOffset>2084831</wp:posOffset>
            </wp:positionV>
            <wp:extent cx="5026050" cy="5148262"/>
            <wp:effectExtent l="0" t="0" r="0" b="0"/>
            <wp:wrapNone/>
            <wp:docPr id="219" name="image95.png"/>
            <wp:cNvGraphicFramePr>
              <a:graphicFrameLocks noChangeAspect="1"/>
            </wp:cNvGraphicFramePr>
            <a:graphic>
              <a:graphicData uri="http://schemas.openxmlformats.org/drawingml/2006/picture">
                <pic:pic>
                  <pic:nvPicPr>
                    <pic:cNvPr id="220"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Tornillos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Tortillería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1003" w:hRule="atLeast"/>
        </w:trPr>
        <w:tc>
          <w:tcPr>
            <w:tcW w:w="2268" w:type="dxa"/>
          </w:tcPr>
          <w:p>
            <w:pPr>
              <w:pStyle w:val="TableParagraph"/>
              <w:spacing w:before="175"/>
              <w:ind w:left="67"/>
              <w:rPr>
                <w:sz w:val="24"/>
              </w:rPr>
            </w:pPr>
            <w:r>
              <w:rPr>
                <w:sz w:val="24"/>
              </w:rPr>
              <w:t>Transportación</w:t>
            </w:r>
          </w:p>
          <w:p>
            <w:pPr>
              <w:pStyle w:val="TableParagraph"/>
              <w:spacing w:line="270" w:lineRule="atLeast" w:before="1"/>
              <w:ind w:left="67" w:right="303"/>
              <w:rPr>
                <w:sz w:val="24"/>
              </w:rPr>
            </w:pPr>
            <w:r>
              <w:rPr>
                <w:sz w:val="24"/>
              </w:rPr>
              <w:t>turística (renta de autobuses)</w:t>
            </w:r>
          </w:p>
        </w:tc>
        <w:tc>
          <w:tcPr>
            <w:tcW w:w="1561" w:type="dxa"/>
          </w:tcPr>
          <w:p>
            <w:pPr>
              <w:pStyle w:val="TableParagraph"/>
              <w:rPr>
                <w:b/>
                <w:sz w:val="26"/>
              </w:rPr>
            </w:pPr>
          </w:p>
          <w:p>
            <w:pPr>
              <w:pStyle w:val="TableParagraph"/>
              <w:spacing w:before="3"/>
              <w:rPr>
                <w:b/>
                <w:sz w:val="37"/>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3"/>
              <w:rPr>
                <w:b/>
                <w:sz w:val="37"/>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3"/>
              <w:rPr>
                <w:b/>
                <w:sz w:val="37"/>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3"/>
              <w:rPr>
                <w:b/>
                <w:sz w:val="37"/>
              </w:rPr>
            </w:pPr>
          </w:p>
          <w:p>
            <w:pPr>
              <w:pStyle w:val="TableParagraph"/>
              <w:spacing w:line="255" w:lineRule="exact"/>
              <w:ind w:right="66"/>
              <w:jc w:val="right"/>
              <w:rPr>
                <w:sz w:val="24"/>
              </w:rPr>
            </w:pPr>
            <w:r>
              <w:rPr>
                <w:sz w:val="24"/>
              </w:rPr>
              <w:t>807.14</w:t>
            </w:r>
          </w:p>
        </w:tc>
      </w:tr>
      <w:tr>
        <w:trPr>
          <w:trHeight w:val="552" w:hRule="atLeast"/>
        </w:trPr>
        <w:tc>
          <w:tcPr>
            <w:tcW w:w="2268" w:type="dxa"/>
          </w:tcPr>
          <w:p>
            <w:pPr>
              <w:pStyle w:val="TableParagraph"/>
              <w:spacing w:line="270" w:lineRule="atLeast" w:before="2"/>
              <w:ind w:left="67" w:right="676"/>
              <w:rPr>
                <w:sz w:val="24"/>
              </w:rPr>
            </w:pPr>
            <w:r>
              <w:rPr>
                <w:sz w:val="24"/>
              </w:rPr>
              <w:t>Transporte de carga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384.82</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367.86</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Traslado de valores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Uñas acrílicas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236"/>
              <w:rPr>
                <w:sz w:val="24"/>
              </w:rPr>
            </w:pPr>
            <w:r>
              <w:rPr>
                <w:sz w:val="24"/>
              </w:rPr>
              <w:t>Venta de artículos de belleza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993" w:hRule="atLeast"/>
        </w:trPr>
        <w:tc>
          <w:tcPr>
            <w:tcW w:w="2268" w:type="dxa"/>
          </w:tcPr>
          <w:p>
            <w:pPr>
              <w:pStyle w:val="TableParagraph"/>
              <w:spacing w:line="276" w:lineRule="exact" w:before="170"/>
              <w:ind w:left="67" w:right="463"/>
              <w:rPr>
                <w:sz w:val="24"/>
              </w:rPr>
            </w:pPr>
            <w:r>
              <w:rPr>
                <w:sz w:val="24"/>
              </w:rPr>
              <w:t>Venta de computadoras y acces.</w:t>
            </w:r>
          </w:p>
        </w:tc>
        <w:tc>
          <w:tcPr>
            <w:tcW w:w="1561" w:type="dxa"/>
          </w:tcPr>
          <w:p>
            <w:pPr>
              <w:pStyle w:val="TableParagraph"/>
              <w:rPr>
                <w:b/>
                <w:sz w:val="26"/>
              </w:rPr>
            </w:pPr>
          </w:p>
          <w:p>
            <w:pPr>
              <w:pStyle w:val="TableParagraph"/>
              <w:spacing w:before="5"/>
              <w:rPr>
                <w:b/>
                <w:sz w:val="36"/>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5"/>
              <w:rPr>
                <w:b/>
                <w:sz w:val="36"/>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5"/>
              <w:rPr>
                <w:b/>
                <w:sz w:val="36"/>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5"/>
              <w:rPr>
                <w:b/>
                <w:sz w:val="36"/>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spacing w:line="276" w:lineRule="exact"/>
              <w:ind w:left="67" w:right="463"/>
              <w:rPr>
                <w:sz w:val="24"/>
              </w:rPr>
            </w:pPr>
            <w:r>
              <w:rPr>
                <w:sz w:val="24"/>
              </w:rPr>
              <w:t>Venta de computadoras y acces. En peq.</w:t>
            </w:r>
          </w:p>
        </w:tc>
        <w:tc>
          <w:tcPr>
            <w:tcW w:w="1561" w:type="dxa"/>
          </w:tcPr>
          <w:p>
            <w:pPr>
              <w:pStyle w:val="TableParagraph"/>
              <w:rPr>
                <w:b/>
                <w:sz w:val="26"/>
              </w:rPr>
            </w:pPr>
          </w:p>
          <w:p>
            <w:pPr>
              <w:pStyle w:val="TableParagraph"/>
              <w:spacing w:before="7"/>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21"/>
              </w:rPr>
            </w:pPr>
          </w:p>
          <w:p>
            <w:pPr>
              <w:pStyle w:val="TableParagraph"/>
              <w:spacing w:line="255" w:lineRule="exact"/>
              <w:ind w:right="63"/>
              <w:jc w:val="right"/>
              <w:rPr>
                <w:sz w:val="24"/>
              </w:rPr>
            </w:pPr>
            <w:r>
              <w:rPr>
                <w:w w:val="99"/>
                <w:sz w:val="24"/>
              </w:rPr>
              <w:t>-</w:t>
            </w:r>
          </w:p>
        </w:tc>
      </w:tr>
      <w:tr>
        <w:trPr>
          <w:trHeight w:val="988" w:hRule="atLeast"/>
        </w:trPr>
        <w:tc>
          <w:tcPr>
            <w:tcW w:w="2268" w:type="dxa"/>
          </w:tcPr>
          <w:p>
            <w:pPr>
              <w:pStyle w:val="TableParagraph"/>
              <w:spacing w:line="270" w:lineRule="atLeast" w:before="160"/>
              <w:ind w:left="67" w:right="303"/>
              <w:rPr>
                <w:sz w:val="24"/>
              </w:rPr>
            </w:pPr>
            <w:r>
              <w:rPr>
                <w:sz w:val="24"/>
              </w:rPr>
              <w:t>Venta de cortinas metálicas y similares</w:t>
            </w:r>
          </w:p>
        </w:tc>
        <w:tc>
          <w:tcPr>
            <w:tcW w:w="1561" w:type="dxa"/>
          </w:tcPr>
          <w:p>
            <w:pPr>
              <w:pStyle w:val="TableParagraph"/>
              <w:rPr>
                <w:b/>
                <w:sz w:val="26"/>
              </w:rPr>
            </w:pPr>
          </w:p>
          <w:p>
            <w:pPr>
              <w:pStyle w:val="TableParagraph"/>
              <w:spacing w:before="11"/>
              <w:rPr>
                <w:b/>
                <w:sz w:val="35"/>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11"/>
              <w:rPr>
                <w:b/>
                <w:sz w:val="35"/>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11"/>
              <w:rPr>
                <w:b/>
                <w:sz w:val="35"/>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11"/>
              <w:rPr>
                <w:b/>
                <w:sz w:val="35"/>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422"/>
              <w:rPr>
                <w:sz w:val="24"/>
              </w:rPr>
            </w:pPr>
            <w:r>
              <w:rPr>
                <w:sz w:val="24"/>
              </w:rPr>
              <w:t>Venta de equipo contra incendios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2" w:hRule="atLeast"/>
        </w:trPr>
        <w:tc>
          <w:tcPr>
            <w:tcW w:w="2268" w:type="dxa"/>
          </w:tcPr>
          <w:p>
            <w:pPr>
              <w:pStyle w:val="TableParagraph"/>
              <w:spacing w:line="276" w:lineRule="exact" w:before="4"/>
              <w:ind w:left="67" w:right="102"/>
              <w:rPr>
                <w:sz w:val="24"/>
              </w:rPr>
            </w:pPr>
            <w:r>
              <w:rPr>
                <w:sz w:val="24"/>
              </w:rPr>
              <w:t>Venta de máquinas registradoras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47" w:hRule="atLeast"/>
        </w:trPr>
        <w:tc>
          <w:tcPr>
            <w:tcW w:w="2268" w:type="dxa"/>
          </w:tcPr>
          <w:p>
            <w:pPr>
              <w:pStyle w:val="TableParagraph"/>
              <w:spacing w:before="7"/>
              <w:rPr>
                <w:b/>
                <w:sz w:val="23"/>
              </w:rPr>
            </w:pPr>
          </w:p>
          <w:p>
            <w:pPr>
              <w:pStyle w:val="TableParagraph"/>
              <w:spacing w:line="255" w:lineRule="exact"/>
              <w:ind w:left="67"/>
              <w:rPr>
                <w:sz w:val="24"/>
              </w:rPr>
            </w:pPr>
            <w:r>
              <w:rPr>
                <w:sz w:val="24"/>
              </w:rPr>
              <w:t>Venta de mascotas</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241.07</w:t>
            </w:r>
          </w:p>
        </w:tc>
      </w:tr>
      <w:tr>
        <w:trPr>
          <w:trHeight w:val="830" w:hRule="atLeast"/>
        </w:trPr>
        <w:tc>
          <w:tcPr>
            <w:tcW w:w="2268" w:type="dxa"/>
          </w:tcPr>
          <w:p>
            <w:pPr>
              <w:pStyle w:val="TableParagraph"/>
              <w:spacing w:line="270" w:lineRule="atLeast" w:before="2"/>
              <w:ind w:left="67" w:right="410"/>
              <w:rPr>
                <w:sz w:val="24"/>
              </w:rPr>
            </w:pPr>
            <w:r>
              <w:rPr>
                <w:sz w:val="24"/>
              </w:rPr>
              <w:t>Venta de recubrimientos y acabados</w:t>
            </w:r>
          </w:p>
        </w:tc>
        <w:tc>
          <w:tcPr>
            <w:tcW w:w="1561" w:type="dxa"/>
          </w:tcPr>
          <w:p>
            <w:pPr>
              <w:pStyle w:val="TableParagraph"/>
              <w:rPr>
                <w:b/>
                <w:sz w:val="26"/>
              </w:rPr>
            </w:pPr>
          </w:p>
          <w:p>
            <w:pPr>
              <w:pStyle w:val="TableParagraph"/>
              <w:spacing w:before="2"/>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2"/>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2"/>
              <w:rPr>
                <w:b/>
                <w:sz w:val="22"/>
              </w:rPr>
            </w:pPr>
          </w:p>
          <w:p>
            <w:pPr>
              <w:pStyle w:val="TableParagraph"/>
              <w:spacing w:line="255" w:lineRule="exact"/>
              <w:ind w:right="63"/>
              <w:jc w:val="right"/>
              <w:rPr>
                <w:sz w:val="24"/>
              </w:rPr>
            </w:pPr>
            <w:r>
              <w:rPr>
                <w:w w:val="99"/>
                <w:sz w:val="24"/>
              </w:rPr>
              <w:t>-</w:t>
            </w:r>
          </w:p>
        </w:tc>
      </w:tr>
      <w:tr>
        <w:trPr>
          <w:trHeight w:val="870" w:hRule="atLeast"/>
        </w:trPr>
        <w:tc>
          <w:tcPr>
            <w:tcW w:w="2268" w:type="dxa"/>
          </w:tcPr>
          <w:p>
            <w:pPr>
              <w:pStyle w:val="TableParagraph"/>
              <w:spacing w:line="270" w:lineRule="atLeast" w:before="43"/>
              <w:ind w:left="67" w:right="173"/>
              <w:jc w:val="both"/>
              <w:rPr>
                <w:sz w:val="24"/>
              </w:rPr>
            </w:pPr>
            <w:r>
              <w:rPr>
                <w:sz w:val="24"/>
              </w:rPr>
              <w:t>Venta por catálogo de ropa, zapatos y acces.</w:t>
            </w:r>
          </w:p>
        </w:tc>
        <w:tc>
          <w:tcPr>
            <w:tcW w:w="1561" w:type="dxa"/>
          </w:tcPr>
          <w:p>
            <w:pPr>
              <w:pStyle w:val="TableParagraph"/>
              <w:rPr>
                <w:b/>
                <w:sz w:val="26"/>
              </w:rPr>
            </w:pPr>
          </w:p>
          <w:p>
            <w:pPr>
              <w:pStyle w:val="TableParagraph"/>
              <w:spacing w:before="9"/>
              <w:rPr>
                <w:b/>
                <w:sz w:val="25"/>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9"/>
              <w:rPr>
                <w:b/>
                <w:sz w:val="25"/>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9"/>
              <w:rPr>
                <w:b/>
                <w:sz w:val="25"/>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spacing w:before="9"/>
              <w:rPr>
                <w:b/>
                <w:sz w:val="25"/>
              </w:rPr>
            </w:pPr>
          </w:p>
          <w:p>
            <w:pPr>
              <w:pStyle w:val="TableParagraph"/>
              <w:spacing w:line="255" w:lineRule="exact"/>
              <w:ind w:right="63"/>
              <w:jc w:val="right"/>
              <w:rPr>
                <w:sz w:val="24"/>
              </w:rPr>
            </w:pPr>
            <w:r>
              <w:rPr>
                <w:w w:val="99"/>
                <w:sz w:val="24"/>
              </w:rPr>
              <w:t>-</w:t>
            </w:r>
          </w:p>
        </w:tc>
      </w:tr>
      <w:tr>
        <w:trPr>
          <w:trHeight w:val="983" w:hRule="atLeast"/>
        </w:trPr>
        <w:tc>
          <w:tcPr>
            <w:tcW w:w="2268" w:type="dxa"/>
          </w:tcPr>
          <w:p>
            <w:pPr>
              <w:pStyle w:val="TableParagraph"/>
              <w:spacing w:before="156"/>
              <w:ind w:left="67" w:right="703"/>
              <w:rPr>
                <w:sz w:val="24"/>
              </w:rPr>
            </w:pPr>
            <w:r>
              <w:rPr>
                <w:sz w:val="24"/>
              </w:rPr>
              <w:t>Venta y/o instalación de</w:t>
            </w:r>
          </w:p>
          <w:p>
            <w:pPr>
              <w:pStyle w:val="TableParagraph"/>
              <w:spacing w:line="255" w:lineRule="exact"/>
              <w:ind w:left="67"/>
              <w:rPr>
                <w:sz w:val="24"/>
              </w:rPr>
            </w:pPr>
            <w:r>
              <w:rPr>
                <w:sz w:val="24"/>
              </w:rPr>
              <w:t>cocinas integrales</w:t>
            </w:r>
          </w:p>
        </w:tc>
        <w:tc>
          <w:tcPr>
            <w:tcW w:w="1561" w:type="dxa"/>
          </w:tcPr>
          <w:p>
            <w:pPr>
              <w:pStyle w:val="TableParagraph"/>
              <w:rPr>
                <w:b/>
                <w:sz w:val="26"/>
              </w:rPr>
            </w:pPr>
          </w:p>
          <w:p>
            <w:pPr>
              <w:pStyle w:val="TableParagraph"/>
              <w:spacing w:before="7"/>
              <w:rPr>
                <w:b/>
                <w:sz w:val="35"/>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7"/>
              <w:rPr>
                <w:b/>
                <w:sz w:val="35"/>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7"/>
              <w:rPr>
                <w:b/>
                <w:sz w:val="35"/>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7"/>
              <w:rPr>
                <w:b/>
                <w:sz w:val="35"/>
              </w:rPr>
            </w:pPr>
          </w:p>
          <w:p>
            <w:pPr>
              <w:pStyle w:val="TableParagraph"/>
              <w:spacing w:line="255" w:lineRule="exact"/>
              <w:ind w:right="63"/>
              <w:jc w:val="right"/>
              <w:rPr>
                <w:sz w:val="24"/>
              </w:rPr>
            </w:pPr>
            <w:r>
              <w:rPr>
                <w:w w:val="99"/>
                <w:sz w:val="24"/>
              </w:rPr>
              <w:t>-</w:t>
            </w:r>
          </w:p>
        </w:tc>
      </w:tr>
    </w:tbl>
    <w:p>
      <w:pPr>
        <w:spacing w:after="0" w:line="255"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80928">
            <wp:simplePos x="0" y="0"/>
            <wp:positionH relativeFrom="page">
              <wp:posOffset>1252555</wp:posOffset>
            </wp:positionH>
            <wp:positionV relativeFrom="page">
              <wp:posOffset>2138172</wp:posOffset>
            </wp:positionV>
            <wp:extent cx="5021401" cy="5143500"/>
            <wp:effectExtent l="0" t="0" r="0" b="0"/>
            <wp:wrapNone/>
            <wp:docPr id="221" name="image94.png"/>
            <wp:cNvGraphicFramePr>
              <a:graphicFrameLocks noChangeAspect="1"/>
            </wp:cNvGraphicFramePr>
            <a:graphic>
              <a:graphicData uri="http://schemas.openxmlformats.org/drawingml/2006/picture">
                <pic:pic>
                  <pic:nvPicPr>
                    <pic:cNvPr id="222"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827" w:hRule="atLeast"/>
        </w:trPr>
        <w:tc>
          <w:tcPr>
            <w:tcW w:w="2268" w:type="dxa"/>
          </w:tcPr>
          <w:p>
            <w:pPr>
              <w:pStyle w:val="TableParagraph"/>
              <w:spacing w:line="270" w:lineRule="atLeast"/>
              <w:ind w:left="67" w:right="63"/>
              <w:rPr>
                <w:sz w:val="24"/>
              </w:rPr>
            </w:pPr>
            <w:r>
              <w:rPr>
                <w:sz w:val="24"/>
              </w:rPr>
              <w:t>Videogramas (renta y venta de películas)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spacing w:line="270" w:lineRule="atLeast"/>
              <w:ind w:left="67" w:right="356"/>
              <w:rPr>
                <w:sz w:val="24"/>
              </w:rPr>
            </w:pPr>
            <w:r>
              <w:rPr>
                <w:sz w:val="24"/>
              </w:rPr>
              <w:t>Vidrios y espejos en general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3" w:hRule="atLeast"/>
        </w:trPr>
        <w:tc>
          <w:tcPr>
            <w:tcW w:w="2268" w:type="dxa"/>
          </w:tcPr>
          <w:p>
            <w:pPr>
              <w:pStyle w:val="TableParagraph"/>
              <w:spacing w:before="2"/>
              <w:rPr>
                <w:b/>
                <w:sz w:val="24"/>
              </w:rPr>
            </w:pPr>
          </w:p>
          <w:p>
            <w:pPr>
              <w:pStyle w:val="TableParagraph"/>
              <w:spacing w:line="255" w:lineRule="exact"/>
              <w:ind w:left="67"/>
              <w:rPr>
                <w:sz w:val="24"/>
              </w:rPr>
            </w:pPr>
            <w:r>
              <w:rPr>
                <w:sz w:val="24"/>
              </w:rPr>
              <w:t>Vitrales</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2"/>
              <w:rPr>
                <w:b/>
                <w:sz w:val="24"/>
              </w:rPr>
            </w:pPr>
          </w:p>
          <w:p>
            <w:pPr>
              <w:pStyle w:val="TableParagraph"/>
              <w:spacing w:line="255" w:lineRule="exact"/>
              <w:ind w:right="62"/>
              <w:jc w:val="right"/>
              <w:rPr>
                <w:sz w:val="24"/>
              </w:rPr>
            </w:pPr>
            <w:r>
              <w:rPr>
                <w:sz w:val="24"/>
              </w:rPr>
              <w:t>154.46</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183.93</w:t>
            </w:r>
          </w:p>
        </w:tc>
        <w:tc>
          <w:tcPr>
            <w:tcW w:w="1304" w:type="dxa"/>
          </w:tcPr>
          <w:p>
            <w:pPr>
              <w:pStyle w:val="TableParagraph"/>
              <w:spacing w:before="2"/>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Viveros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De aceros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276"/>
              <w:rPr>
                <w:sz w:val="24"/>
              </w:rPr>
            </w:pPr>
            <w:r>
              <w:rPr>
                <w:sz w:val="24"/>
              </w:rPr>
              <w:t>Vta. De alimentos balanceados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583"/>
              <w:rPr>
                <w:sz w:val="24"/>
              </w:rPr>
            </w:pPr>
            <w:r>
              <w:rPr>
                <w:sz w:val="24"/>
              </w:rPr>
              <w:t>Vta. De art. De cocina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236"/>
              <w:rPr>
                <w:sz w:val="24"/>
              </w:rPr>
            </w:pPr>
            <w:r>
              <w:rPr>
                <w:sz w:val="24"/>
              </w:rPr>
              <w:t>Vta. De azulejos y sanitarios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5" w:hRule="atLeast"/>
        </w:trPr>
        <w:tc>
          <w:tcPr>
            <w:tcW w:w="2268" w:type="dxa"/>
          </w:tcPr>
          <w:p>
            <w:pPr>
              <w:pStyle w:val="TableParagraph"/>
              <w:spacing w:line="274" w:lineRule="exact"/>
              <w:ind w:left="67"/>
              <w:rPr>
                <w:sz w:val="24"/>
              </w:rPr>
            </w:pPr>
            <w:r>
              <w:rPr>
                <w:sz w:val="24"/>
              </w:rPr>
              <w:t>Vta. De carne</w:t>
            </w:r>
          </w:p>
          <w:p>
            <w:pPr>
              <w:pStyle w:val="TableParagraph"/>
              <w:spacing w:line="270" w:lineRule="atLeast"/>
              <w:ind w:left="67" w:right="463"/>
              <w:rPr>
                <w:sz w:val="24"/>
              </w:rPr>
            </w:pPr>
            <w:r>
              <w:rPr>
                <w:sz w:val="24"/>
              </w:rPr>
              <w:t>asada solo para llevar</w:t>
            </w:r>
          </w:p>
        </w:tc>
        <w:tc>
          <w:tcPr>
            <w:tcW w:w="1561" w:type="dxa"/>
          </w:tcPr>
          <w:p>
            <w:pPr>
              <w:pStyle w:val="TableParagraph"/>
              <w:rPr>
                <w:b/>
                <w:sz w:val="26"/>
              </w:rPr>
            </w:pPr>
          </w:p>
          <w:p>
            <w:pPr>
              <w:pStyle w:val="TableParagraph"/>
              <w:spacing w:before="9"/>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9"/>
              <w:rPr>
                <w:b/>
                <w:sz w:val="21"/>
              </w:rPr>
            </w:pPr>
          </w:p>
          <w:p>
            <w:pPr>
              <w:pStyle w:val="TableParagraph"/>
              <w:spacing w:line="255" w:lineRule="exact"/>
              <w:ind w:right="62"/>
              <w:jc w:val="right"/>
              <w:rPr>
                <w:sz w:val="24"/>
              </w:rPr>
            </w:pPr>
            <w:r>
              <w:rPr>
                <w:sz w:val="24"/>
              </w:rPr>
              <w:t>154.46</w:t>
            </w:r>
          </w:p>
        </w:tc>
        <w:tc>
          <w:tcPr>
            <w:tcW w:w="1324" w:type="dxa"/>
          </w:tcPr>
          <w:p>
            <w:pPr>
              <w:pStyle w:val="TableParagraph"/>
              <w:rPr>
                <w:b/>
                <w:sz w:val="26"/>
              </w:rPr>
            </w:pPr>
          </w:p>
          <w:p>
            <w:pPr>
              <w:pStyle w:val="TableParagraph"/>
              <w:spacing w:before="9"/>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9"/>
              <w:rPr>
                <w:b/>
                <w:sz w:val="21"/>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spacing w:line="270" w:lineRule="atLeast"/>
              <w:ind w:left="67" w:right="276"/>
              <w:rPr>
                <w:sz w:val="24"/>
              </w:rPr>
            </w:pPr>
            <w:r>
              <w:rPr>
                <w:sz w:val="24"/>
              </w:rPr>
              <w:t>Vta. De carnitas y chicharrones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322.32</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Vta. De colchones</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De frijol cocido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spacing w:line="270" w:lineRule="atLeast"/>
              <w:ind w:left="67" w:right="196"/>
              <w:rPr>
                <w:sz w:val="24"/>
              </w:rPr>
            </w:pPr>
            <w:r>
              <w:rPr>
                <w:sz w:val="24"/>
              </w:rPr>
              <w:t>Vta. De hot dogs y hamburguesas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2" w:hRule="atLeast"/>
        </w:trPr>
        <w:tc>
          <w:tcPr>
            <w:tcW w:w="2268" w:type="dxa"/>
          </w:tcPr>
          <w:p>
            <w:pPr>
              <w:pStyle w:val="TableParagraph"/>
              <w:spacing w:line="276" w:lineRule="exact" w:before="4"/>
              <w:ind w:left="67" w:right="543"/>
              <w:rPr>
                <w:sz w:val="24"/>
              </w:rPr>
            </w:pPr>
            <w:r>
              <w:rPr>
                <w:sz w:val="24"/>
              </w:rPr>
              <w:t>Vta. De jugos y chocomiles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47" w:hRule="atLeast"/>
        </w:trPr>
        <w:tc>
          <w:tcPr>
            <w:tcW w:w="2268" w:type="dxa"/>
          </w:tcPr>
          <w:p>
            <w:pPr>
              <w:pStyle w:val="TableParagraph"/>
              <w:spacing w:line="276" w:lineRule="exact"/>
              <w:ind w:left="67" w:right="450"/>
              <w:rPr>
                <w:sz w:val="24"/>
              </w:rPr>
            </w:pPr>
            <w:r>
              <w:rPr>
                <w:sz w:val="24"/>
              </w:rPr>
              <w:t>Vta. De material didáctico</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7"/>
              <w:rPr>
                <w:b/>
                <w:sz w:val="23"/>
              </w:rPr>
            </w:pPr>
          </w:p>
          <w:p>
            <w:pPr>
              <w:pStyle w:val="TableParagraph"/>
              <w:spacing w:line="255" w:lineRule="exact"/>
              <w:ind w:right="63"/>
              <w:jc w:val="right"/>
              <w:rPr>
                <w:sz w:val="24"/>
              </w:rPr>
            </w:pPr>
            <w:r>
              <w:rPr>
                <w:w w:val="99"/>
                <w:sz w:val="24"/>
              </w:rPr>
              <w:t>-</w:t>
            </w:r>
          </w:p>
        </w:tc>
      </w:tr>
      <w:tr>
        <w:trPr>
          <w:trHeight w:val="548" w:hRule="atLeast"/>
        </w:trPr>
        <w:tc>
          <w:tcPr>
            <w:tcW w:w="2268" w:type="dxa"/>
          </w:tcPr>
          <w:p>
            <w:pPr>
              <w:pStyle w:val="TableParagraph"/>
              <w:spacing w:line="276" w:lineRule="exact" w:before="2"/>
              <w:ind w:left="67" w:right="450"/>
              <w:rPr>
                <w:sz w:val="24"/>
              </w:rPr>
            </w:pPr>
            <w:r>
              <w:rPr>
                <w:sz w:val="24"/>
              </w:rPr>
              <w:t>Vta. De material para herrero</w:t>
            </w:r>
          </w:p>
        </w:tc>
        <w:tc>
          <w:tcPr>
            <w:tcW w:w="1561" w:type="dxa"/>
          </w:tcPr>
          <w:p>
            <w:pPr>
              <w:pStyle w:val="TableParagraph"/>
              <w:spacing w:before="9"/>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9"/>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9"/>
              <w:rPr>
                <w:b/>
                <w:sz w:val="23"/>
              </w:rPr>
            </w:pPr>
          </w:p>
          <w:p>
            <w:pPr>
              <w:pStyle w:val="TableParagraph"/>
              <w:spacing w:line="255" w:lineRule="exact"/>
              <w:ind w:right="63"/>
              <w:jc w:val="right"/>
              <w:rPr>
                <w:sz w:val="24"/>
              </w:rPr>
            </w:pPr>
            <w:r>
              <w:rPr>
                <w:w w:val="99"/>
                <w:sz w:val="24"/>
              </w:rPr>
              <w:t>-</w:t>
            </w:r>
          </w:p>
        </w:tc>
      </w:tr>
      <w:tr>
        <w:trPr>
          <w:trHeight w:val="546" w:hRule="atLeast"/>
        </w:trPr>
        <w:tc>
          <w:tcPr>
            <w:tcW w:w="2268" w:type="dxa"/>
          </w:tcPr>
          <w:p>
            <w:pPr>
              <w:pStyle w:val="TableParagraph"/>
              <w:spacing w:before="7"/>
              <w:rPr>
                <w:b/>
                <w:sz w:val="23"/>
              </w:rPr>
            </w:pPr>
          </w:p>
          <w:p>
            <w:pPr>
              <w:pStyle w:val="TableParagraph"/>
              <w:spacing w:line="255" w:lineRule="exact"/>
              <w:ind w:left="67"/>
              <w:rPr>
                <w:sz w:val="24"/>
              </w:rPr>
            </w:pPr>
            <w:r>
              <w:rPr>
                <w:sz w:val="24"/>
              </w:rPr>
              <w:t>Vta. De miel</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7"/>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N/A</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623"/>
              <w:rPr>
                <w:sz w:val="24"/>
              </w:rPr>
            </w:pPr>
            <w:r>
              <w:rPr>
                <w:sz w:val="24"/>
              </w:rPr>
              <w:t>Vta. De pizzas (expendio)</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69"/>
              <w:rPr>
                <w:sz w:val="24"/>
              </w:rPr>
            </w:pPr>
            <w:r>
              <w:rPr>
                <w:sz w:val="24"/>
              </w:rPr>
              <w:t>Vta. De puertas de madera e inst.</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552.68</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322.32</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De raspados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bl>
    <w:p>
      <w:pPr>
        <w:spacing w:after="0" w:line="255" w:lineRule="exact"/>
        <w:jc w:val="right"/>
        <w:rPr>
          <w:sz w:val="24"/>
        </w:rPr>
        <w:sectPr>
          <w:headerReference w:type="default" r:id="rId108"/>
          <w:headerReference w:type="even" r:id="rId109"/>
          <w:pgSz w:w="12250" w:h="15850"/>
          <w:pgMar w:header="730" w:footer="0" w:top="1000" w:bottom="280" w:left="860" w:right="820"/>
          <w:pgNumType w:start="113"/>
        </w:sectPr>
      </w:pPr>
    </w:p>
    <w:p>
      <w:pPr>
        <w:pStyle w:val="BodyText"/>
        <w:spacing w:before="10"/>
        <w:rPr>
          <w:b/>
          <w:sz w:val="15"/>
        </w:rPr>
      </w:pPr>
      <w:r>
        <w:rPr/>
        <w:drawing>
          <wp:anchor distT="0" distB="0" distL="0" distR="0" allowOverlap="1" layoutInCell="1" locked="0" behindDoc="1" simplePos="0" relativeHeight="227581952">
            <wp:simplePos x="0" y="0"/>
            <wp:positionH relativeFrom="page">
              <wp:posOffset>1252555</wp:posOffset>
            </wp:positionH>
            <wp:positionV relativeFrom="page">
              <wp:posOffset>2084831</wp:posOffset>
            </wp:positionV>
            <wp:extent cx="5026050" cy="5148262"/>
            <wp:effectExtent l="0" t="0" r="0" b="0"/>
            <wp:wrapNone/>
            <wp:docPr id="223" name="image95.png"/>
            <wp:cNvGraphicFramePr>
              <a:graphicFrameLocks noChangeAspect="1"/>
            </wp:cNvGraphicFramePr>
            <a:graphic>
              <a:graphicData uri="http://schemas.openxmlformats.org/drawingml/2006/picture">
                <pic:pic>
                  <pic:nvPicPr>
                    <pic:cNvPr id="224" name="image95.png"/>
                    <pic:cNvPicPr/>
                  </pic:nvPicPr>
                  <pic:blipFill>
                    <a:blip r:embed="rId105" cstate="print"/>
                    <a:stretch>
                      <a:fillRect/>
                    </a:stretch>
                  </pic:blipFill>
                  <pic:spPr>
                    <a:xfrm>
                      <a:off x="0" y="0"/>
                      <a:ext cx="5026050" cy="5148262"/>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De sandalias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rFonts w:ascii="Times New Roman"/>
                <w:sz w:val="24"/>
              </w:rPr>
            </w:pPr>
          </w:p>
        </w:tc>
        <w:tc>
          <w:tcPr>
            <w:tcW w:w="1304" w:type="dxa"/>
          </w:tcPr>
          <w:p>
            <w:pPr>
              <w:pStyle w:val="TableParagraph"/>
              <w:rPr>
                <w:b/>
                <w:sz w:val="24"/>
              </w:rPr>
            </w:pPr>
          </w:p>
          <w:p>
            <w:pPr>
              <w:pStyle w:val="TableParagraph"/>
              <w:spacing w:line="255" w:lineRule="exact"/>
              <w:ind w:right="63"/>
              <w:jc w:val="right"/>
              <w:rPr>
                <w:sz w:val="24"/>
              </w:rPr>
            </w:pPr>
            <w:r>
              <w:rPr>
                <w:w w:val="99"/>
                <w:sz w:val="24"/>
              </w:rPr>
              <w:t>-</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De tamales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N/A</w:t>
            </w:r>
          </w:p>
        </w:tc>
        <w:tc>
          <w:tcPr>
            <w:tcW w:w="1304" w:type="dxa"/>
          </w:tcPr>
          <w:p>
            <w:pPr>
              <w:pStyle w:val="TableParagraph"/>
              <w:rPr>
                <w:b/>
                <w:sz w:val="24"/>
              </w:rPr>
            </w:pPr>
          </w:p>
          <w:p>
            <w:pPr>
              <w:pStyle w:val="TableParagraph"/>
              <w:spacing w:line="255" w:lineRule="exact"/>
              <w:ind w:right="66"/>
              <w:jc w:val="right"/>
              <w:rPr>
                <w:sz w:val="24"/>
              </w:rPr>
            </w:pPr>
            <w:r>
              <w:rPr>
                <w:sz w:val="24"/>
              </w:rPr>
              <w:t>241.07</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Vta. Fertilizantes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183.93</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2" w:hRule="atLeast"/>
        </w:trPr>
        <w:tc>
          <w:tcPr>
            <w:tcW w:w="2268" w:type="dxa"/>
          </w:tcPr>
          <w:p>
            <w:pPr>
              <w:pStyle w:val="TableParagraph"/>
              <w:spacing w:line="270" w:lineRule="atLeast" w:before="1"/>
              <w:ind w:left="67" w:right="356"/>
              <w:rPr>
                <w:sz w:val="24"/>
              </w:rPr>
            </w:pPr>
            <w:r>
              <w:rPr>
                <w:sz w:val="24"/>
              </w:rPr>
              <w:t>Zapatería (chica) de 1 a 20 mts.2</w:t>
            </w:r>
          </w:p>
        </w:tc>
        <w:tc>
          <w:tcPr>
            <w:tcW w:w="1561" w:type="dxa"/>
          </w:tcPr>
          <w:p>
            <w:pPr>
              <w:pStyle w:val="TableParagraph"/>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4"/>
              </w:rPr>
            </w:pPr>
          </w:p>
          <w:p>
            <w:pPr>
              <w:pStyle w:val="TableParagraph"/>
              <w:spacing w:line="255" w:lineRule="exact" w:before="1"/>
              <w:ind w:right="62"/>
              <w:jc w:val="right"/>
              <w:rPr>
                <w:sz w:val="24"/>
              </w:rPr>
            </w:pPr>
            <w:r>
              <w:rPr>
                <w:sz w:val="24"/>
              </w:rPr>
              <w:t>384.82</w:t>
            </w:r>
          </w:p>
        </w:tc>
        <w:tc>
          <w:tcPr>
            <w:tcW w:w="1324" w:type="dxa"/>
          </w:tcPr>
          <w:p>
            <w:pPr>
              <w:pStyle w:val="TableParagraph"/>
              <w:rPr>
                <w:b/>
                <w:sz w:val="24"/>
              </w:rPr>
            </w:pPr>
          </w:p>
          <w:p>
            <w:pPr>
              <w:pStyle w:val="TableParagraph"/>
              <w:spacing w:line="255" w:lineRule="exact" w:before="1"/>
              <w:ind w:right="63"/>
              <w:jc w:val="right"/>
              <w:rPr>
                <w:sz w:val="24"/>
              </w:rPr>
            </w:pPr>
            <w:r>
              <w:rPr>
                <w:sz w:val="24"/>
              </w:rPr>
              <w:t>183.93</w:t>
            </w:r>
          </w:p>
        </w:tc>
        <w:tc>
          <w:tcPr>
            <w:tcW w:w="1304" w:type="dxa"/>
          </w:tcPr>
          <w:p>
            <w:pPr>
              <w:pStyle w:val="TableParagraph"/>
              <w:rPr>
                <w:b/>
                <w:sz w:val="24"/>
              </w:rPr>
            </w:pPr>
          </w:p>
          <w:p>
            <w:pPr>
              <w:pStyle w:val="TableParagraph"/>
              <w:spacing w:line="255" w:lineRule="exact" w:before="1"/>
              <w:ind w:right="63"/>
              <w:jc w:val="right"/>
              <w:rPr>
                <w:sz w:val="24"/>
              </w:rPr>
            </w:pPr>
            <w:r>
              <w:rPr>
                <w:w w:val="99"/>
                <w:sz w:val="24"/>
              </w:rPr>
              <w:t>-</w:t>
            </w:r>
          </w:p>
        </w:tc>
      </w:tr>
      <w:tr>
        <w:trPr>
          <w:trHeight w:val="550" w:hRule="atLeast"/>
        </w:trPr>
        <w:tc>
          <w:tcPr>
            <w:tcW w:w="2268" w:type="dxa"/>
          </w:tcPr>
          <w:p>
            <w:pPr>
              <w:pStyle w:val="TableParagraph"/>
              <w:spacing w:line="276" w:lineRule="exact" w:before="4"/>
              <w:ind w:left="67" w:right="169"/>
              <w:rPr>
                <w:sz w:val="24"/>
              </w:rPr>
            </w:pPr>
            <w:r>
              <w:rPr>
                <w:sz w:val="24"/>
              </w:rPr>
              <w:t>Zapatería (grande) de 21 a 40 mts.2</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183.93</w:t>
            </w:r>
          </w:p>
        </w:tc>
        <w:tc>
          <w:tcPr>
            <w:tcW w:w="1304" w:type="dxa"/>
          </w:tcPr>
          <w:p>
            <w:pPr>
              <w:pStyle w:val="TableParagraph"/>
              <w:spacing w:before="11"/>
              <w:rPr>
                <w:b/>
                <w:sz w:val="23"/>
              </w:rPr>
            </w:pPr>
          </w:p>
          <w:p>
            <w:pPr>
              <w:pStyle w:val="TableParagraph"/>
              <w:spacing w:line="255" w:lineRule="exact"/>
              <w:ind w:right="63"/>
              <w:jc w:val="right"/>
              <w:rPr>
                <w:sz w:val="24"/>
              </w:rPr>
            </w:pPr>
            <w:r>
              <w:rPr>
                <w:w w:val="99"/>
                <w:sz w:val="24"/>
              </w:rPr>
              <w:t>-</w:t>
            </w:r>
          </w:p>
        </w:tc>
      </w:tr>
      <w:tr>
        <w:trPr>
          <w:trHeight w:val="822" w:hRule="atLeast"/>
        </w:trPr>
        <w:tc>
          <w:tcPr>
            <w:tcW w:w="2268" w:type="dxa"/>
          </w:tcPr>
          <w:p>
            <w:pPr>
              <w:pStyle w:val="TableParagraph"/>
              <w:spacing w:line="271" w:lineRule="exact"/>
              <w:ind w:left="67"/>
              <w:rPr>
                <w:sz w:val="24"/>
              </w:rPr>
            </w:pPr>
            <w:r>
              <w:rPr>
                <w:sz w:val="24"/>
              </w:rPr>
              <w:t>Zapatería</w:t>
            </w:r>
          </w:p>
          <w:p>
            <w:pPr>
              <w:pStyle w:val="TableParagraph"/>
              <w:spacing w:line="270" w:lineRule="atLeast"/>
              <w:ind w:left="67" w:right="103"/>
              <w:rPr>
                <w:sz w:val="24"/>
              </w:rPr>
            </w:pPr>
            <w:r>
              <w:rPr>
                <w:sz w:val="24"/>
              </w:rPr>
              <w:t>(mediana) de 41 </w:t>
            </w:r>
            <w:r>
              <w:rPr>
                <w:spacing w:val="-7"/>
                <w:sz w:val="24"/>
              </w:rPr>
              <w:t>en </w:t>
            </w:r>
            <w:r>
              <w:rPr>
                <w:sz w:val="24"/>
              </w:rPr>
              <w:t>adelante.</w:t>
            </w:r>
          </w:p>
        </w:tc>
        <w:tc>
          <w:tcPr>
            <w:tcW w:w="1561" w:type="dxa"/>
          </w:tcPr>
          <w:p>
            <w:pPr>
              <w:pStyle w:val="TableParagraph"/>
              <w:rPr>
                <w:b/>
                <w:sz w:val="26"/>
              </w:rPr>
            </w:pPr>
          </w:p>
          <w:p>
            <w:pPr>
              <w:pStyle w:val="TableParagraph"/>
              <w:spacing w:before="6"/>
              <w:rPr>
                <w:b/>
                <w:sz w:val="21"/>
              </w:rPr>
            </w:pPr>
          </w:p>
          <w:p>
            <w:pPr>
              <w:pStyle w:val="TableParagraph"/>
              <w:spacing w:line="255" w:lineRule="exact"/>
              <w:ind w:right="60"/>
              <w:jc w:val="right"/>
              <w:rPr>
                <w:sz w:val="24"/>
              </w:rPr>
            </w:pPr>
            <w:r>
              <w:rPr>
                <w:sz w:val="24"/>
              </w:rPr>
              <w:t>102.68</w:t>
            </w:r>
          </w:p>
        </w:tc>
        <w:tc>
          <w:tcPr>
            <w:tcW w:w="1986" w:type="dxa"/>
          </w:tcPr>
          <w:p>
            <w:pPr>
              <w:pStyle w:val="TableParagraph"/>
              <w:rPr>
                <w:rFonts w:ascii="Times New Roman"/>
                <w:sz w:val="24"/>
              </w:rPr>
            </w:pPr>
          </w:p>
        </w:tc>
        <w:tc>
          <w:tcPr>
            <w:tcW w:w="1230" w:type="dxa"/>
          </w:tcPr>
          <w:p>
            <w:pPr>
              <w:pStyle w:val="TableParagraph"/>
              <w:rPr>
                <w:b/>
                <w:sz w:val="26"/>
              </w:rPr>
            </w:pPr>
          </w:p>
          <w:p>
            <w:pPr>
              <w:pStyle w:val="TableParagraph"/>
              <w:spacing w:before="6"/>
              <w:rPr>
                <w:b/>
                <w:sz w:val="21"/>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sz w:val="24"/>
              </w:rPr>
              <w:t>183.93</w:t>
            </w:r>
          </w:p>
        </w:tc>
        <w:tc>
          <w:tcPr>
            <w:tcW w:w="1304" w:type="dxa"/>
          </w:tcPr>
          <w:p>
            <w:pPr>
              <w:pStyle w:val="TableParagraph"/>
              <w:rPr>
                <w:b/>
                <w:sz w:val="26"/>
              </w:rPr>
            </w:pPr>
          </w:p>
          <w:p>
            <w:pPr>
              <w:pStyle w:val="TableParagraph"/>
              <w:spacing w:before="6"/>
              <w:rPr>
                <w:b/>
                <w:sz w:val="21"/>
              </w:rPr>
            </w:pPr>
          </w:p>
          <w:p>
            <w:pPr>
              <w:pStyle w:val="TableParagraph"/>
              <w:spacing w:line="255" w:lineRule="exact"/>
              <w:ind w:right="63"/>
              <w:jc w:val="right"/>
              <w:rPr>
                <w:sz w:val="24"/>
              </w:rPr>
            </w:pPr>
            <w:r>
              <w:rPr>
                <w:w w:val="99"/>
                <w:sz w:val="24"/>
              </w:rPr>
              <w:t>-</w:t>
            </w:r>
          </w:p>
        </w:tc>
      </w:tr>
      <w:tr>
        <w:trPr>
          <w:trHeight w:val="552" w:hRule="atLeast"/>
        </w:trPr>
        <w:tc>
          <w:tcPr>
            <w:tcW w:w="2268" w:type="dxa"/>
          </w:tcPr>
          <w:p>
            <w:pPr>
              <w:pStyle w:val="TableParagraph"/>
              <w:spacing w:line="270" w:lineRule="atLeast" w:before="2"/>
              <w:ind w:left="67" w:right="649"/>
              <w:rPr>
                <w:sz w:val="24"/>
              </w:rPr>
            </w:pPr>
            <w:r>
              <w:rPr>
                <w:sz w:val="24"/>
              </w:rPr>
              <w:t>Agencia o sub agencia</w:t>
            </w:r>
          </w:p>
        </w:tc>
        <w:tc>
          <w:tcPr>
            <w:tcW w:w="1561" w:type="dxa"/>
          </w:tcPr>
          <w:p>
            <w:pPr>
              <w:pStyle w:val="TableParagraph"/>
              <w:spacing w:before="2"/>
              <w:rPr>
                <w:b/>
                <w:sz w:val="24"/>
              </w:rPr>
            </w:pPr>
          </w:p>
          <w:p>
            <w:pPr>
              <w:pStyle w:val="TableParagraph"/>
              <w:spacing w:line="255" w:lineRule="exact"/>
              <w:ind w:right="60"/>
              <w:jc w:val="right"/>
              <w:rPr>
                <w:sz w:val="24"/>
              </w:rPr>
            </w:pPr>
            <w:r>
              <w:rPr>
                <w:sz w:val="24"/>
              </w:rPr>
              <w:t>102.68</w:t>
            </w:r>
          </w:p>
        </w:tc>
        <w:tc>
          <w:tcPr>
            <w:tcW w:w="1986" w:type="dxa"/>
          </w:tcPr>
          <w:p>
            <w:pPr>
              <w:pStyle w:val="TableParagraph"/>
              <w:spacing w:before="2"/>
              <w:rPr>
                <w:b/>
                <w:sz w:val="24"/>
              </w:rPr>
            </w:pPr>
          </w:p>
          <w:p>
            <w:pPr>
              <w:pStyle w:val="TableParagraph"/>
              <w:spacing w:line="255" w:lineRule="exact"/>
              <w:ind w:right="64"/>
              <w:jc w:val="right"/>
              <w:rPr>
                <w:sz w:val="24"/>
              </w:rPr>
            </w:pPr>
            <w:r>
              <w:rPr>
                <w:sz w:val="24"/>
              </w:rPr>
              <w:t>10,500.00</w:t>
            </w:r>
          </w:p>
        </w:tc>
        <w:tc>
          <w:tcPr>
            <w:tcW w:w="1230" w:type="dxa"/>
          </w:tcPr>
          <w:p>
            <w:pPr>
              <w:pStyle w:val="TableParagraph"/>
              <w:spacing w:before="2"/>
              <w:rPr>
                <w:b/>
                <w:sz w:val="24"/>
              </w:rPr>
            </w:pPr>
          </w:p>
          <w:p>
            <w:pPr>
              <w:pStyle w:val="TableParagraph"/>
              <w:spacing w:line="255" w:lineRule="exact"/>
              <w:ind w:right="62"/>
              <w:jc w:val="right"/>
              <w:rPr>
                <w:sz w:val="24"/>
              </w:rPr>
            </w:pPr>
            <w:r>
              <w:rPr>
                <w:sz w:val="24"/>
              </w:rPr>
              <w:t>933.93</w:t>
            </w:r>
          </w:p>
        </w:tc>
        <w:tc>
          <w:tcPr>
            <w:tcW w:w="1324" w:type="dxa"/>
          </w:tcPr>
          <w:p>
            <w:pPr>
              <w:pStyle w:val="TableParagraph"/>
              <w:spacing w:before="2"/>
              <w:rPr>
                <w:b/>
                <w:sz w:val="24"/>
              </w:rPr>
            </w:pPr>
          </w:p>
          <w:p>
            <w:pPr>
              <w:pStyle w:val="TableParagraph"/>
              <w:spacing w:line="255" w:lineRule="exact"/>
              <w:ind w:right="63"/>
              <w:jc w:val="right"/>
              <w:rPr>
                <w:sz w:val="24"/>
              </w:rPr>
            </w:pPr>
            <w:r>
              <w:rPr>
                <w:sz w:val="24"/>
              </w:rPr>
              <w:t>1,382.14</w:t>
            </w:r>
          </w:p>
        </w:tc>
        <w:tc>
          <w:tcPr>
            <w:tcW w:w="1304" w:type="dxa"/>
          </w:tcPr>
          <w:p>
            <w:pPr>
              <w:pStyle w:val="TableParagraph"/>
              <w:spacing w:before="2"/>
              <w:rPr>
                <w:b/>
                <w:sz w:val="24"/>
              </w:rPr>
            </w:pPr>
          </w:p>
          <w:p>
            <w:pPr>
              <w:pStyle w:val="TableParagraph"/>
              <w:spacing w:line="255" w:lineRule="exact"/>
              <w:ind w:right="66"/>
              <w:jc w:val="right"/>
              <w:rPr>
                <w:sz w:val="24"/>
              </w:rPr>
            </w:pPr>
            <w:r>
              <w:rPr>
                <w:sz w:val="24"/>
              </w:rPr>
              <w:t>807.14</w:t>
            </w:r>
          </w:p>
        </w:tc>
      </w:tr>
      <w:tr>
        <w:trPr>
          <w:trHeight w:val="550" w:hRule="atLeast"/>
        </w:trPr>
        <w:tc>
          <w:tcPr>
            <w:tcW w:w="2268" w:type="dxa"/>
          </w:tcPr>
          <w:p>
            <w:pPr>
              <w:pStyle w:val="TableParagraph"/>
              <w:spacing w:line="276" w:lineRule="exact" w:before="4"/>
              <w:ind w:left="67" w:right="863"/>
              <w:rPr>
                <w:sz w:val="24"/>
              </w:rPr>
            </w:pPr>
            <w:r>
              <w:rPr>
                <w:sz w:val="24"/>
              </w:rPr>
              <w:t>Almacén o distribuidora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11"/>
              <w:rPr>
                <w:b/>
                <w:sz w:val="23"/>
              </w:rPr>
            </w:pPr>
          </w:p>
          <w:p>
            <w:pPr>
              <w:pStyle w:val="TableParagraph"/>
              <w:spacing w:line="255" w:lineRule="exact"/>
              <w:ind w:right="64"/>
              <w:jc w:val="right"/>
              <w:rPr>
                <w:sz w:val="24"/>
              </w:rPr>
            </w:pPr>
            <w:r>
              <w:rPr>
                <w:sz w:val="24"/>
              </w:rPr>
              <w:t>10,500.00</w:t>
            </w: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1,211.61</w:t>
            </w:r>
          </w:p>
        </w:tc>
      </w:tr>
      <w:tr>
        <w:trPr>
          <w:trHeight w:val="547" w:hRule="atLeast"/>
        </w:trPr>
        <w:tc>
          <w:tcPr>
            <w:tcW w:w="2268" w:type="dxa"/>
          </w:tcPr>
          <w:p>
            <w:pPr>
              <w:pStyle w:val="TableParagraph"/>
              <w:spacing w:before="7"/>
              <w:rPr>
                <w:b/>
                <w:sz w:val="23"/>
              </w:rPr>
            </w:pPr>
          </w:p>
          <w:p>
            <w:pPr>
              <w:pStyle w:val="TableParagraph"/>
              <w:spacing w:line="255" w:lineRule="exact"/>
              <w:ind w:left="67"/>
              <w:rPr>
                <w:sz w:val="24"/>
              </w:rPr>
            </w:pPr>
            <w:r>
              <w:rPr>
                <w:sz w:val="24"/>
              </w:rPr>
              <w:t>Bar</w:t>
            </w:r>
          </w:p>
        </w:tc>
        <w:tc>
          <w:tcPr>
            <w:tcW w:w="1561" w:type="dxa"/>
          </w:tcPr>
          <w:p>
            <w:pPr>
              <w:pStyle w:val="TableParagraph"/>
              <w:spacing w:before="7"/>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7"/>
              <w:rPr>
                <w:b/>
                <w:sz w:val="23"/>
              </w:rPr>
            </w:pPr>
          </w:p>
          <w:p>
            <w:pPr>
              <w:pStyle w:val="TableParagraph"/>
              <w:spacing w:line="255" w:lineRule="exact"/>
              <w:ind w:right="63"/>
              <w:jc w:val="right"/>
              <w:rPr>
                <w:sz w:val="24"/>
              </w:rPr>
            </w:pPr>
            <w:r>
              <w:rPr>
                <w:sz w:val="24"/>
              </w:rPr>
              <w:t>6,150.00</w:t>
            </w:r>
          </w:p>
        </w:tc>
        <w:tc>
          <w:tcPr>
            <w:tcW w:w="1230" w:type="dxa"/>
          </w:tcPr>
          <w:p>
            <w:pPr>
              <w:pStyle w:val="TableParagraph"/>
              <w:spacing w:before="7"/>
              <w:rPr>
                <w:b/>
                <w:sz w:val="23"/>
              </w:rPr>
            </w:pPr>
          </w:p>
          <w:p>
            <w:pPr>
              <w:pStyle w:val="TableParagraph"/>
              <w:spacing w:line="255" w:lineRule="exact"/>
              <w:ind w:right="62"/>
              <w:jc w:val="right"/>
              <w:rPr>
                <w:sz w:val="24"/>
              </w:rPr>
            </w:pPr>
            <w:r>
              <w:rPr>
                <w:sz w:val="24"/>
              </w:rPr>
              <w:t>933.93</w:t>
            </w:r>
          </w:p>
        </w:tc>
        <w:tc>
          <w:tcPr>
            <w:tcW w:w="1324" w:type="dxa"/>
          </w:tcPr>
          <w:p>
            <w:pPr>
              <w:pStyle w:val="TableParagraph"/>
              <w:spacing w:before="7"/>
              <w:rPr>
                <w:b/>
                <w:sz w:val="23"/>
              </w:rPr>
            </w:pPr>
          </w:p>
          <w:p>
            <w:pPr>
              <w:pStyle w:val="TableParagraph"/>
              <w:spacing w:line="255" w:lineRule="exact"/>
              <w:ind w:right="63"/>
              <w:jc w:val="right"/>
              <w:rPr>
                <w:sz w:val="24"/>
              </w:rPr>
            </w:pPr>
            <w:r>
              <w:rPr>
                <w:sz w:val="24"/>
              </w:rPr>
              <w:t>552.68</w:t>
            </w:r>
          </w:p>
        </w:tc>
        <w:tc>
          <w:tcPr>
            <w:tcW w:w="1304" w:type="dxa"/>
          </w:tcPr>
          <w:p>
            <w:pPr>
              <w:pStyle w:val="TableParagraph"/>
              <w:spacing w:before="7"/>
              <w:rPr>
                <w:b/>
                <w:sz w:val="23"/>
              </w:rPr>
            </w:pPr>
          </w:p>
          <w:p>
            <w:pPr>
              <w:pStyle w:val="TableParagraph"/>
              <w:spacing w:line="255" w:lineRule="exact"/>
              <w:ind w:right="66"/>
              <w:jc w:val="right"/>
              <w:rPr>
                <w:sz w:val="24"/>
              </w:rPr>
            </w:pPr>
            <w:r>
              <w:rPr>
                <w:sz w:val="24"/>
              </w:rPr>
              <w:t>1,211.61</w:t>
            </w:r>
          </w:p>
        </w:tc>
      </w:tr>
      <w:tr>
        <w:trPr>
          <w:trHeight w:val="827" w:hRule="atLeast"/>
        </w:trPr>
        <w:tc>
          <w:tcPr>
            <w:tcW w:w="2268" w:type="dxa"/>
          </w:tcPr>
          <w:p>
            <w:pPr>
              <w:pStyle w:val="TableParagraph"/>
              <w:spacing w:line="270" w:lineRule="atLeast"/>
              <w:ind w:left="67" w:right="409"/>
              <w:rPr>
                <w:sz w:val="24"/>
              </w:rPr>
            </w:pPr>
            <w:r>
              <w:rPr>
                <w:sz w:val="24"/>
              </w:rPr>
              <w:t>Bebidas preparadas para llevar</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6,000.00</w:t>
            </w: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552.68</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Cantina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11"/>
              <w:rPr>
                <w:b/>
                <w:sz w:val="23"/>
              </w:rPr>
            </w:pPr>
          </w:p>
          <w:p>
            <w:pPr>
              <w:pStyle w:val="TableParagraph"/>
              <w:spacing w:line="255" w:lineRule="exact"/>
              <w:ind w:right="63"/>
              <w:jc w:val="right"/>
              <w:rPr>
                <w:sz w:val="24"/>
              </w:rPr>
            </w:pPr>
            <w:r>
              <w:rPr>
                <w:sz w:val="24"/>
              </w:rPr>
              <w:t>7,180.00</w:t>
            </w: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384.82</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807.14</w:t>
            </w:r>
          </w:p>
        </w:tc>
      </w:tr>
      <w:tr>
        <w:trPr>
          <w:trHeight w:val="551" w:hRule="atLeast"/>
        </w:trPr>
        <w:tc>
          <w:tcPr>
            <w:tcW w:w="2268" w:type="dxa"/>
          </w:tcPr>
          <w:p>
            <w:pPr>
              <w:pStyle w:val="TableParagraph"/>
              <w:spacing w:line="270" w:lineRule="atLeast"/>
              <w:ind w:left="67" w:right="1023"/>
              <w:rPr>
                <w:sz w:val="24"/>
              </w:rPr>
            </w:pPr>
            <w:r>
              <w:rPr>
                <w:sz w:val="24"/>
              </w:rPr>
              <w:t>Casas de asignación</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4"/>
              <w:jc w:val="right"/>
              <w:rPr>
                <w:sz w:val="24"/>
              </w:rPr>
            </w:pPr>
            <w:r>
              <w:rPr>
                <w:sz w:val="24"/>
              </w:rPr>
              <w:t>37,000.00</w:t>
            </w: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551" w:hRule="atLeast"/>
        </w:trPr>
        <w:tc>
          <w:tcPr>
            <w:tcW w:w="2268" w:type="dxa"/>
          </w:tcPr>
          <w:p>
            <w:pPr>
              <w:pStyle w:val="TableParagraph"/>
              <w:spacing w:before="11"/>
              <w:rPr>
                <w:b/>
                <w:sz w:val="23"/>
              </w:rPr>
            </w:pPr>
          </w:p>
          <w:p>
            <w:pPr>
              <w:pStyle w:val="TableParagraph"/>
              <w:spacing w:line="255" w:lineRule="exact"/>
              <w:ind w:left="67"/>
              <w:rPr>
                <w:sz w:val="24"/>
              </w:rPr>
            </w:pPr>
            <w:r>
              <w:rPr>
                <w:sz w:val="24"/>
              </w:rPr>
              <w:t>Centro comercial</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11"/>
              <w:rPr>
                <w:b/>
                <w:sz w:val="23"/>
              </w:rPr>
            </w:pPr>
          </w:p>
          <w:p>
            <w:pPr>
              <w:pStyle w:val="TableParagraph"/>
              <w:spacing w:line="255" w:lineRule="exact"/>
              <w:ind w:right="64"/>
              <w:jc w:val="right"/>
              <w:rPr>
                <w:sz w:val="24"/>
              </w:rPr>
            </w:pPr>
            <w:r>
              <w:rPr>
                <w:sz w:val="24"/>
              </w:rPr>
              <w:t>36,000.00</w:t>
            </w:r>
          </w:p>
        </w:tc>
        <w:tc>
          <w:tcPr>
            <w:tcW w:w="1230" w:type="dxa"/>
          </w:tcPr>
          <w:p>
            <w:pPr>
              <w:pStyle w:val="TableParagraph"/>
              <w:spacing w:before="11"/>
              <w:rPr>
                <w:b/>
                <w:sz w:val="23"/>
              </w:rPr>
            </w:pPr>
          </w:p>
          <w:p>
            <w:pPr>
              <w:pStyle w:val="TableParagraph"/>
              <w:spacing w:line="255" w:lineRule="exact"/>
              <w:ind w:right="61"/>
              <w:jc w:val="right"/>
              <w:rPr>
                <w:sz w:val="24"/>
              </w:rPr>
            </w:pPr>
            <w:r>
              <w:rPr>
                <w:sz w:val="24"/>
              </w:rPr>
              <w:t>2,220.54</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2,018.65</w:t>
            </w:r>
          </w:p>
        </w:tc>
      </w:tr>
      <w:tr>
        <w:trPr>
          <w:trHeight w:val="830" w:hRule="atLeast"/>
        </w:trPr>
        <w:tc>
          <w:tcPr>
            <w:tcW w:w="2268" w:type="dxa"/>
          </w:tcPr>
          <w:p>
            <w:pPr>
              <w:pStyle w:val="TableParagraph"/>
              <w:spacing w:before="2"/>
              <w:ind w:left="67"/>
              <w:rPr>
                <w:sz w:val="24"/>
              </w:rPr>
            </w:pPr>
            <w:r>
              <w:rPr>
                <w:sz w:val="24"/>
              </w:rPr>
              <w:t>Centro de</w:t>
            </w:r>
            <w:r>
              <w:rPr>
                <w:spacing w:val="-3"/>
                <w:sz w:val="24"/>
              </w:rPr>
              <w:t> </w:t>
            </w:r>
            <w:r>
              <w:rPr>
                <w:sz w:val="24"/>
              </w:rPr>
              <w:t>apuestas</w:t>
            </w:r>
          </w:p>
          <w:p>
            <w:pPr>
              <w:pStyle w:val="TableParagraph"/>
              <w:spacing w:line="270" w:lineRule="atLeast" w:before="1"/>
              <w:ind w:left="67"/>
              <w:rPr>
                <w:sz w:val="24"/>
              </w:rPr>
            </w:pPr>
            <w:r>
              <w:rPr>
                <w:sz w:val="24"/>
              </w:rPr>
              <w:t>remotas y salas de sorteos de</w:t>
            </w:r>
            <w:r>
              <w:rPr>
                <w:spacing w:val="3"/>
                <w:sz w:val="24"/>
              </w:rPr>
              <w:t> </w:t>
            </w:r>
            <w:r>
              <w:rPr>
                <w:spacing w:val="-3"/>
                <w:sz w:val="24"/>
              </w:rPr>
              <w:t>números</w:t>
            </w:r>
          </w:p>
        </w:tc>
        <w:tc>
          <w:tcPr>
            <w:tcW w:w="1561" w:type="dxa"/>
          </w:tcPr>
          <w:p>
            <w:pPr>
              <w:pStyle w:val="TableParagraph"/>
              <w:rPr>
                <w:b/>
                <w:sz w:val="26"/>
              </w:rPr>
            </w:pPr>
          </w:p>
          <w:p>
            <w:pPr>
              <w:pStyle w:val="TableParagraph"/>
              <w:spacing w:before="3"/>
              <w:rPr>
                <w:b/>
                <w:sz w:val="22"/>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spacing w:before="3"/>
              <w:rPr>
                <w:b/>
                <w:sz w:val="22"/>
              </w:rPr>
            </w:pPr>
          </w:p>
          <w:p>
            <w:pPr>
              <w:pStyle w:val="TableParagraph"/>
              <w:spacing w:line="255" w:lineRule="exact"/>
              <w:ind w:right="61"/>
              <w:jc w:val="right"/>
              <w:rPr>
                <w:sz w:val="24"/>
              </w:rPr>
            </w:pPr>
            <w:r>
              <w:rPr>
                <w:sz w:val="24"/>
              </w:rPr>
              <w:t>700,000.00</w:t>
            </w:r>
          </w:p>
        </w:tc>
        <w:tc>
          <w:tcPr>
            <w:tcW w:w="1230" w:type="dxa"/>
          </w:tcPr>
          <w:p>
            <w:pPr>
              <w:pStyle w:val="TableParagraph"/>
              <w:rPr>
                <w:b/>
                <w:sz w:val="26"/>
              </w:rPr>
            </w:pPr>
          </w:p>
          <w:p>
            <w:pPr>
              <w:pStyle w:val="TableParagraph"/>
              <w:spacing w:before="3"/>
              <w:rPr>
                <w:b/>
                <w:sz w:val="22"/>
              </w:rPr>
            </w:pPr>
          </w:p>
          <w:p>
            <w:pPr>
              <w:pStyle w:val="TableParagraph"/>
              <w:spacing w:line="255" w:lineRule="exact"/>
              <w:ind w:right="61"/>
              <w:jc w:val="right"/>
              <w:rPr>
                <w:sz w:val="24"/>
              </w:rPr>
            </w:pPr>
            <w:r>
              <w:rPr>
                <w:sz w:val="24"/>
              </w:rPr>
              <w:t>2,220.54</w:t>
            </w:r>
          </w:p>
        </w:tc>
        <w:tc>
          <w:tcPr>
            <w:tcW w:w="1324" w:type="dxa"/>
          </w:tcPr>
          <w:p>
            <w:pPr>
              <w:pStyle w:val="TableParagraph"/>
              <w:rPr>
                <w:b/>
                <w:sz w:val="26"/>
              </w:rPr>
            </w:pPr>
          </w:p>
          <w:p>
            <w:pPr>
              <w:pStyle w:val="TableParagraph"/>
              <w:spacing w:before="3"/>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spacing w:before="3"/>
              <w:rPr>
                <w:b/>
                <w:sz w:val="22"/>
              </w:rPr>
            </w:pPr>
          </w:p>
          <w:p>
            <w:pPr>
              <w:pStyle w:val="TableParagraph"/>
              <w:spacing w:line="255" w:lineRule="exact"/>
              <w:ind w:right="66"/>
              <w:jc w:val="right"/>
              <w:rPr>
                <w:sz w:val="24"/>
              </w:rPr>
            </w:pPr>
            <w:r>
              <w:rPr>
                <w:sz w:val="24"/>
              </w:rPr>
              <w:t>2,018.65</w:t>
            </w:r>
          </w:p>
        </w:tc>
      </w:tr>
      <w:tr>
        <w:trPr>
          <w:trHeight w:val="1209" w:hRule="atLeast"/>
        </w:trPr>
        <w:tc>
          <w:tcPr>
            <w:tcW w:w="2268" w:type="dxa"/>
          </w:tcPr>
          <w:p>
            <w:pPr>
              <w:pStyle w:val="TableParagraph"/>
              <w:spacing w:line="270" w:lineRule="atLeast" w:before="105"/>
              <w:ind w:left="67" w:right="556"/>
              <w:rPr>
                <w:sz w:val="24"/>
              </w:rPr>
            </w:pPr>
            <w:r>
              <w:rPr>
                <w:sz w:val="24"/>
              </w:rPr>
              <w:t>Centro de espectáculos públicos de 1 a 1000 personas</w:t>
            </w:r>
          </w:p>
        </w:tc>
        <w:tc>
          <w:tcPr>
            <w:tcW w:w="1561" w:type="dxa"/>
          </w:tcPr>
          <w:p>
            <w:pPr>
              <w:pStyle w:val="TableParagraph"/>
              <w:rPr>
                <w:b/>
                <w:sz w:val="26"/>
              </w:rPr>
            </w:pPr>
          </w:p>
          <w:p>
            <w:pPr>
              <w:pStyle w:val="TableParagraph"/>
              <w:rPr>
                <w:b/>
                <w:sz w:val="26"/>
              </w:rPr>
            </w:pPr>
          </w:p>
          <w:p>
            <w:pPr>
              <w:pStyle w:val="TableParagraph"/>
              <w:spacing w:before="2"/>
              <w:rPr>
                <w:b/>
                <w:sz w:val="29"/>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rPr>
                <w:b/>
                <w:sz w:val="26"/>
              </w:rPr>
            </w:pPr>
          </w:p>
          <w:p>
            <w:pPr>
              <w:pStyle w:val="TableParagraph"/>
              <w:spacing w:before="2"/>
              <w:rPr>
                <w:b/>
                <w:sz w:val="29"/>
              </w:rPr>
            </w:pPr>
          </w:p>
          <w:p>
            <w:pPr>
              <w:pStyle w:val="TableParagraph"/>
              <w:spacing w:line="255" w:lineRule="exact"/>
              <w:ind w:right="64"/>
              <w:jc w:val="right"/>
              <w:rPr>
                <w:sz w:val="24"/>
              </w:rPr>
            </w:pPr>
            <w:r>
              <w:rPr>
                <w:sz w:val="24"/>
              </w:rPr>
              <w:t>12,000.00</w:t>
            </w:r>
          </w:p>
        </w:tc>
        <w:tc>
          <w:tcPr>
            <w:tcW w:w="1230" w:type="dxa"/>
          </w:tcPr>
          <w:p>
            <w:pPr>
              <w:pStyle w:val="TableParagraph"/>
              <w:rPr>
                <w:b/>
                <w:sz w:val="26"/>
              </w:rPr>
            </w:pPr>
          </w:p>
          <w:p>
            <w:pPr>
              <w:pStyle w:val="TableParagraph"/>
              <w:rPr>
                <w:b/>
                <w:sz w:val="26"/>
              </w:rPr>
            </w:pPr>
          </w:p>
          <w:p>
            <w:pPr>
              <w:pStyle w:val="TableParagraph"/>
              <w:spacing w:before="2"/>
              <w:rPr>
                <w:b/>
                <w:sz w:val="29"/>
              </w:rPr>
            </w:pPr>
          </w:p>
          <w:p>
            <w:pPr>
              <w:pStyle w:val="TableParagraph"/>
              <w:spacing w:line="255" w:lineRule="exact"/>
              <w:ind w:right="61"/>
              <w:jc w:val="right"/>
              <w:rPr>
                <w:sz w:val="24"/>
              </w:rPr>
            </w:pPr>
            <w:r>
              <w:rPr>
                <w:sz w:val="24"/>
              </w:rPr>
              <w:t>2,220.54</w:t>
            </w:r>
          </w:p>
        </w:tc>
        <w:tc>
          <w:tcPr>
            <w:tcW w:w="1324" w:type="dxa"/>
          </w:tcPr>
          <w:p>
            <w:pPr>
              <w:pStyle w:val="TableParagraph"/>
              <w:rPr>
                <w:b/>
                <w:sz w:val="26"/>
              </w:rPr>
            </w:pPr>
          </w:p>
          <w:p>
            <w:pPr>
              <w:pStyle w:val="TableParagraph"/>
              <w:rPr>
                <w:b/>
                <w:sz w:val="26"/>
              </w:rPr>
            </w:pPr>
          </w:p>
          <w:p>
            <w:pPr>
              <w:pStyle w:val="TableParagraph"/>
              <w:spacing w:before="2"/>
              <w:rPr>
                <w:b/>
                <w:sz w:val="29"/>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before="2"/>
              <w:rPr>
                <w:b/>
                <w:sz w:val="29"/>
              </w:rPr>
            </w:pPr>
          </w:p>
          <w:p>
            <w:pPr>
              <w:pStyle w:val="TableParagraph"/>
              <w:spacing w:line="255" w:lineRule="exact"/>
              <w:ind w:right="66"/>
              <w:jc w:val="right"/>
              <w:rPr>
                <w:sz w:val="24"/>
              </w:rPr>
            </w:pPr>
            <w:r>
              <w:rPr>
                <w:sz w:val="24"/>
              </w:rPr>
              <w:t>2,018.65</w:t>
            </w:r>
          </w:p>
        </w:tc>
      </w:tr>
      <w:tr>
        <w:trPr>
          <w:trHeight w:val="1105" w:hRule="atLeast"/>
        </w:trPr>
        <w:tc>
          <w:tcPr>
            <w:tcW w:w="2268" w:type="dxa"/>
          </w:tcPr>
          <w:p>
            <w:pPr>
              <w:pStyle w:val="TableParagraph"/>
              <w:spacing w:line="270" w:lineRule="atLeast" w:before="2"/>
              <w:ind w:left="67" w:right="356"/>
              <w:rPr>
                <w:sz w:val="24"/>
              </w:rPr>
            </w:pPr>
            <w:r>
              <w:rPr>
                <w:sz w:val="24"/>
              </w:rPr>
              <w:t>Centro de espectáculos públicos de 1001 en adelante</w:t>
            </w:r>
          </w:p>
        </w:tc>
        <w:tc>
          <w:tcPr>
            <w:tcW w:w="1561" w:type="dxa"/>
          </w:tcPr>
          <w:p>
            <w:pPr>
              <w:pStyle w:val="TableParagraph"/>
              <w:rPr>
                <w:b/>
                <w:sz w:val="26"/>
              </w:rPr>
            </w:pPr>
          </w:p>
          <w:p>
            <w:pPr>
              <w:pStyle w:val="TableParagraph"/>
              <w:rPr>
                <w:b/>
                <w:sz w:val="26"/>
              </w:rPr>
            </w:pPr>
          </w:p>
          <w:p>
            <w:pPr>
              <w:pStyle w:val="TableParagraph"/>
              <w:spacing w:line="255" w:lineRule="exact" w:before="232"/>
              <w:ind w:right="60"/>
              <w:jc w:val="right"/>
              <w:rPr>
                <w:sz w:val="24"/>
              </w:rPr>
            </w:pPr>
            <w:r>
              <w:rPr>
                <w:sz w:val="24"/>
              </w:rPr>
              <w:t>102.68</w:t>
            </w:r>
          </w:p>
        </w:tc>
        <w:tc>
          <w:tcPr>
            <w:tcW w:w="1986" w:type="dxa"/>
          </w:tcPr>
          <w:p>
            <w:pPr>
              <w:pStyle w:val="TableParagraph"/>
              <w:rPr>
                <w:b/>
                <w:sz w:val="26"/>
              </w:rPr>
            </w:pPr>
          </w:p>
          <w:p>
            <w:pPr>
              <w:pStyle w:val="TableParagraph"/>
              <w:rPr>
                <w:b/>
                <w:sz w:val="26"/>
              </w:rPr>
            </w:pPr>
          </w:p>
          <w:p>
            <w:pPr>
              <w:pStyle w:val="TableParagraph"/>
              <w:spacing w:line="255" w:lineRule="exact" w:before="232"/>
              <w:ind w:right="64"/>
              <w:jc w:val="right"/>
              <w:rPr>
                <w:sz w:val="24"/>
              </w:rPr>
            </w:pPr>
            <w:r>
              <w:rPr>
                <w:sz w:val="24"/>
              </w:rPr>
              <w:t>36,000.00</w:t>
            </w:r>
          </w:p>
        </w:tc>
        <w:tc>
          <w:tcPr>
            <w:tcW w:w="1230" w:type="dxa"/>
          </w:tcPr>
          <w:p>
            <w:pPr>
              <w:pStyle w:val="TableParagraph"/>
              <w:rPr>
                <w:b/>
                <w:sz w:val="26"/>
              </w:rPr>
            </w:pPr>
          </w:p>
          <w:p>
            <w:pPr>
              <w:pStyle w:val="TableParagraph"/>
              <w:rPr>
                <w:b/>
                <w:sz w:val="26"/>
              </w:rPr>
            </w:pPr>
          </w:p>
          <w:p>
            <w:pPr>
              <w:pStyle w:val="TableParagraph"/>
              <w:spacing w:line="255" w:lineRule="exact" w:before="232"/>
              <w:ind w:right="61"/>
              <w:jc w:val="right"/>
              <w:rPr>
                <w:sz w:val="24"/>
              </w:rPr>
            </w:pPr>
            <w:r>
              <w:rPr>
                <w:sz w:val="24"/>
              </w:rPr>
              <w:t>2,220.54</w:t>
            </w:r>
          </w:p>
        </w:tc>
        <w:tc>
          <w:tcPr>
            <w:tcW w:w="1324" w:type="dxa"/>
          </w:tcPr>
          <w:p>
            <w:pPr>
              <w:pStyle w:val="TableParagraph"/>
              <w:rPr>
                <w:b/>
                <w:sz w:val="26"/>
              </w:rPr>
            </w:pPr>
          </w:p>
          <w:p>
            <w:pPr>
              <w:pStyle w:val="TableParagraph"/>
              <w:rPr>
                <w:b/>
                <w:sz w:val="26"/>
              </w:rPr>
            </w:pPr>
          </w:p>
          <w:p>
            <w:pPr>
              <w:pStyle w:val="TableParagraph"/>
              <w:spacing w:line="255" w:lineRule="exact" w:before="232"/>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2"/>
              <w:ind w:right="65"/>
              <w:jc w:val="right"/>
              <w:rPr>
                <w:sz w:val="24"/>
              </w:rPr>
            </w:pPr>
            <w:r>
              <w:rPr>
                <w:sz w:val="24"/>
              </w:rPr>
              <w:t>2,018.65</w:t>
            </w:r>
          </w:p>
        </w:tc>
      </w:tr>
      <w:tr>
        <w:trPr>
          <w:trHeight w:val="552" w:hRule="atLeast"/>
        </w:trPr>
        <w:tc>
          <w:tcPr>
            <w:tcW w:w="2268" w:type="dxa"/>
          </w:tcPr>
          <w:p>
            <w:pPr>
              <w:pStyle w:val="TableParagraph"/>
              <w:rPr>
                <w:b/>
                <w:sz w:val="24"/>
              </w:rPr>
            </w:pPr>
          </w:p>
          <w:p>
            <w:pPr>
              <w:pStyle w:val="TableParagraph"/>
              <w:spacing w:line="256" w:lineRule="exact"/>
              <w:ind w:left="67"/>
              <w:rPr>
                <w:sz w:val="24"/>
              </w:rPr>
            </w:pPr>
            <w:r>
              <w:rPr>
                <w:sz w:val="24"/>
              </w:rPr>
              <w:t>Centro nocturno</w:t>
            </w:r>
          </w:p>
        </w:tc>
        <w:tc>
          <w:tcPr>
            <w:tcW w:w="1561" w:type="dxa"/>
          </w:tcPr>
          <w:p>
            <w:pPr>
              <w:pStyle w:val="TableParagraph"/>
              <w:rPr>
                <w:b/>
                <w:sz w:val="24"/>
              </w:rPr>
            </w:pPr>
          </w:p>
          <w:p>
            <w:pPr>
              <w:pStyle w:val="TableParagraph"/>
              <w:spacing w:line="256" w:lineRule="exact"/>
              <w:ind w:right="60"/>
              <w:jc w:val="right"/>
              <w:rPr>
                <w:sz w:val="24"/>
              </w:rPr>
            </w:pPr>
            <w:r>
              <w:rPr>
                <w:sz w:val="24"/>
              </w:rPr>
              <w:t>102.68</w:t>
            </w:r>
          </w:p>
        </w:tc>
        <w:tc>
          <w:tcPr>
            <w:tcW w:w="1986" w:type="dxa"/>
          </w:tcPr>
          <w:p>
            <w:pPr>
              <w:pStyle w:val="TableParagraph"/>
              <w:rPr>
                <w:b/>
                <w:sz w:val="24"/>
              </w:rPr>
            </w:pPr>
          </w:p>
          <w:p>
            <w:pPr>
              <w:pStyle w:val="TableParagraph"/>
              <w:spacing w:line="256" w:lineRule="exact"/>
              <w:ind w:right="64"/>
              <w:jc w:val="right"/>
              <w:rPr>
                <w:sz w:val="24"/>
              </w:rPr>
            </w:pPr>
            <w:r>
              <w:rPr>
                <w:sz w:val="24"/>
              </w:rPr>
              <w:t>48,000.00</w:t>
            </w:r>
          </w:p>
        </w:tc>
        <w:tc>
          <w:tcPr>
            <w:tcW w:w="1230" w:type="dxa"/>
          </w:tcPr>
          <w:p>
            <w:pPr>
              <w:pStyle w:val="TableParagraph"/>
              <w:rPr>
                <w:b/>
                <w:sz w:val="24"/>
              </w:rPr>
            </w:pPr>
          </w:p>
          <w:p>
            <w:pPr>
              <w:pStyle w:val="TableParagraph"/>
              <w:spacing w:line="256" w:lineRule="exact"/>
              <w:ind w:right="62"/>
              <w:jc w:val="right"/>
              <w:rPr>
                <w:sz w:val="24"/>
              </w:rPr>
            </w:pPr>
            <w:r>
              <w:rPr>
                <w:sz w:val="24"/>
              </w:rPr>
              <w:t>933.93</w:t>
            </w:r>
          </w:p>
        </w:tc>
        <w:tc>
          <w:tcPr>
            <w:tcW w:w="1324" w:type="dxa"/>
          </w:tcPr>
          <w:p>
            <w:pPr>
              <w:pStyle w:val="TableParagraph"/>
              <w:rPr>
                <w:b/>
                <w:sz w:val="24"/>
              </w:rPr>
            </w:pPr>
          </w:p>
          <w:p>
            <w:pPr>
              <w:pStyle w:val="TableParagraph"/>
              <w:spacing w:line="256" w:lineRule="exact"/>
              <w:ind w:right="63"/>
              <w:jc w:val="right"/>
              <w:rPr>
                <w:sz w:val="24"/>
              </w:rPr>
            </w:pPr>
            <w:r>
              <w:rPr>
                <w:sz w:val="24"/>
              </w:rPr>
              <w:t>1,382.14</w:t>
            </w:r>
          </w:p>
        </w:tc>
        <w:tc>
          <w:tcPr>
            <w:tcW w:w="1304" w:type="dxa"/>
          </w:tcPr>
          <w:p>
            <w:pPr>
              <w:pStyle w:val="TableParagraph"/>
              <w:rPr>
                <w:b/>
                <w:sz w:val="24"/>
              </w:rPr>
            </w:pPr>
          </w:p>
          <w:p>
            <w:pPr>
              <w:pStyle w:val="TableParagraph"/>
              <w:spacing w:line="256" w:lineRule="exact"/>
              <w:ind w:right="66"/>
              <w:jc w:val="right"/>
              <w:rPr>
                <w:sz w:val="24"/>
              </w:rPr>
            </w:pPr>
            <w:r>
              <w:rPr>
                <w:sz w:val="24"/>
              </w:rPr>
              <w:t>2,018.65</w:t>
            </w:r>
          </w:p>
        </w:tc>
      </w:tr>
    </w:tbl>
    <w:p>
      <w:pPr>
        <w:spacing w:after="0" w:line="256" w:lineRule="exact"/>
        <w:jc w:val="right"/>
        <w:rPr>
          <w:sz w:val="24"/>
        </w:rPr>
        <w:sectPr>
          <w:pgSz w:w="12250" w:h="15850"/>
          <w:pgMar w:header="730" w:footer="0" w:top="1000" w:bottom="280" w:left="860" w:right="820"/>
        </w:sectPr>
      </w:pPr>
    </w:p>
    <w:p>
      <w:pPr>
        <w:pStyle w:val="BodyText"/>
        <w:spacing w:before="1"/>
        <w:rPr>
          <w:b/>
          <w:sz w:val="17"/>
        </w:rPr>
      </w:pPr>
      <w:r>
        <w:rPr/>
        <w:drawing>
          <wp:anchor distT="0" distB="0" distL="0" distR="0" allowOverlap="1" layoutInCell="1" locked="0" behindDoc="1" simplePos="0" relativeHeight="227582976">
            <wp:simplePos x="0" y="0"/>
            <wp:positionH relativeFrom="page">
              <wp:posOffset>1252555</wp:posOffset>
            </wp:positionH>
            <wp:positionV relativeFrom="page">
              <wp:posOffset>2138172</wp:posOffset>
            </wp:positionV>
            <wp:extent cx="5021401" cy="5143500"/>
            <wp:effectExtent l="0" t="0" r="0" b="0"/>
            <wp:wrapNone/>
            <wp:docPr id="225" name="image94.png"/>
            <wp:cNvGraphicFramePr>
              <a:graphicFrameLocks noChangeAspect="1"/>
            </wp:cNvGraphicFramePr>
            <a:graphic>
              <a:graphicData uri="http://schemas.openxmlformats.org/drawingml/2006/picture">
                <pic:pic>
                  <pic:nvPicPr>
                    <pic:cNvPr id="226" name="image94.png"/>
                    <pic:cNvPicPr/>
                  </pic:nvPicPr>
                  <pic:blipFill>
                    <a:blip r:embed="rId104" cstate="print"/>
                    <a:stretch>
                      <a:fillRect/>
                    </a:stretch>
                  </pic:blipFill>
                  <pic:spPr>
                    <a:xfrm>
                      <a:off x="0" y="0"/>
                      <a:ext cx="5021401" cy="5143500"/>
                    </a:xfrm>
                    <a:prstGeom prst="rect">
                      <a:avLst/>
                    </a:prstGeom>
                  </pic:spPr>
                </pic:pic>
              </a:graphicData>
            </a:graphic>
          </wp:anchor>
        </w:drawing>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0"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0"/>
              <w:rPr>
                <w:b/>
                <w:sz w:val="35"/>
              </w:rPr>
            </w:pPr>
          </w:p>
          <w:p>
            <w:pPr>
              <w:pStyle w:val="TableParagraph"/>
              <w:ind w:left="186" w:right="186"/>
              <w:jc w:val="center"/>
              <w:rPr>
                <w:sz w:val="24"/>
              </w:rPr>
            </w:pPr>
            <w:r>
              <w:rPr>
                <w:sz w:val="24"/>
              </w:rPr>
              <w:t>Sanidad</w:t>
            </w:r>
          </w:p>
          <w:p>
            <w:pPr>
              <w:pStyle w:val="TableParagraph"/>
              <w:spacing w:before="140"/>
              <w:ind w:right="4"/>
              <w:jc w:val="center"/>
              <w:rPr>
                <w:sz w:val="24"/>
              </w:rPr>
            </w:pPr>
            <w:r>
              <w:rPr>
                <w:w w:val="99"/>
                <w:sz w:val="24"/>
              </w:rPr>
              <w:t>$</w:t>
            </w:r>
          </w:p>
        </w:tc>
      </w:tr>
      <w:tr>
        <w:trPr>
          <w:trHeight w:val="827" w:hRule="atLeast"/>
        </w:trPr>
        <w:tc>
          <w:tcPr>
            <w:tcW w:w="2268" w:type="dxa"/>
          </w:tcPr>
          <w:p>
            <w:pPr>
              <w:pStyle w:val="TableParagraph"/>
              <w:ind w:left="67" w:right="330"/>
              <w:rPr>
                <w:sz w:val="24"/>
              </w:rPr>
            </w:pPr>
            <w:r>
              <w:rPr>
                <w:sz w:val="24"/>
              </w:rPr>
              <w:t>Centro recreativo con beb.</w:t>
            </w:r>
          </w:p>
          <w:p>
            <w:pPr>
              <w:pStyle w:val="TableParagraph"/>
              <w:spacing w:line="255" w:lineRule="exact"/>
              <w:ind w:left="67"/>
              <w:rPr>
                <w:sz w:val="24"/>
              </w:rPr>
            </w:pPr>
            <w:r>
              <w:rPr>
                <w:sz w:val="24"/>
              </w:rPr>
              <w:t>Alcohólicas</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5,300.00</w:t>
            </w: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1,211.61</w:t>
            </w:r>
          </w:p>
        </w:tc>
      </w:tr>
      <w:tr>
        <w:trPr>
          <w:trHeight w:val="551" w:hRule="atLeast"/>
        </w:trPr>
        <w:tc>
          <w:tcPr>
            <w:tcW w:w="2268" w:type="dxa"/>
          </w:tcPr>
          <w:p>
            <w:pPr>
              <w:pStyle w:val="TableParagraph"/>
              <w:spacing w:line="270" w:lineRule="atLeast"/>
              <w:ind w:left="67" w:right="330"/>
              <w:rPr>
                <w:sz w:val="24"/>
              </w:rPr>
            </w:pPr>
            <w:r>
              <w:rPr>
                <w:sz w:val="24"/>
              </w:rPr>
              <w:t>Centro recreativo con cerveza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3"/>
              <w:jc w:val="right"/>
              <w:rPr>
                <w:sz w:val="24"/>
              </w:rPr>
            </w:pPr>
            <w:r>
              <w:rPr>
                <w:sz w:val="24"/>
              </w:rPr>
              <w:t>3,500.00</w:t>
            </w: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1,211.61</w:t>
            </w:r>
          </w:p>
        </w:tc>
      </w:tr>
      <w:tr>
        <w:trPr>
          <w:trHeight w:val="554" w:hRule="atLeast"/>
        </w:trPr>
        <w:tc>
          <w:tcPr>
            <w:tcW w:w="2268" w:type="dxa"/>
          </w:tcPr>
          <w:p>
            <w:pPr>
              <w:pStyle w:val="TableParagraph"/>
              <w:spacing w:before="2"/>
              <w:rPr>
                <w:b/>
                <w:sz w:val="24"/>
              </w:rPr>
            </w:pPr>
          </w:p>
          <w:p>
            <w:pPr>
              <w:pStyle w:val="TableParagraph"/>
              <w:spacing w:line="255" w:lineRule="exact" w:before="1"/>
              <w:ind w:left="67"/>
              <w:rPr>
                <w:sz w:val="24"/>
              </w:rPr>
            </w:pPr>
            <w:r>
              <w:rPr>
                <w:sz w:val="24"/>
              </w:rPr>
              <w:t>Cervecería</w:t>
            </w:r>
          </w:p>
        </w:tc>
        <w:tc>
          <w:tcPr>
            <w:tcW w:w="1561" w:type="dxa"/>
          </w:tcPr>
          <w:p>
            <w:pPr>
              <w:pStyle w:val="TableParagraph"/>
              <w:spacing w:before="2"/>
              <w:rPr>
                <w:b/>
                <w:sz w:val="24"/>
              </w:rPr>
            </w:pPr>
          </w:p>
          <w:p>
            <w:pPr>
              <w:pStyle w:val="TableParagraph"/>
              <w:spacing w:line="255" w:lineRule="exact" w:before="1"/>
              <w:ind w:right="60"/>
              <w:jc w:val="right"/>
              <w:rPr>
                <w:sz w:val="24"/>
              </w:rPr>
            </w:pPr>
            <w:r>
              <w:rPr>
                <w:sz w:val="24"/>
              </w:rPr>
              <w:t>102.68</w:t>
            </w:r>
          </w:p>
        </w:tc>
        <w:tc>
          <w:tcPr>
            <w:tcW w:w="1986" w:type="dxa"/>
          </w:tcPr>
          <w:p>
            <w:pPr>
              <w:pStyle w:val="TableParagraph"/>
              <w:spacing w:before="2"/>
              <w:rPr>
                <w:b/>
                <w:sz w:val="24"/>
              </w:rPr>
            </w:pPr>
          </w:p>
          <w:p>
            <w:pPr>
              <w:pStyle w:val="TableParagraph"/>
              <w:spacing w:line="255" w:lineRule="exact" w:before="1"/>
              <w:ind w:right="63"/>
              <w:jc w:val="right"/>
              <w:rPr>
                <w:sz w:val="24"/>
              </w:rPr>
            </w:pPr>
            <w:r>
              <w:rPr>
                <w:sz w:val="24"/>
              </w:rPr>
              <w:t>3,000.00</w:t>
            </w:r>
          </w:p>
        </w:tc>
        <w:tc>
          <w:tcPr>
            <w:tcW w:w="1230" w:type="dxa"/>
          </w:tcPr>
          <w:p>
            <w:pPr>
              <w:pStyle w:val="TableParagraph"/>
              <w:spacing w:before="2"/>
              <w:rPr>
                <w:b/>
                <w:sz w:val="24"/>
              </w:rPr>
            </w:pPr>
          </w:p>
          <w:p>
            <w:pPr>
              <w:pStyle w:val="TableParagraph"/>
              <w:spacing w:line="255" w:lineRule="exact" w:before="1"/>
              <w:ind w:right="62"/>
              <w:jc w:val="right"/>
              <w:rPr>
                <w:sz w:val="24"/>
              </w:rPr>
            </w:pPr>
            <w:r>
              <w:rPr>
                <w:sz w:val="24"/>
              </w:rPr>
              <w:t>933.93</w:t>
            </w:r>
          </w:p>
        </w:tc>
        <w:tc>
          <w:tcPr>
            <w:tcW w:w="1324" w:type="dxa"/>
          </w:tcPr>
          <w:p>
            <w:pPr>
              <w:pStyle w:val="TableParagraph"/>
              <w:spacing w:before="2"/>
              <w:rPr>
                <w:b/>
                <w:sz w:val="24"/>
              </w:rPr>
            </w:pPr>
          </w:p>
          <w:p>
            <w:pPr>
              <w:pStyle w:val="TableParagraph"/>
              <w:spacing w:line="255" w:lineRule="exact" w:before="1"/>
              <w:ind w:right="63"/>
              <w:jc w:val="right"/>
              <w:rPr>
                <w:sz w:val="24"/>
              </w:rPr>
            </w:pPr>
            <w:r>
              <w:rPr>
                <w:sz w:val="24"/>
              </w:rPr>
              <w:t>552.68</w:t>
            </w:r>
          </w:p>
        </w:tc>
        <w:tc>
          <w:tcPr>
            <w:tcW w:w="1304" w:type="dxa"/>
          </w:tcPr>
          <w:p>
            <w:pPr>
              <w:pStyle w:val="TableParagraph"/>
              <w:spacing w:before="2"/>
              <w:rPr>
                <w:b/>
                <w:sz w:val="24"/>
              </w:rPr>
            </w:pPr>
          </w:p>
          <w:p>
            <w:pPr>
              <w:pStyle w:val="TableParagraph"/>
              <w:spacing w:line="255" w:lineRule="exact" w:before="1"/>
              <w:ind w:right="66"/>
              <w:jc w:val="right"/>
              <w:rPr>
                <w:sz w:val="24"/>
              </w:rPr>
            </w:pPr>
            <w:r>
              <w:rPr>
                <w:sz w:val="24"/>
              </w:rPr>
              <w:t>807.14</w:t>
            </w:r>
          </w:p>
        </w:tc>
      </w:tr>
      <w:tr>
        <w:trPr>
          <w:trHeight w:val="551" w:hRule="atLeast"/>
        </w:trPr>
        <w:tc>
          <w:tcPr>
            <w:tcW w:w="2268" w:type="dxa"/>
          </w:tcPr>
          <w:p>
            <w:pPr>
              <w:pStyle w:val="TableParagraph"/>
              <w:spacing w:line="270" w:lineRule="atLeast"/>
              <w:ind w:left="67" w:right="76"/>
              <w:rPr>
                <w:sz w:val="24"/>
              </w:rPr>
            </w:pPr>
            <w:r>
              <w:rPr>
                <w:sz w:val="24"/>
              </w:rPr>
              <w:t>Depósito de bebidas alcohólicas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3"/>
              <w:jc w:val="right"/>
              <w:rPr>
                <w:sz w:val="24"/>
              </w:rPr>
            </w:pPr>
            <w:r>
              <w:rPr>
                <w:sz w:val="24"/>
              </w:rPr>
              <w:t>4,000.00</w:t>
            </w:r>
          </w:p>
        </w:tc>
        <w:tc>
          <w:tcPr>
            <w:tcW w:w="1230" w:type="dxa"/>
          </w:tcPr>
          <w:p>
            <w:pPr>
              <w:pStyle w:val="TableParagraph"/>
              <w:rPr>
                <w:b/>
                <w:sz w:val="24"/>
              </w:rPr>
            </w:pPr>
          </w:p>
          <w:p>
            <w:pPr>
              <w:pStyle w:val="TableParagraph"/>
              <w:spacing w:line="255" w:lineRule="exact"/>
              <w:ind w:right="62"/>
              <w:jc w:val="right"/>
              <w:rPr>
                <w:sz w:val="24"/>
              </w:rPr>
            </w:pPr>
            <w:r>
              <w:rPr>
                <w:sz w:val="24"/>
              </w:rPr>
              <w:t>154.46</w:t>
            </w:r>
          </w:p>
        </w:tc>
        <w:tc>
          <w:tcPr>
            <w:tcW w:w="1324" w:type="dxa"/>
          </w:tcPr>
          <w:p>
            <w:pPr>
              <w:pStyle w:val="TableParagraph"/>
              <w:rPr>
                <w:b/>
                <w:sz w:val="24"/>
              </w:rPr>
            </w:pPr>
          </w:p>
          <w:p>
            <w:pPr>
              <w:pStyle w:val="TableParagraph"/>
              <w:spacing w:line="255" w:lineRule="exact"/>
              <w:ind w:right="63"/>
              <w:jc w:val="right"/>
              <w:rPr>
                <w:sz w:val="24"/>
              </w:rPr>
            </w:pPr>
            <w:r>
              <w:rPr>
                <w:sz w:val="24"/>
              </w:rPr>
              <w:t>367.86</w:t>
            </w:r>
          </w:p>
        </w:tc>
        <w:tc>
          <w:tcPr>
            <w:tcW w:w="1304" w:type="dxa"/>
          </w:tcPr>
          <w:p>
            <w:pPr>
              <w:pStyle w:val="TableParagraph"/>
              <w:rPr>
                <w:b/>
                <w:sz w:val="24"/>
              </w:rPr>
            </w:pPr>
          </w:p>
          <w:p>
            <w:pPr>
              <w:pStyle w:val="TableParagraph"/>
              <w:spacing w:line="255" w:lineRule="exact"/>
              <w:ind w:right="66"/>
              <w:jc w:val="right"/>
              <w:rPr>
                <w:sz w:val="24"/>
              </w:rPr>
            </w:pPr>
            <w:r>
              <w:rPr>
                <w:sz w:val="24"/>
              </w:rPr>
              <w:t>160.71</w:t>
            </w:r>
          </w:p>
        </w:tc>
      </w:tr>
      <w:tr>
        <w:trPr>
          <w:trHeight w:val="551" w:hRule="atLeast"/>
        </w:trPr>
        <w:tc>
          <w:tcPr>
            <w:tcW w:w="2268" w:type="dxa"/>
          </w:tcPr>
          <w:p>
            <w:pPr>
              <w:pStyle w:val="TableParagraph"/>
              <w:spacing w:line="270" w:lineRule="atLeast"/>
              <w:ind w:left="67" w:right="890"/>
              <w:rPr>
                <w:sz w:val="24"/>
              </w:rPr>
            </w:pPr>
            <w:r>
              <w:rPr>
                <w:sz w:val="24"/>
              </w:rPr>
              <w:t>Depósito de cerveza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11"/>
              <w:rPr>
                <w:b/>
                <w:sz w:val="23"/>
              </w:rPr>
            </w:pPr>
          </w:p>
          <w:p>
            <w:pPr>
              <w:pStyle w:val="TableParagraph"/>
              <w:spacing w:line="255" w:lineRule="exact"/>
              <w:ind w:right="63"/>
              <w:jc w:val="right"/>
              <w:rPr>
                <w:sz w:val="24"/>
              </w:rPr>
            </w:pPr>
            <w:r>
              <w:rPr>
                <w:sz w:val="24"/>
              </w:rPr>
              <w:t>2,100.00</w:t>
            </w:r>
          </w:p>
        </w:tc>
        <w:tc>
          <w:tcPr>
            <w:tcW w:w="1230" w:type="dxa"/>
          </w:tcPr>
          <w:p>
            <w:pPr>
              <w:pStyle w:val="TableParagraph"/>
              <w:spacing w:before="11"/>
              <w:rPr>
                <w:b/>
                <w:sz w:val="23"/>
              </w:rPr>
            </w:pPr>
          </w:p>
          <w:p>
            <w:pPr>
              <w:pStyle w:val="TableParagraph"/>
              <w:spacing w:line="255" w:lineRule="exact"/>
              <w:ind w:right="62"/>
              <w:jc w:val="right"/>
              <w:rPr>
                <w:sz w:val="24"/>
              </w:rPr>
            </w:pPr>
            <w:r>
              <w:rPr>
                <w:sz w:val="24"/>
              </w:rPr>
              <w:t>154.46</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367.86</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160.71</w:t>
            </w:r>
          </w:p>
        </w:tc>
      </w:tr>
      <w:tr>
        <w:trPr>
          <w:trHeight w:val="550" w:hRule="atLeast"/>
        </w:trPr>
        <w:tc>
          <w:tcPr>
            <w:tcW w:w="2268" w:type="dxa"/>
          </w:tcPr>
          <w:p>
            <w:pPr>
              <w:pStyle w:val="TableParagraph"/>
              <w:spacing w:before="11"/>
              <w:rPr>
                <w:b/>
                <w:sz w:val="23"/>
              </w:rPr>
            </w:pPr>
          </w:p>
          <w:p>
            <w:pPr>
              <w:pStyle w:val="TableParagraph"/>
              <w:spacing w:line="255" w:lineRule="exact"/>
              <w:ind w:left="67"/>
              <w:rPr>
                <w:sz w:val="24"/>
              </w:rPr>
            </w:pPr>
            <w:r>
              <w:rPr>
                <w:sz w:val="24"/>
              </w:rPr>
              <w:t>Discoteca</w:t>
            </w:r>
          </w:p>
        </w:tc>
        <w:tc>
          <w:tcPr>
            <w:tcW w:w="1561" w:type="dxa"/>
          </w:tcPr>
          <w:p>
            <w:pPr>
              <w:pStyle w:val="TableParagraph"/>
              <w:spacing w:before="11"/>
              <w:rPr>
                <w:b/>
                <w:sz w:val="23"/>
              </w:rPr>
            </w:pPr>
          </w:p>
          <w:p>
            <w:pPr>
              <w:pStyle w:val="TableParagraph"/>
              <w:spacing w:line="255" w:lineRule="exact"/>
              <w:ind w:right="60"/>
              <w:jc w:val="right"/>
              <w:rPr>
                <w:sz w:val="24"/>
              </w:rPr>
            </w:pPr>
            <w:r>
              <w:rPr>
                <w:sz w:val="24"/>
              </w:rPr>
              <w:t>102.68</w:t>
            </w:r>
          </w:p>
        </w:tc>
        <w:tc>
          <w:tcPr>
            <w:tcW w:w="1986" w:type="dxa"/>
          </w:tcPr>
          <w:p>
            <w:pPr>
              <w:pStyle w:val="TableParagraph"/>
              <w:spacing w:before="11"/>
              <w:rPr>
                <w:b/>
                <w:sz w:val="23"/>
              </w:rPr>
            </w:pPr>
          </w:p>
          <w:p>
            <w:pPr>
              <w:pStyle w:val="TableParagraph"/>
              <w:spacing w:line="255" w:lineRule="exact"/>
              <w:ind w:right="64"/>
              <w:jc w:val="right"/>
              <w:rPr>
                <w:sz w:val="24"/>
              </w:rPr>
            </w:pPr>
            <w:r>
              <w:rPr>
                <w:sz w:val="24"/>
              </w:rPr>
              <w:t>36,000.00</w:t>
            </w:r>
          </w:p>
        </w:tc>
        <w:tc>
          <w:tcPr>
            <w:tcW w:w="1230" w:type="dxa"/>
          </w:tcPr>
          <w:p>
            <w:pPr>
              <w:pStyle w:val="TableParagraph"/>
              <w:spacing w:before="11"/>
              <w:rPr>
                <w:b/>
                <w:sz w:val="23"/>
              </w:rPr>
            </w:pPr>
          </w:p>
          <w:p>
            <w:pPr>
              <w:pStyle w:val="TableParagraph"/>
              <w:spacing w:line="255" w:lineRule="exact"/>
              <w:ind w:right="61"/>
              <w:jc w:val="right"/>
              <w:rPr>
                <w:sz w:val="24"/>
              </w:rPr>
            </w:pPr>
            <w:r>
              <w:rPr>
                <w:sz w:val="24"/>
              </w:rPr>
              <w:t>2,220.54</w:t>
            </w:r>
          </w:p>
        </w:tc>
        <w:tc>
          <w:tcPr>
            <w:tcW w:w="1324" w:type="dxa"/>
          </w:tcPr>
          <w:p>
            <w:pPr>
              <w:pStyle w:val="TableParagraph"/>
              <w:spacing w:before="11"/>
              <w:rPr>
                <w:b/>
                <w:sz w:val="23"/>
              </w:rPr>
            </w:pPr>
          </w:p>
          <w:p>
            <w:pPr>
              <w:pStyle w:val="TableParagraph"/>
              <w:spacing w:line="255" w:lineRule="exact"/>
              <w:ind w:right="63"/>
              <w:jc w:val="right"/>
              <w:rPr>
                <w:sz w:val="24"/>
              </w:rPr>
            </w:pPr>
            <w:r>
              <w:rPr>
                <w:sz w:val="24"/>
              </w:rPr>
              <w:t>1,382.14</w:t>
            </w:r>
          </w:p>
        </w:tc>
        <w:tc>
          <w:tcPr>
            <w:tcW w:w="1304" w:type="dxa"/>
          </w:tcPr>
          <w:p>
            <w:pPr>
              <w:pStyle w:val="TableParagraph"/>
              <w:spacing w:before="11"/>
              <w:rPr>
                <w:b/>
                <w:sz w:val="23"/>
              </w:rPr>
            </w:pPr>
          </w:p>
          <w:p>
            <w:pPr>
              <w:pStyle w:val="TableParagraph"/>
              <w:spacing w:line="255" w:lineRule="exact"/>
              <w:ind w:right="66"/>
              <w:jc w:val="right"/>
              <w:rPr>
                <w:sz w:val="24"/>
              </w:rPr>
            </w:pPr>
            <w:r>
              <w:rPr>
                <w:sz w:val="24"/>
              </w:rPr>
              <w:t>2,018.65</w:t>
            </w:r>
          </w:p>
        </w:tc>
      </w:tr>
      <w:tr>
        <w:trPr>
          <w:trHeight w:val="551" w:hRule="atLeast"/>
        </w:trPr>
        <w:tc>
          <w:tcPr>
            <w:tcW w:w="2268" w:type="dxa"/>
          </w:tcPr>
          <w:p>
            <w:pPr>
              <w:pStyle w:val="TableParagraph"/>
              <w:spacing w:line="270" w:lineRule="atLeast"/>
              <w:ind w:left="67" w:right="343"/>
              <w:rPr>
                <w:sz w:val="24"/>
              </w:rPr>
            </w:pPr>
            <w:r>
              <w:rPr>
                <w:sz w:val="24"/>
              </w:rPr>
              <w:t>Restaurant con venta de cerveza</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3"/>
              <w:jc w:val="right"/>
              <w:rPr>
                <w:sz w:val="24"/>
              </w:rPr>
            </w:pPr>
            <w:r>
              <w:rPr>
                <w:sz w:val="24"/>
              </w:rPr>
              <w:t>4,150.00</w:t>
            </w:r>
          </w:p>
        </w:tc>
        <w:tc>
          <w:tcPr>
            <w:tcW w:w="1230" w:type="dxa"/>
          </w:tcPr>
          <w:p>
            <w:pPr>
              <w:pStyle w:val="TableParagraph"/>
              <w:rPr>
                <w:b/>
                <w:sz w:val="24"/>
              </w:rPr>
            </w:pPr>
          </w:p>
          <w:p>
            <w:pPr>
              <w:pStyle w:val="TableParagraph"/>
              <w:spacing w:line="255" w:lineRule="exact"/>
              <w:ind w:right="62"/>
              <w:jc w:val="right"/>
              <w:rPr>
                <w:sz w:val="24"/>
              </w:rPr>
            </w:pPr>
            <w:r>
              <w:rPr>
                <w:sz w:val="24"/>
              </w:rPr>
              <w:t>384.82</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ind w:left="67" w:right="50"/>
              <w:rPr>
                <w:sz w:val="24"/>
              </w:rPr>
            </w:pPr>
            <w:r>
              <w:rPr>
                <w:sz w:val="24"/>
              </w:rPr>
              <w:t>Minisúper/abarrotes con venta de beb.</w:t>
            </w:r>
          </w:p>
          <w:p>
            <w:pPr>
              <w:pStyle w:val="TableParagraph"/>
              <w:spacing w:line="256" w:lineRule="exact"/>
              <w:ind w:left="67"/>
              <w:rPr>
                <w:sz w:val="24"/>
              </w:rPr>
            </w:pPr>
            <w:r>
              <w:rPr>
                <w:sz w:val="24"/>
              </w:rPr>
              <w:t>Alcohólicas</w:t>
            </w:r>
          </w:p>
        </w:tc>
        <w:tc>
          <w:tcPr>
            <w:tcW w:w="1561" w:type="dxa"/>
          </w:tcPr>
          <w:p>
            <w:pPr>
              <w:pStyle w:val="TableParagraph"/>
              <w:rPr>
                <w:b/>
                <w:sz w:val="26"/>
              </w:rPr>
            </w:pPr>
          </w:p>
          <w:p>
            <w:pPr>
              <w:pStyle w:val="TableParagraph"/>
              <w:spacing w:before="11"/>
              <w:rPr>
                <w:b/>
                <w:sz w:val="21"/>
              </w:rPr>
            </w:pPr>
          </w:p>
          <w:p>
            <w:pPr>
              <w:pStyle w:val="TableParagraph"/>
              <w:spacing w:line="256" w:lineRule="exact"/>
              <w:ind w:right="60"/>
              <w:jc w:val="right"/>
              <w:rPr>
                <w:sz w:val="24"/>
              </w:rPr>
            </w:pPr>
            <w:r>
              <w:rPr>
                <w:sz w:val="24"/>
              </w:rPr>
              <w:t>102.68</w:t>
            </w:r>
          </w:p>
        </w:tc>
        <w:tc>
          <w:tcPr>
            <w:tcW w:w="1986" w:type="dxa"/>
          </w:tcPr>
          <w:p>
            <w:pPr>
              <w:pStyle w:val="TableParagraph"/>
              <w:rPr>
                <w:b/>
                <w:sz w:val="26"/>
              </w:rPr>
            </w:pPr>
          </w:p>
          <w:p>
            <w:pPr>
              <w:pStyle w:val="TableParagraph"/>
              <w:spacing w:before="11"/>
              <w:rPr>
                <w:b/>
                <w:sz w:val="21"/>
              </w:rPr>
            </w:pPr>
          </w:p>
          <w:p>
            <w:pPr>
              <w:pStyle w:val="TableParagraph"/>
              <w:spacing w:line="256" w:lineRule="exact"/>
              <w:ind w:right="63"/>
              <w:jc w:val="right"/>
              <w:rPr>
                <w:sz w:val="24"/>
              </w:rPr>
            </w:pPr>
            <w:r>
              <w:rPr>
                <w:sz w:val="24"/>
              </w:rPr>
              <w:t>4,000.00</w:t>
            </w:r>
          </w:p>
        </w:tc>
        <w:tc>
          <w:tcPr>
            <w:tcW w:w="1230" w:type="dxa"/>
          </w:tcPr>
          <w:p>
            <w:pPr>
              <w:pStyle w:val="TableParagraph"/>
              <w:rPr>
                <w:b/>
                <w:sz w:val="26"/>
              </w:rPr>
            </w:pPr>
          </w:p>
          <w:p>
            <w:pPr>
              <w:pStyle w:val="TableParagraph"/>
              <w:spacing w:before="11"/>
              <w:rPr>
                <w:b/>
                <w:sz w:val="21"/>
              </w:rPr>
            </w:pPr>
          </w:p>
          <w:p>
            <w:pPr>
              <w:pStyle w:val="TableParagraph"/>
              <w:spacing w:line="256" w:lineRule="exact"/>
              <w:ind w:right="62"/>
              <w:jc w:val="right"/>
              <w:rPr>
                <w:sz w:val="24"/>
              </w:rPr>
            </w:pPr>
            <w:r>
              <w:rPr>
                <w:sz w:val="24"/>
              </w:rPr>
              <w:t>384.82</w:t>
            </w:r>
          </w:p>
        </w:tc>
        <w:tc>
          <w:tcPr>
            <w:tcW w:w="1324" w:type="dxa"/>
          </w:tcPr>
          <w:p>
            <w:pPr>
              <w:pStyle w:val="TableParagraph"/>
              <w:rPr>
                <w:b/>
                <w:sz w:val="26"/>
              </w:rPr>
            </w:pPr>
          </w:p>
          <w:p>
            <w:pPr>
              <w:pStyle w:val="TableParagraph"/>
              <w:spacing w:before="11"/>
              <w:rPr>
                <w:b/>
                <w:sz w:val="21"/>
              </w:rPr>
            </w:pPr>
          </w:p>
          <w:p>
            <w:pPr>
              <w:pStyle w:val="TableParagraph"/>
              <w:spacing w:line="256" w:lineRule="exact"/>
              <w:ind w:right="63"/>
              <w:jc w:val="right"/>
              <w:rPr>
                <w:sz w:val="24"/>
              </w:rPr>
            </w:pPr>
            <w:r>
              <w:rPr>
                <w:sz w:val="24"/>
              </w:rPr>
              <w:t>367.86</w:t>
            </w:r>
          </w:p>
        </w:tc>
        <w:tc>
          <w:tcPr>
            <w:tcW w:w="1304" w:type="dxa"/>
          </w:tcPr>
          <w:p>
            <w:pPr>
              <w:pStyle w:val="TableParagraph"/>
              <w:rPr>
                <w:b/>
                <w:sz w:val="26"/>
              </w:rPr>
            </w:pPr>
          </w:p>
          <w:p>
            <w:pPr>
              <w:pStyle w:val="TableParagraph"/>
              <w:spacing w:before="11"/>
              <w:rPr>
                <w:b/>
                <w:sz w:val="21"/>
              </w:rPr>
            </w:pPr>
          </w:p>
          <w:p>
            <w:pPr>
              <w:pStyle w:val="TableParagraph"/>
              <w:spacing w:line="256" w:lineRule="exact"/>
              <w:ind w:right="66"/>
              <w:jc w:val="right"/>
              <w:rPr>
                <w:sz w:val="24"/>
              </w:rPr>
            </w:pPr>
            <w:r>
              <w:rPr>
                <w:sz w:val="24"/>
              </w:rPr>
              <w:t>322.32</w:t>
            </w:r>
          </w:p>
        </w:tc>
      </w:tr>
      <w:tr>
        <w:trPr>
          <w:trHeight w:val="827" w:hRule="atLeast"/>
        </w:trPr>
        <w:tc>
          <w:tcPr>
            <w:tcW w:w="2268" w:type="dxa"/>
          </w:tcPr>
          <w:p>
            <w:pPr>
              <w:pStyle w:val="TableParagraph"/>
              <w:spacing w:before="2"/>
              <w:ind w:left="67"/>
              <w:rPr>
                <w:sz w:val="24"/>
              </w:rPr>
            </w:pPr>
            <w:r>
              <w:rPr>
                <w:sz w:val="24"/>
              </w:rPr>
              <w:t>Minisúper/abarrotes</w:t>
            </w:r>
          </w:p>
          <w:p>
            <w:pPr>
              <w:pStyle w:val="TableParagraph"/>
              <w:spacing w:line="274" w:lineRule="exact" w:before="6"/>
              <w:ind w:left="67" w:right="796"/>
              <w:rPr>
                <w:sz w:val="24"/>
              </w:rPr>
            </w:pPr>
            <w:r>
              <w:rPr>
                <w:sz w:val="24"/>
              </w:rPr>
              <w:t>con venta de cerveza</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2,100.00</w:t>
            </w: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384.82</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367.86</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322.32</w:t>
            </w:r>
          </w:p>
        </w:tc>
      </w:tr>
      <w:tr>
        <w:trPr>
          <w:trHeight w:val="549" w:hRule="atLeast"/>
        </w:trPr>
        <w:tc>
          <w:tcPr>
            <w:tcW w:w="2268" w:type="dxa"/>
          </w:tcPr>
          <w:p>
            <w:pPr>
              <w:pStyle w:val="TableParagraph"/>
              <w:spacing w:before="9"/>
              <w:rPr>
                <w:b/>
                <w:sz w:val="23"/>
              </w:rPr>
            </w:pPr>
          </w:p>
          <w:p>
            <w:pPr>
              <w:pStyle w:val="TableParagraph"/>
              <w:spacing w:line="255" w:lineRule="exact" w:before="1"/>
              <w:ind w:left="67"/>
              <w:rPr>
                <w:sz w:val="24"/>
              </w:rPr>
            </w:pPr>
            <w:r>
              <w:rPr>
                <w:sz w:val="24"/>
              </w:rPr>
              <w:t>Porteadores</w:t>
            </w:r>
          </w:p>
        </w:tc>
        <w:tc>
          <w:tcPr>
            <w:tcW w:w="1561" w:type="dxa"/>
          </w:tcPr>
          <w:p>
            <w:pPr>
              <w:pStyle w:val="TableParagraph"/>
              <w:spacing w:before="9"/>
              <w:rPr>
                <w:b/>
                <w:sz w:val="23"/>
              </w:rPr>
            </w:pPr>
          </w:p>
          <w:p>
            <w:pPr>
              <w:pStyle w:val="TableParagraph"/>
              <w:spacing w:line="255" w:lineRule="exact" w:before="1"/>
              <w:ind w:right="60"/>
              <w:jc w:val="right"/>
              <w:rPr>
                <w:sz w:val="24"/>
              </w:rPr>
            </w:pPr>
            <w:r>
              <w:rPr>
                <w:sz w:val="24"/>
              </w:rPr>
              <w:t>102.68</w:t>
            </w:r>
          </w:p>
        </w:tc>
        <w:tc>
          <w:tcPr>
            <w:tcW w:w="1986" w:type="dxa"/>
          </w:tcPr>
          <w:p>
            <w:pPr>
              <w:pStyle w:val="TableParagraph"/>
              <w:spacing w:before="9"/>
              <w:rPr>
                <w:b/>
                <w:sz w:val="23"/>
              </w:rPr>
            </w:pPr>
          </w:p>
          <w:p>
            <w:pPr>
              <w:pStyle w:val="TableParagraph"/>
              <w:spacing w:line="255" w:lineRule="exact" w:before="1"/>
              <w:ind w:right="63"/>
              <w:jc w:val="right"/>
              <w:rPr>
                <w:sz w:val="24"/>
              </w:rPr>
            </w:pPr>
            <w:r>
              <w:rPr>
                <w:sz w:val="24"/>
              </w:rPr>
              <w:t>8,250.00</w:t>
            </w:r>
          </w:p>
        </w:tc>
        <w:tc>
          <w:tcPr>
            <w:tcW w:w="1230" w:type="dxa"/>
          </w:tcPr>
          <w:p>
            <w:pPr>
              <w:pStyle w:val="TableParagraph"/>
              <w:spacing w:before="9"/>
              <w:rPr>
                <w:b/>
                <w:sz w:val="23"/>
              </w:rPr>
            </w:pPr>
          </w:p>
          <w:p>
            <w:pPr>
              <w:pStyle w:val="TableParagraph"/>
              <w:spacing w:line="255" w:lineRule="exact" w:before="1"/>
              <w:ind w:right="62"/>
              <w:jc w:val="right"/>
              <w:rPr>
                <w:sz w:val="24"/>
              </w:rPr>
            </w:pPr>
            <w:r>
              <w:rPr>
                <w:sz w:val="24"/>
              </w:rPr>
              <w:t>384.82</w:t>
            </w:r>
          </w:p>
        </w:tc>
        <w:tc>
          <w:tcPr>
            <w:tcW w:w="1324" w:type="dxa"/>
          </w:tcPr>
          <w:p>
            <w:pPr>
              <w:pStyle w:val="TableParagraph"/>
              <w:spacing w:before="9"/>
              <w:rPr>
                <w:b/>
                <w:sz w:val="23"/>
              </w:rPr>
            </w:pPr>
          </w:p>
          <w:p>
            <w:pPr>
              <w:pStyle w:val="TableParagraph"/>
              <w:spacing w:line="255" w:lineRule="exact" w:before="1"/>
              <w:ind w:right="61"/>
              <w:jc w:val="right"/>
              <w:rPr>
                <w:sz w:val="24"/>
              </w:rPr>
            </w:pPr>
            <w:r>
              <w:rPr>
                <w:sz w:val="24"/>
              </w:rPr>
              <w:t>552.68</w:t>
            </w:r>
          </w:p>
        </w:tc>
        <w:tc>
          <w:tcPr>
            <w:tcW w:w="1304" w:type="dxa"/>
          </w:tcPr>
          <w:p>
            <w:pPr>
              <w:pStyle w:val="TableParagraph"/>
              <w:spacing w:before="9"/>
              <w:rPr>
                <w:b/>
                <w:sz w:val="23"/>
              </w:rPr>
            </w:pPr>
          </w:p>
          <w:p>
            <w:pPr>
              <w:pStyle w:val="TableParagraph"/>
              <w:spacing w:line="255" w:lineRule="exact" w:before="1"/>
              <w:ind w:right="66"/>
              <w:jc w:val="right"/>
              <w:rPr>
                <w:sz w:val="24"/>
              </w:rPr>
            </w:pPr>
            <w:r>
              <w:rPr>
                <w:sz w:val="24"/>
              </w:rPr>
              <w:t>322.32</w:t>
            </w:r>
          </w:p>
        </w:tc>
      </w:tr>
      <w:tr>
        <w:trPr>
          <w:trHeight w:val="551" w:hRule="atLeast"/>
        </w:trPr>
        <w:tc>
          <w:tcPr>
            <w:tcW w:w="2268" w:type="dxa"/>
          </w:tcPr>
          <w:p>
            <w:pPr>
              <w:pStyle w:val="TableParagraph"/>
              <w:spacing w:line="270" w:lineRule="atLeast"/>
              <w:ind w:left="67" w:right="76"/>
              <w:rPr>
                <w:sz w:val="24"/>
              </w:rPr>
            </w:pPr>
            <w:r>
              <w:rPr>
                <w:sz w:val="24"/>
              </w:rPr>
              <w:t>Productor de bebidas alcohólicas</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3"/>
              <w:jc w:val="right"/>
              <w:rPr>
                <w:sz w:val="24"/>
              </w:rPr>
            </w:pPr>
            <w:r>
              <w:rPr>
                <w:sz w:val="24"/>
              </w:rPr>
              <w:t>8,250.00</w:t>
            </w: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1,382.14</w:t>
            </w:r>
          </w:p>
        </w:tc>
        <w:tc>
          <w:tcPr>
            <w:tcW w:w="1304" w:type="dxa"/>
          </w:tcPr>
          <w:p>
            <w:pPr>
              <w:pStyle w:val="TableParagraph"/>
              <w:rPr>
                <w:b/>
                <w:sz w:val="24"/>
              </w:rPr>
            </w:pPr>
          </w:p>
          <w:p>
            <w:pPr>
              <w:pStyle w:val="TableParagraph"/>
              <w:spacing w:line="255" w:lineRule="exact"/>
              <w:ind w:right="66"/>
              <w:jc w:val="right"/>
              <w:rPr>
                <w:sz w:val="24"/>
              </w:rPr>
            </w:pPr>
            <w:r>
              <w:rPr>
                <w:sz w:val="24"/>
              </w:rPr>
              <w:t>2,018.65</w:t>
            </w:r>
          </w:p>
        </w:tc>
      </w:tr>
      <w:tr>
        <w:trPr>
          <w:trHeight w:val="1103" w:hRule="atLeast"/>
        </w:trPr>
        <w:tc>
          <w:tcPr>
            <w:tcW w:w="2268" w:type="dxa"/>
          </w:tcPr>
          <w:p>
            <w:pPr>
              <w:pStyle w:val="TableParagraph"/>
              <w:spacing w:line="270" w:lineRule="atLeast"/>
              <w:ind w:left="67" w:right="236"/>
              <w:rPr>
                <w:sz w:val="24"/>
              </w:rPr>
            </w:pPr>
            <w:r>
              <w:rPr>
                <w:sz w:val="24"/>
              </w:rPr>
              <w:t>Productor o distribuidor de alcohol en envase cerrado</w:t>
            </w:r>
          </w:p>
        </w:tc>
        <w:tc>
          <w:tcPr>
            <w:tcW w:w="1561" w:type="dxa"/>
          </w:tcPr>
          <w:p>
            <w:pPr>
              <w:pStyle w:val="TableParagraph"/>
              <w:rPr>
                <w:b/>
                <w:sz w:val="26"/>
              </w:rPr>
            </w:pPr>
          </w:p>
          <w:p>
            <w:pPr>
              <w:pStyle w:val="TableParagraph"/>
              <w:rPr>
                <w:b/>
                <w:sz w:val="26"/>
              </w:rPr>
            </w:pPr>
          </w:p>
          <w:p>
            <w:pPr>
              <w:pStyle w:val="TableParagraph"/>
              <w:spacing w:line="255" w:lineRule="exact" w:before="230"/>
              <w:ind w:right="60"/>
              <w:jc w:val="right"/>
              <w:rPr>
                <w:sz w:val="24"/>
              </w:rPr>
            </w:pPr>
            <w:r>
              <w:rPr>
                <w:sz w:val="24"/>
              </w:rPr>
              <w:t>102.68</w:t>
            </w:r>
          </w:p>
        </w:tc>
        <w:tc>
          <w:tcPr>
            <w:tcW w:w="1986" w:type="dxa"/>
          </w:tcPr>
          <w:p>
            <w:pPr>
              <w:pStyle w:val="TableParagraph"/>
              <w:rPr>
                <w:b/>
                <w:sz w:val="26"/>
              </w:rPr>
            </w:pPr>
          </w:p>
          <w:p>
            <w:pPr>
              <w:pStyle w:val="TableParagraph"/>
              <w:rPr>
                <w:b/>
                <w:sz w:val="26"/>
              </w:rPr>
            </w:pPr>
          </w:p>
          <w:p>
            <w:pPr>
              <w:pStyle w:val="TableParagraph"/>
              <w:spacing w:line="255" w:lineRule="exact" w:before="230"/>
              <w:ind w:right="64"/>
              <w:jc w:val="right"/>
              <w:rPr>
                <w:sz w:val="24"/>
              </w:rPr>
            </w:pPr>
            <w:r>
              <w:rPr>
                <w:sz w:val="24"/>
              </w:rPr>
              <w:t>10,500.00</w:t>
            </w:r>
          </w:p>
        </w:tc>
        <w:tc>
          <w:tcPr>
            <w:tcW w:w="1230" w:type="dxa"/>
          </w:tcPr>
          <w:p>
            <w:pPr>
              <w:pStyle w:val="TableParagraph"/>
              <w:rPr>
                <w:b/>
                <w:sz w:val="26"/>
              </w:rPr>
            </w:pPr>
          </w:p>
          <w:p>
            <w:pPr>
              <w:pStyle w:val="TableParagraph"/>
              <w:rPr>
                <w:b/>
                <w:sz w:val="26"/>
              </w:rPr>
            </w:pPr>
          </w:p>
          <w:p>
            <w:pPr>
              <w:pStyle w:val="TableParagraph"/>
              <w:spacing w:line="255" w:lineRule="exact" w:before="230"/>
              <w:ind w:right="62"/>
              <w:jc w:val="right"/>
              <w:rPr>
                <w:sz w:val="24"/>
              </w:rPr>
            </w:pPr>
            <w:r>
              <w:rPr>
                <w:sz w:val="24"/>
              </w:rPr>
              <w:t>933.93</w:t>
            </w:r>
          </w:p>
        </w:tc>
        <w:tc>
          <w:tcPr>
            <w:tcW w:w="1324" w:type="dxa"/>
          </w:tcPr>
          <w:p>
            <w:pPr>
              <w:pStyle w:val="TableParagraph"/>
              <w:rPr>
                <w:b/>
                <w:sz w:val="26"/>
              </w:rPr>
            </w:pPr>
          </w:p>
          <w:p>
            <w:pPr>
              <w:pStyle w:val="TableParagraph"/>
              <w:rPr>
                <w:b/>
                <w:sz w:val="26"/>
              </w:rPr>
            </w:pPr>
          </w:p>
          <w:p>
            <w:pPr>
              <w:pStyle w:val="TableParagraph"/>
              <w:spacing w:line="255" w:lineRule="exact" w:before="230"/>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spacing w:line="255" w:lineRule="exact" w:before="230"/>
              <w:ind w:right="66"/>
              <w:jc w:val="right"/>
              <w:rPr>
                <w:sz w:val="24"/>
              </w:rPr>
            </w:pPr>
            <w:r>
              <w:rPr>
                <w:sz w:val="24"/>
              </w:rPr>
              <w:t>807.14</w:t>
            </w:r>
          </w:p>
        </w:tc>
      </w:tr>
      <w:tr>
        <w:trPr>
          <w:trHeight w:val="551" w:hRule="atLeast"/>
        </w:trPr>
        <w:tc>
          <w:tcPr>
            <w:tcW w:w="2268" w:type="dxa"/>
          </w:tcPr>
          <w:p>
            <w:pPr>
              <w:pStyle w:val="TableParagraph"/>
              <w:rPr>
                <w:b/>
                <w:sz w:val="24"/>
              </w:rPr>
            </w:pPr>
          </w:p>
          <w:p>
            <w:pPr>
              <w:pStyle w:val="TableParagraph"/>
              <w:spacing w:line="255" w:lineRule="exact"/>
              <w:ind w:left="67"/>
              <w:rPr>
                <w:sz w:val="24"/>
              </w:rPr>
            </w:pPr>
            <w:r>
              <w:rPr>
                <w:sz w:val="24"/>
              </w:rPr>
              <w:t>Restaurant bar</w:t>
            </w:r>
          </w:p>
        </w:tc>
        <w:tc>
          <w:tcPr>
            <w:tcW w:w="1561" w:type="dxa"/>
          </w:tcPr>
          <w:p>
            <w:pPr>
              <w:pStyle w:val="TableParagraph"/>
              <w:rPr>
                <w:b/>
                <w:sz w:val="24"/>
              </w:rPr>
            </w:pPr>
          </w:p>
          <w:p>
            <w:pPr>
              <w:pStyle w:val="TableParagraph"/>
              <w:spacing w:line="255" w:lineRule="exact"/>
              <w:ind w:right="60"/>
              <w:jc w:val="right"/>
              <w:rPr>
                <w:sz w:val="24"/>
              </w:rPr>
            </w:pPr>
            <w:r>
              <w:rPr>
                <w:sz w:val="24"/>
              </w:rPr>
              <w:t>102.68</w:t>
            </w:r>
          </w:p>
        </w:tc>
        <w:tc>
          <w:tcPr>
            <w:tcW w:w="1986" w:type="dxa"/>
          </w:tcPr>
          <w:p>
            <w:pPr>
              <w:pStyle w:val="TableParagraph"/>
              <w:rPr>
                <w:b/>
                <w:sz w:val="24"/>
              </w:rPr>
            </w:pPr>
          </w:p>
          <w:p>
            <w:pPr>
              <w:pStyle w:val="TableParagraph"/>
              <w:spacing w:line="255" w:lineRule="exact"/>
              <w:ind w:right="63"/>
              <w:jc w:val="right"/>
              <w:rPr>
                <w:sz w:val="24"/>
              </w:rPr>
            </w:pPr>
            <w:r>
              <w:rPr>
                <w:sz w:val="24"/>
              </w:rPr>
              <w:t>8,250.00</w:t>
            </w:r>
          </w:p>
        </w:tc>
        <w:tc>
          <w:tcPr>
            <w:tcW w:w="1230" w:type="dxa"/>
          </w:tcPr>
          <w:p>
            <w:pPr>
              <w:pStyle w:val="TableParagraph"/>
              <w:rPr>
                <w:b/>
                <w:sz w:val="24"/>
              </w:rPr>
            </w:pPr>
          </w:p>
          <w:p>
            <w:pPr>
              <w:pStyle w:val="TableParagraph"/>
              <w:spacing w:line="255" w:lineRule="exact"/>
              <w:ind w:right="62"/>
              <w:jc w:val="right"/>
              <w:rPr>
                <w:sz w:val="24"/>
              </w:rPr>
            </w:pPr>
            <w:r>
              <w:rPr>
                <w:sz w:val="24"/>
              </w:rPr>
              <w:t>933.93</w:t>
            </w:r>
          </w:p>
        </w:tc>
        <w:tc>
          <w:tcPr>
            <w:tcW w:w="1324" w:type="dxa"/>
          </w:tcPr>
          <w:p>
            <w:pPr>
              <w:pStyle w:val="TableParagraph"/>
              <w:rPr>
                <w:b/>
                <w:sz w:val="24"/>
              </w:rPr>
            </w:pPr>
          </w:p>
          <w:p>
            <w:pPr>
              <w:pStyle w:val="TableParagraph"/>
              <w:spacing w:line="255" w:lineRule="exact"/>
              <w:ind w:right="63"/>
              <w:jc w:val="right"/>
              <w:rPr>
                <w:sz w:val="24"/>
              </w:rPr>
            </w:pPr>
            <w:r>
              <w:rPr>
                <w:sz w:val="24"/>
              </w:rPr>
              <w:t>552.68</w:t>
            </w:r>
          </w:p>
        </w:tc>
        <w:tc>
          <w:tcPr>
            <w:tcW w:w="1304" w:type="dxa"/>
          </w:tcPr>
          <w:p>
            <w:pPr>
              <w:pStyle w:val="TableParagraph"/>
              <w:rPr>
                <w:b/>
                <w:sz w:val="24"/>
              </w:rPr>
            </w:pPr>
          </w:p>
          <w:p>
            <w:pPr>
              <w:pStyle w:val="TableParagraph"/>
              <w:spacing w:line="255" w:lineRule="exact"/>
              <w:ind w:right="66"/>
              <w:jc w:val="right"/>
              <w:rPr>
                <w:sz w:val="24"/>
              </w:rPr>
            </w:pPr>
            <w:r>
              <w:rPr>
                <w:sz w:val="24"/>
              </w:rPr>
              <w:t>807.14</w:t>
            </w:r>
          </w:p>
        </w:tc>
      </w:tr>
      <w:tr>
        <w:trPr>
          <w:trHeight w:val="827" w:hRule="atLeast"/>
        </w:trPr>
        <w:tc>
          <w:tcPr>
            <w:tcW w:w="2268" w:type="dxa"/>
          </w:tcPr>
          <w:p>
            <w:pPr>
              <w:pStyle w:val="TableParagraph"/>
              <w:spacing w:line="270" w:lineRule="atLeast"/>
              <w:ind w:left="67" w:right="223"/>
              <w:rPr>
                <w:sz w:val="24"/>
              </w:rPr>
            </w:pPr>
            <w:r>
              <w:rPr>
                <w:sz w:val="24"/>
              </w:rPr>
              <w:t>Salón de eventos/con venta de alcohol</w:t>
            </w:r>
          </w:p>
        </w:tc>
        <w:tc>
          <w:tcPr>
            <w:tcW w:w="1561" w:type="dxa"/>
          </w:tcPr>
          <w:p>
            <w:pPr>
              <w:pStyle w:val="TableParagraph"/>
              <w:rPr>
                <w:b/>
                <w:sz w:val="26"/>
              </w:rPr>
            </w:pPr>
          </w:p>
          <w:p>
            <w:pPr>
              <w:pStyle w:val="TableParagraph"/>
              <w:rPr>
                <w:b/>
                <w:sz w:val="22"/>
              </w:rPr>
            </w:pPr>
          </w:p>
          <w:p>
            <w:pPr>
              <w:pStyle w:val="TableParagraph"/>
              <w:spacing w:line="255" w:lineRule="exact"/>
              <w:ind w:right="60"/>
              <w:jc w:val="right"/>
              <w:rPr>
                <w:sz w:val="24"/>
              </w:rPr>
            </w:pPr>
            <w:r>
              <w:rPr>
                <w:sz w:val="24"/>
              </w:rPr>
              <w:t>102.68</w:t>
            </w:r>
          </w:p>
        </w:tc>
        <w:tc>
          <w:tcPr>
            <w:tcW w:w="1986"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6,150.00</w:t>
            </w:r>
          </w:p>
        </w:tc>
        <w:tc>
          <w:tcPr>
            <w:tcW w:w="1230" w:type="dxa"/>
          </w:tcPr>
          <w:p>
            <w:pPr>
              <w:pStyle w:val="TableParagraph"/>
              <w:rPr>
                <w:b/>
                <w:sz w:val="26"/>
              </w:rPr>
            </w:pPr>
          </w:p>
          <w:p>
            <w:pPr>
              <w:pStyle w:val="TableParagraph"/>
              <w:rPr>
                <w:b/>
                <w:sz w:val="22"/>
              </w:rPr>
            </w:pPr>
          </w:p>
          <w:p>
            <w:pPr>
              <w:pStyle w:val="TableParagraph"/>
              <w:spacing w:line="255" w:lineRule="exact"/>
              <w:ind w:right="62"/>
              <w:jc w:val="right"/>
              <w:rPr>
                <w:sz w:val="24"/>
              </w:rPr>
            </w:pPr>
            <w:r>
              <w:rPr>
                <w:sz w:val="24"/>
              </w:rPr>
              <w:t>933.93</w:t>
            </w:r>
          </w:p>
        </w:tc>
        <w:tc>
          <w:tcPr>
            <w:tcW w:w="1324" w:type="dxa"/>
          </w:tcPr>
          <w:p>
            <w:pPr>
              <w:pStyle w:val="TableParagraph"/>
              <w:rPr>
                <w:b/>
                <w:sz w:val="26"/>
              </w:rPr>
            </w:pPr>
          </w:p>
          <w:p>
            <w:pPr>
              <w:pStyle w:val="TableParagraph"/>
              <w:rPr>
                <w:b/>
                <w:sz w:val="22"/>
              </w:rPr>
            </w:pPr>
          </w:p>
          <w:p>
            <w:pPr>
              <w:pStyle w:val="TableParagraph"/>
              <w:spacing w:line="255" w:lineRule="exact"/>
              <w:ind w:right="63"/>
              <w:jc w:val="right"/>
              <w:rPr>
                <w:sz w:val="24"/>
              </w:rPr>
            </w:pPr>
            <w:r>
              <w:rPr>
                <w:sz w:val="24"/>
              </w:rPr>
              <w:t>1,382.14</w:t>
            </w:r>
          </w:p>
        </w:tc>
        <w:tc>
          <w:tcPr>
            <w:tcW w:w="1304" w:type="dxa"/>
          </w:tcPr>
          <w:p>
            <w:pPr>
              <w:pStyle w:val="TableParagraph"/>
              <w:rPr>
                <w:b/>
                <w:sz w:val="26"/>
              </w:rPr>
            </w:pPr>
          </w:p>
          <w:p>
            <w:pPr>
              <w:pStyle w:val="TableParagraph"/>
              <w:rPr>
                <w:b/>
                <w:sz w:val="22"/>
              </w:rPr>
            </w:pPr>
          </w:p>
          <w:p>
            <w:pPr>
              <w:pStyle w:val="TableParagraph"/>
              <w:spacing w:line="255" w:lineRule="exact"/>
              <w:ind w:right="66"/>
              <w:jc w:val="right"/>
              <w:rPr>
                <w:sz w:val="24"/>
              </w:rPr>
            </w:pPr>
            <w:r>
              <w:rPr>
                <w:sz w:val="24"/>
              </w:rPr>
              <w:t>1,211.61</w:t>
            </w:r>
          </w:p>
        </w:tc>
      </w:tr>
      <w:tr>
        <w:trPr>
          <w:trHeight w:val="657" w:hRule="atLeast"/>
        </w:trPr>
        <w:tc>
          <w:tcPr>
            <w:tcW w:w="2268" w:type="dxa"/>
          </w:tcPr>
          <w:p>
            <w:pPr>
              <w:pStyle w:val="TableParagraph"/>
              <w:spacing w:before="2"/>
              <w:rPr>
                <w:b/>
                <w:sz w:val="33"/>
              </w:rPr>
            </w:pPr>
          </w:p>
          <w:p>
            <w:pPr>
              <w:pStyle w:val="TableParagraph"/>
              <w:spacing w:line="255" w:lineRule="exact"/>
              <w:ind w:left="67"/>
              <w:rPr>
                <w:sz w:val="24"/>
              </w:rPr>
            </w:pPr>
            <w:r>
              <w:rPr>
                <w:sz w:val="24"/>
              </w:rPr>
              <w:t>Servi bar</w:t>
            </w:r>
          </w:p>
        </w:tc>
        <w:tc>
          <w:tcPr>
            <w:tcW w:w="1561" w:type="dxa"/>
          </w:tcPr>
          <w:p>
            <w:pPr>
              <w:pStyle w:val="TableParagraph"/>
              <w:spacing w:before="2"/>
              <w:rPr>
                <w:b/>
                <w:sz w:val="33"/>
              </w:rPr>
            </w:pPr>
          </w:p>
          <w:p>
            <w:pPr>
              <w:pStyle w:val="TableParagraph"/>
              <w:spacing w:line="255" w:lineRule="exact"/>
              <w:ind w:right="60"/>
              <w:jc w:val="right"/>
              <w:rPr>
                <w:sz w:val="24"/>
              </w:rPr>
            </w:pPr>
            <w:r>
              <w:rPr>
                <w:sz w:val="24"/>
              </w:rPr>
              <w:t>102.68</w:t>
            </w:r>
          </w:p>
        </w:tc>
        <w:tc>
          <w:tcPr>
            <w:tcW w:w="1986" w:type="dxa"/>
          </w:tcPr>
          <w:p>
            <w:pPr>
              <w:pStyle w:val="TableParagraph"/>
              <w:spacing w:before="2"/>
              <w:rPr>
                <w:b/>
                <w:sz w:val="33"/>
              </w:rPr>
            </w:pPr>
          </w:p>
          <w:p>
            <w:pPr>
              <w:pStyle w:val="TableParagraph"/>
              <w:spacing w:line="255" w:lineRule="exact"/>
              <w:ind w:right="63"/>
              <w:jc w:val="right"/>
              <w:rPr>
                <w:sz w:val="24"/>
              </w:rPr>
            </w:pPr>
            <w:r>
              <w:rPr>
                <w:sz w:val="24"/>
              </w:rPr>
              <w:t>6,150.00</w:t>
            </w:r>
          </w:p>
        </w:tc>
        <w:tc>
          <w:tcPr>
            <w:tcW w:w="1230" w:type="dxa"/>
          </w:tcPr>
          <w:p>
            <w:pPr>
              <w:pStyle w:val="TableParagraph"/>
              <w:spacing w:before="2"/>
              <w:rPr>
                <w:b/>
                <w:sz w:val="33"/>
              </w:rPr>
            </w:pPr>
          </w:p>
          <w:p>
            <w:pPr>
              <w:pStyle w:val="TableParagraph"/>
              <w:spacing w:line="255" w:lineRule="exact"/>
              <w:ind w:right="62"/>
              <w:jc w:val="right"/>
              <w:rPr>
                <w:sz w:val="24"/>
              </w:rPr>
            </w:pPr>
            <w:r>
              <w:rPr>
                <w:sz w:val="24"/>
              </w:rPr>
              <w:t>933.93</w:t>
            </w:r>
          </w:p>
        </w:tc>
        <w:tc>
          <w:tcPr>
            <w:tcW w:w="1324" w:type="dxa"/>
          </w:tcPr>
          <w:p>
            <w:pPr>
              <w:pStyle w:val="TableParagraph"/>
              <w:spacing w:before="2"/>
              <w:rPr>
                <w:b/>
                <w:sz w:val="33"/>
              </w:rPr>
            </w:pPr>
          </w:p>
          <w:p>
            <w:pPr>
              <w:pStyle w:val="TableParagraph"/>
              <w:spacing w:line="255" w:lineRule="exact"/>
              <w:ind w:right="63"/>
              <w:jc w:val="right"/>
              <w:rPr>
                <w:sz w:val="24"/>
              </w:rPr>
            </w:pPr>
            <w:r>
              <w:rPr>
                <w:sz w:val="24"/>
              </w:rPr>
              <w:t>552.68</w:t>
            </w:r>
          </w:p>
        </w:tc>
        <w:tc>
          <w:tcPr>
            <w:tcW w:w="1304" w:type="dxa"/>
          </w:tcPr>
          <w:p>
            <w:pPr>
              <w:pStyle w:val="TableParagraph"/>
              <w:spacing w:before="2"/>
              <w:rPr>
                <w:b/>
                <w:sz w:val="33"/>
              </w:rPr>
            </w:pPr>
          </w:p>
          <w:p>
            <w:pPr>
              <w:pStyle w:val="TableParagraph"/>
              <w:spacing w:line="255" w:lineRule="exact"/>
              <w:ind w:right="66"/>
              <w:jc w:val="right"/>
              <w:rPr>
                <w:sz w:val="24"/>
              </w:rPr>
            </w:pPr>
            <w:r>
              <w:rPr>
                <w:sz w:val="24"/>
              </w:rPr>
              <w:t>807.14</w:t>
            </w:r>
          </w:p>
        </w:tc>
      </w:tr>
      <w:tr>
        <w:trPr>
          <w:trHeight w:val="1380" w:hRule="atLeast"/>
        </w:trPr>
        <w:tc>
          <w:tcPr>
            <w:tcW w:w="2268" w:type="dxa"/>
          </w:tcPr>
          <w:p>
            <w:pPr>
              <w:pStyle w:val="TableParagraph"/>
              <w:spacing w:line="270" w:lineRule="atLeast"/>
              <w:ind w:left="67" w:right="570"/>
              <w:rPr>
                <w:sz w:val="24"/>
              </w:rPr>
            </w:pPr>
            <w:r>
              <w:rPr>
                <w:sz w:val="24"/>
              </w:rPr>
              <w:t>Tienda de autoservicio, supermercado, ultramarinos y similares</w:t>
            </w:r>
          </w:p>
        </w:tc>
        <w:tc>
          <w:tcPr>
            <w:tcW w:w="1561" w:type="dxa"/>
          </w:tcPr>
          <w:p>
            <w:pPr>
              <w:pStyle w:val="TableParagraph"/>
              <w:rPr>
                <w:b/>
                <w:sz w:val="26"/>
              </w:rPr>
            </w:pPr>
          </w:p>
          <w:p>
            <w:pPr>
              <w:pStyle w:val="TableParagraph"/>
              <w:rPr>
                <w:b/>
                <w:sz w:val="26"/>
              </w:rPr>
            </w:pPr>
          </w:p>
          <w:p>
            <w:pPr>
              <w:pStyle w:val="TableParagraph"/>
              <w:rPr>
                <w:b/>
                <w:sz w:val="26"/>
              </w:rPr>
            </w:pPr>
          </w:p>
          <w:p>
            <w:pPr>
              <w:pStyle w:val="TableParagraph"/>
              <w:spacing w:line="256" w:lineRule="exact" w:before="207"/>
              <w:ind w:right="60"/>
              <w:jc w:val="right"/>
              <w:rPr>
                <w:sz w:val="24"/>
              </w:rPr>
            </w:pPr>
            <w:r>
              <w:rPr>
                <w:sz w:val="24"/>
              </w:rPr>
              <w:t>102.68</w:t>
            </w:r>
          </w:p>
        </w:tc>
        <w:tc>
          <w:tcPr>
            <w:tcW w:w="1986" w:type="dxa"/>
          </w:tcPr>
          <w:p>
            <w:pPr>
              <w:pStyle w:val="TableParagraph"/>
              <w:rPr>
                <w:b/>
                <w:sz w:val="26"/>
              </w:rPr>
            </w:pPr>
          </w:p>
          <w:p>
            <w:pPr>
              <w:pStyle w:val="TableParagraph"/>
              <w:rPr>
                <w:b/>
                <w:sz w:val="26"/>
              </w:rPr>
            </w:pPr>
          </w:p>
          <w:p>
            <w:pPr>
              <w:pStyle w:val="TableParagraph"/>
              <w:rPr>
                <w:b/>
                <w:sz w:val="26"/>
              </w:rPr>
            </w:pPr>
          </w:p>
          <w:p>
            <w:pPr>
              <w:pStyle w:val="TableParagraph"/>
              <w:spacing w:line="256" w:lineRule="exact" w:before="207"/>
              <w:ind w:right="64"/>
              <w:jc w:val="right"/>
              <w:rPr>
                <w:sz w:val="24"/>
              </w:rPr>
            </w:pPr>
            <w:r>
              <w:rPr>
                <w:sz w:val="24"/>
              </w:rPr>
              <w:t>14,000.00</w:t>
            </w:r>
          </w:p>
        </w:tc>
        <w:tc>
          <w:tcPr>
            <w:tcW w:w="1230" w:type="dxa"/>
          </w:tcPr>
          <w:p>
            <w:pPr>
              <w:pStyle w:val="TableParagraph"/>
              <w:rPr>
                <w:b/>
                <w:sz w:val="26"/>
              </w:rPr>
            </w:pPr>
          </w:p>
          <w:p>
            <w:pPr>
              <w:pStyle w:val="TableParagraph"/>
              <w:rPr>
                <w:b/>
                <w:sz w:val="26"/>
              </w:rPr>
            </w:pPr>
          </w:p>
          <w:p>
            <w:pPr>
              <w:pStyle w:val="TableParagraph"/>
              <w:rPr>
                <w:b/>
                <w:sz w:val="26"/>
              </w:rPr>
            </w:pPr>
          </w:p>
          <w:p>
            <w:pPr>
              <w:pStyle w:val="TableParagraph"/>
              <w:spacing w:line="256" w:lineRule="exact" w:before="207"/>
              <w:ind w:right="62"/>
              <w:jc w:val="right"/>
              <w:rPr>
                <w:sz w:val="24"/>
              </w:rPr>
            </w:pPr>
            <w:r>
              <w:rPr>
                <w:sz w:val="24"/>
              </w:rPr>
              <w:t>933.93</w:t>
            </w:r>
          </w:p>
        </w:tc>
        <w:tc>
          <w:tcPr>
            <w:tcW w:w="1324" w:type="dxa"/>
          </w:tcPr>
          <w:p>
            <w:pPr>
              <w:pStyle w:val="TableParagraph"/>
              <w:rPr>
                <w:b/>
                <w:sz w:val="26"/>
              </w:rPr>
            </w:pPr>
          </w:p>
          <w:p>
            <w:pPr>
              <w:pStyle w:val="TableParagraph"/>
              <w:rPr>
                <w:b/>
                <w:sz w:val="26"/>
              </w:rPr>
            </w:pPr>
          </w:p>
          <w:p>
            <w:pPr>
              <w:pStyle w:val="TableParagraph"/>
              <w:rPr>
                <w:b/>
                <w:sz w:val="26"/>
              </w:rPr>
            </w:pPr>
          </w:p>
          <w:p>
            <w:pPr>
              <w:pStyle w:val="TableParagraph"/>
              <w:spacing w:line="256" w:lineRule="exact" w:before="207"/>
              <w:ind w:right="63"/>
              <w:jc w:val="right"/>
              <w:rPr>
                <w:sz w:val="24"/>
              </w:rPr>
            </w:pPr>
            <w:r>
              <w:rPr>
                <w:sz w:val="24"/>
              </w:rPr>
              <w:t>1,382.14</w:t>
            </w:r>
          </w:p>
        </w:tc>
        <w:tc>
          <w:tcPr>
            <w:tcW w:w="1304" w:type="dxa"/>
          </w:tcPr>
          <w:p>
            <w:pPr>
              <w:pStyle w:val="TableParagraph"/>
              <w:rPr>
                <w:b/>
                <w:sz w:val="26"/>
              </w:rPr>
            </w:pPr>
          </w:p>
          <w:p>
            <w:pPr>
              <w:pStyle w:val="TableParagraph"/>
              <w:rPr>
                <w:b/>
                <w:sz w:val="26"/>
              </w:rPr>
            </w:pPr>
          </w:p>
          <w:p>
            <w:pPr>
              <w:pStyle w:val="TableParagraph"/>
              <w:rPr>
                <w:b/>
                <w:sz w:val="26"/>
              </w:rPr>
            </w:pPr>
          </w:p>
          <w:p>
            <w:pPr>
              <w:pStyle w:val="TableParagraph"/>
              <w:spacing w:line="256" w:lineRule="exact" w:before="207"/>
              <w:ind w:right="66"/>
              <w:jc w:val="right"/>
              <w:rPr>
                <w:sz w:val="24"/>
              </w:rPr>
            </w:pPr>
            <w:r>
              <w:rPr>
                <w:sz w:val="24"/>
              </w:rPr>
              <w:t>1,211.61</w:t>
            </w:r>
          </w:p>
        </w:tc>
      </w:tr>
    </w:tbl>
    <w:p>
      <w:pPr>
        <w:spacing w:after="0" w:line="256" w:lineRule="exact"/>
        <w:jc w:val="right"/>
        <w:rPr>
          <w:sz w:val="24"/>
        </w:rPr>
        <w:sectPr>
          <w:pgSz w:w="12250" w:h="15850"/>
          <w:pgMar w:header="730" w:footer="0" w:top="1000" w:bottom="280" w:left="860" w:right="820"/>
        </w:sectPr>
      </w:pPr>
    </w:p>
    <w:p>
      <w:pPr>
        <w:pStyle w:val="BodyText"/>
        <w:spacing w:before="10"/>
        <w:rPr>
          <w:b/>
          <w:sz w:val="15"/>
        </w:rPr>
      </w:pPr>
      <w:r>
        <w:rPr/>
        <w:pict>
          <v:group style="position:absolute;margin-left:61.919979pt;margin-top:164.159988pt;width:488.05pt;height:405.1pt;mso-position-horizontal-relative:page;mso-position-vertical-relative:page;z-index:-275731456" coordorigin="1238,3283" coordsize="9761,8102">
            <v:shape style="position:absolute;left:1972;top:3283;width:7910;height:8102" type="#_x0000_t75" stroked="false">
              <v:imagedata r:id="rId105" o:title=""/>
            </v:shape>
            <v:shape style="position:absolute;left:1243;top:4555;width:9751;height:839" type="#_x0000_t202" filled="false" stroked="true" strokeweight=".48004pt" strokecolor="#000000">
              <v:textbox inset="0,0,0,0">
                <w:txbxContent>
                  <w:p>
                    <w:pPr>
                      <w:spacing w:before="0"/>
                      <w:ind w:left="2914" w:right="2915" w:firstLine="0"/>
                      <w:jc w:val="center"/>
                      <w:rPr>
                        <w:sz w:val="24"/>
                      </w:rPr>
                    </w:pPr>
                    <w:r>
                      <w:rPr>
                        <w:sz w:val="24"/>
                      </w:rPr>
                      <w:t>Costos En Tiempo Extraordinario De Establecimientos Del Catálogo</w:t>
                    </w:r>
                  </w:p>
                  <w:p>
                    <w:pPr>
                      <w:spacing w:line="276" w:lineRule="exact" w:before="1"/>
                      <w:ind w:left="2914" w:right="2914" w:firstLine="0"/>
                      <w:jc w:val="center"/>
                      <w:rPr>
                        <w:sz w:val="24"/>
                      </w:rPr>
                    </w:pPr>
                    <w:r>
                      <w:rPr>
                        <w:sz w:val="24"/>
                      </w:rPr>
                      <w:t>De Giros Vigente</w:t>
                    </w:r>
                  </w:p>
                </w:txbxContent>
              </v:textbox>
              <v:stroke dashstyle="solid"/>
              <w10:wrap type="none"/>
            </v:shape>
            <w10:wrap type="none"/>
          </v:group>
        </w:pict>
      </w: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561"/>
        <w:gridCol w:w="1986"/>
        <w:gridCol w:w="1230"/>
        <w:gridCol w:w="1324"/>
        <w:gridCol w:w="1304"/>
      </w:tblGrid>
      <w:tr>
        <w:trPr>
          <w:trHeight w:val="660" w:hRule="atLeast"/>
        </w:trPr>
        <w:tc>
          <w:tcPr>
            <w:tcW w:w="2268" w:type="dxa"/>
            <w:vMerge w:val="restart"/>
          </w:tcPr>
          <w:p>
            <w:pPr>
              <w:pStyle w:val="TableParagraph"/>
              <w:rPr>
                <w:b/>
                <w:sz w:val="26"/>
              </w:rPr>
            </w:pPr>
          </w:p>
          <w:p>
            <w:pPr>
              <w:pStyle w:val="TableParagraph"/>
              <w:rPr>
                <w:b/>
                <w:sz w:val="26"/>
              </w:rPr>
            </w:pPr>
          </w:p>
          <w:p>
            <w:pPr>
              <w:pStyle w:val="TableParagraph"/>
              <w:spacing w:before="221"/>
              <w:ind w:left="331"/>
              <w:rPr>
                <w:sz w:val="24"/>
              </w:rPr>
            </w:pPr>
            <w:r>
              <w:rPr>
                <w:sz w:val="24"/>
              </w:rPr>
              <w:t>Giro Comercial</w:t>
            </w:r>
          </w:p>
        </w:tc>
        <w:tc>
          <w:tcPr>
            <w:tcW w:w="3547" w:type="dxa"/>
            <w:gridSpan w:val="2"/>
          </w:tcPr>
          <w:p>
            <w:pPr>
              <w:pStyle w:val="TableParagraph"/>
              <w:spacing w:before="192"/>
              <w:ind w:left="196"/>
              <w:rPr>
                <w:sz w:val="24"/>
              </w:rPr>
            </w:pPr>
            <w:r>
              <w:rPr>
                <w:sz w:val="24"/>
              </w:rPr>
              <w:t>Funcionamiento De Negocios</w:t>
            </w:r>
          </w:p>
        </w:tc>
        <w:tc>
          <w:tcPr>
            <w:tcW w:w="3858" w:type="dxa"/>
            <w:gridSpan w:val="3"/>
          </w:tcPr>
          <w:p>
            <w:pPr>
              <w:pStyle w:val="TableParagraph"/>
              <w:spacing w:before="192"/>
              <w:ind w:left="1251"/>
              <w:rPr>
                <w:sz w:val="24"/>
              </w:rPr>
            </w:pPr>
            <w:r>
              <w:rPr>
                <w:sz w:val="24"/>
              </w:rPr>
              <w:t>Clasificación</w:t>
            </w:r>
          </w:p>
        </w:tc>
      </w:tr>
      <w:tr>
        <w:trPr>
          <w:trHeight w:val="1242" w:hRule="atLeast"/>
        </w:trPr>
        <w:tc>
          <w:tcPr>
            <w:tcW w:w="2268" w:type="dxa"/>
            <w:vMerge/>
            <w:tcBorders>
              <w:top w:val="nil"/>
            </w:tcBorders>
          </w:tcPr>
          <w:p>
            <w:pPr>
              <w:rPr>
                <w:sz w:val="2"/>
                <w:szCs w:val="2"/>
              </w:rPr>
            </w:pPr>
          </w:p>
        </w:tc>
        <w:tc>
          <w:tcPr>
            <w:tcW w:w="1561" w:type="dxa"/>
          </w:tcPr>
          <w:p>
            <w:pPr>
              <w:pStyle w:val="TableParagraph"/>
              <w:spacing w:line="360" w:lineRule="auto"/>
              <w:ind w:left="76" w:right="70"/>
              <w:jc w:val="center"/>
              <w:rPr>
                <w:sz w:val="24"/>
              </w:rPr>
            </w:pPr>
            <w:r>
              <w:rPr>
                <w:sz w:val="24"/>
              </w:rPr>
              <w:t>Identificación</w:t>
            </w:r>
            <w:r>
              <w:rPr>
                <w:w w:val="99"/>
                <w:sz w:val="24"/>
              </w:rPr>
              <w:t> </w:t>
            </w:r>
            <w:r>
              <w:rPr>
                <w:sz w:val="24"/>
              </w:rPr>
              <w:t>De Giro</w:t>
            </w:r>
          </w:p>
          <w:p>
            <w:pPr>
              <w:pStyle w:val="TableParagraph"/>
              <w:ind w:left="3"/>
              <w:jc w:val="center"/>
              <w:rPr>
                <w:sz w:val="24"/>
              </w:rPr>
            </w:pPr>
            <w:r>
              <w:rPr>
                <w:w w:val="99"/>
                <w:sz w:val="24"/>
              </w:rPr>
              <w:t>$</w:t>
            </w:r>
          </w:p>
        </w:tc>
        <w:tc>
          <w:tcPr>
            <w:tcW w:w="1986" w:type="dxa"/>
          </w:tcPr>
          <w:p>
            <w:pPr>
              <w:pStyle w:val="TableParagraph"/>
              <w:spacing w:line="360" w:lineRule="auto"/>
              <w:ind w:left="133" w:right="131" w:firstLine="3"/>
              <w:jc w:val="center"/>
              <w:rPr>
                <w:sz w:val="24"/>
              </w:rPr>
            </w:pPr>
            <w:r>
              <w:rPr>
                <w:sz w:val="24"/>
              </w:rPr>
              <w:t>Licencia De </w:t>
            </w:r>
            <w:r>
              <w:rPr>
                <w:w w:val="95"/>
                <w:sz w:val="24"/>
              </w:rPr>
              <w:t>Funcionamiento</w:t>
            </w:r>
          </w:p>
          <w:p>
            <w:pPr>
              <w:pStyle w:val="TableParagraph"/>
              <w:jc w:val="center"/>
              <w:rPr>
                <w:sz w:val="24"/>
              </w:rPr>
            </w:pPr>
            <w:r>
              <w:rPr>
                <w:w w:val="99"/>
                <w:sz w:val="24"/>
              </w:rPr>
              <w:t>$</w:t>
            </w:r>
          </w:p>
        </w:tc>
        <w:tc>
          <w:tcPr>
            <w:tcW w:w="1230" w:type="dxa"/>
          </w:tcPr>
          <w:p>
            <w:pPr>
              <w:pStyle w:val="TableParagraph"/>
              <w:spacing w:line="360" w:lineRule="auto"/>
              <w:ind w:left="144" w:right="140"/>
              <w:jc w:val="center"/>
              <w:rPr>
                <w:sz w:val="24"/>
              </w:rPr>
            </w:pPr>
            <w:r>
              <w:rPr>
                <w:sz w:val="24"/>
              </w:rPr>
              <w:t>DGDUE/</w:t>
            </w:r>
            <w:r>
              <w:rPr>
                <w:w w:val="100"/>
                <w:sz w:val="24"/>
              </w:rPr>
              <w:t> </w:t>
            </w:r>
            <w:r>
              <w:rPr>
                <w:sz w:val="24"/>
              </w:rPr>
              <w:t>DEPMA</w:t>
            </w:r>
          </w:p>
          <w:p>
            <w:pPr>
              <w:pStyle w:val="TableParagraph"/>
              <w:ind w:left="4"/>
              <w:jc w:val="center"/>
              <w:rPr>
                <w:sz w:val="24"/>
              </w:rPr>
            </w:pPr>
            <w:r>
              <w:rPr>
                <w:w w:val="99"/>
                <w:sz w:val="24"/>
              </w:rPr>
              <w:t>$</w:t>
            </w:r>
          </w:p>
        </w:tc>
        <w:tc>
          <w:tcPr>
            <w:tcW w:w="1324" w:type="dxa"/>
          </w:tcPr>
          <w:p>
            <w:pPr>
              <w:pStyle w:val="TableParagraph"/>
              <w:spacing w:line="360" w:lineRule="auto"/>
              <w:ind w:left="90" w:right="87"/>
              <w:jc w:val="center"/>
              <w:rPr>
                <w:sz w:val="24"/>
              </w:rPr>
            </w:pPr>
            <w:r>
              <w:rPr>
                <w:sz w:val="24"/>
              </w:rPr>
              <w:t>Protección</w:t>
            </w:r>
            <w:r>
              <w:rPr>
                <w:w w:val="99"/>
                <w:sz w:val="24"/>
              </w:rPr>
              <w:t> </w:t>
            </w:r>
            <w:r>
              <w:rPr>
                <w:sz w:val="24"/>
              </w:rPr>
              <w:t>Civil</w:t>
            </w:r>
          </w:p>
          <w:p>
            <w:pPr>
              <w:pStyle w:val="TableParagraph"/>
              <w:jc w:val="center"/>
              <w:rPr>
                <w:sz w:val="24"/>
              </w:rPr>
            </w:pPr>
            <w:r>
              <w:rPr>
                <w:w w:val="99"/>
                <w:sz w:val="24"/>
              </w:rPr>
              <w:t>$</w:t>
            </w:r>
          </w:p>
        </w:tc>
        <w:tc>
          <w:tcPr>
            <w:tcW w:w="1304" w:type="dxa"/>
          </w:tcPr>
          <w:p>
            <w:pPr>
              <w:pStyle w:val="TableParagraph"/>
              <w:spacing w:before="1"/>
              <w:rPr>
                <w:b/>
                <w:sz w:val="36"/>
              </w:rPr>
            </w:pPr>
          </w:p>
          <w:p>
            <w:pPr>
              <w:pStyle w:val="TableParagraph"/>
              <w:ind w:left="186" w:right="186"/>
              <w:jc w:val="center"/>
              <w:rPr>
                <w:sz w:val="24"/>
              </w:rPr>
            </w:pPr>
            <w:r>
              <w:rPr>
                <w:sz w:val="24"/>
              </w:rPr>
              <w:t>Sanidad</w:t>
            </w:r>
          </w:p>
          <w:p>
            <w:pPr>
              <w:pStyle w:val="TableParagraph"/>
              <w:spacing w:before="137"/>
              <w:ind w:right="4"/>
              <w:jc w:val="center"/>
              <w:rPr>
                <w:sz w:val="24"/>
              </w:rPr>
            </w:pPr>
            <w:r>
              <w:rPr>
                <w:w w:val="99"/>
                <w:sz w:val="24"/>
              </w:rPr>
              <w:t>$</w:t>
            </w:r>
          </w:p>
        </w:tc>
      </w:tr>
      <w:tr>
        <w:trPr>
          <w:trHeight w:val="551" w:hRule="atLeast"/>
        </w:trPr>
        <w:tc>
          <w:tcPr>
            <w:tcW w:w="2268" w:type="dxa"/>
          </w:tcPr>
          <w:p>
            <w:pPr>
              <w:pStyle w:val="TableParagraph"/>
              <w:spacing w:line="270" w:lineRule="atLeast"/>
              <w:ind w:left="67" w:right="49"/>
              <w:rPr>
                <w:sz w:val="24"/>
              </w:rPr>
            </w:pPr>
            <w:r>
              <w:rPr>
                <w:sz w:val="24"/>
              </w:rPr>
              <w:t>Venta de alcohol en farmacias</w:t>
            </w:r>
          </w:p>
        </w:tc>
        <w:tc>
          <w:tcPr>
            <w:tcW w:w="1561" w:type="dxa"/>
          </w:tcPr>
          <w:p>
            <w:pPr>
              <w:pStyle w:val="TableParagraph"/>
              <w:rPr>
                <w:b/>
                <w:sz w:val="24"/>
              </w:rPr>
            </w:pPr>
          </w:p>
          <w:p>
            <w:pPr>
              <w:pStyle w:val="TableParagraph"/>
              <w:spacing w:line="255" w:lineRule="exact"/>
              <w:ind w:left="753"/>
              <w:rPr>
                <w:sz w:val="24"/>
              </w:rPr>
            </w:pPr>
            <w:r>
              <w:rPr>
                <w:sz w:val="24"/>
              </w:rPr>
              <w:t>102.68</w:t>
            </w:r>
          </w:p>
        </w:tc>
        <w:tc>
          <w:tcPr>
            <w:tcW w:w="1986" w:type="dxa"/>
          </w:tcPr>
          <w:p>
            <w:pPr>
              <w:pStyle w:val="TableParagraph"/>
              <w:rPr>
                <w:b/>
                <w:sz w:val="24"/>
              </w:rPr>
            </w:pPr>
          </w:p>
          <w:p>
            <w:pPr>
              <w:pStyle w:val="TableParagraph"/>
              <w:spacing w:line="255" w:lineRule="exact"/>
              <w:ind w:left="976"/>
              <w:rPr>
                <w:sz w:val="24"/>
              </w:rPr>
            </w:pPr>
            <w:r>
              <w:rPr>
                <w:sz w:val="24"/>
              </w:rPr>
              <w:t>2,100.00</w:t>
            </w:r>
          </w:p>
        </w:tc>
        <w:tc>
          <w:tcPr>
            <w:tcW w:w="1230" w:type="dxa"/>
          </w:tcPr>
          <w:p>
            <w:pPr>
              <w:pStyle w:val="TableParagraph"/>
              <w:rPr>
                <w:b/>
                <w:sz w:val="24"/>
              </w:rPr>
            </w:pPr>
          </w:p>
          <w:p>
            <w:pPr>
              <w:pStyle w:val="TableParagraph"/>
              <w:spacing w:line="255" w:lineRule="exact"/>
              <w:ind w:left="420"/>
              <w:rPr>
                <w:sz w:val="24"/>
              </w:rPr>
            </w:pPr>
            <w:r>
              <w:rPr>
                <w:sz w:val="24"/>
              </w:rPr>
              <w:t>384.82</w:t>
            </w:r>
          </w:p>
        </w:tc>
        <w:tc>
          <w:tcPr>
            <w:tcW w:w="1324" w:type="dxa"/>
          </w:tcPr>
          <w:p>
            <w:pPr>
              <w:pStyle w:val="TableParagraph"/>
              <w:rPr>
                <w:b/>
                <w:sz w:val="24"/>
              </w:rPr>
            </w:pPr>
          </w:p>
          <w:p>
            <w:pPr>
              <w:pStyle w:val="TableParagraph"/>
              <w:spacing w:line="255" w:lineRule="exact"/>
              <w:ind w:left="513"/>
              <w:rPr>
                <w:sz w:val="24"/>
              </w:rPr>
            </w:pPr>
            <w:r>
              <w:rPr>
                <w:sz w:val="24"/>
              </w:rPr>
              <w:t>552.68</w:t>
            </w:r>
          </w:p>
        </w:tc>
        <w:tc>
          <w:tcPr>
            <w:tcW w:w="1304" w:type="dxa"/>
          </w:tcPr>
          <w:p>
            <w:pPr>
              <w:pStyle w:val="TableParagraph"/>
              <w:rPr>
                <w:b/>
                <w:sz w:val="24"/>
              </w:rPr>
            </w:pPr>
          </w:p>
          <w:p>
            <w:pPr>
              <w:pStyle w:val="TableParagraph"/>
              <w:spacing w:line="255" w:lineRule="exact"/>
              <w:ind w:left="490"/>
              <w:rPr>
                <w:sz w:val="24"/>
              </w:rPr>
            </w:pPr>
            <w:r>
              <w:rPr>
                <w:sz w:val="24"/>
              </w:rPr>
              <w:t>322.32</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tbl>
      <w:tblPr>
        <w:tblW w:w="0" w:type="auto"/>
        <w:jc w:val="left"/>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52"/>
        <w:gridCol w:w="2799"/>
      </w:tblGrid>
      <w:tr>
        <w:trPr>
          <w:trHeight w:val="412" w:hRule="atLeast"/>
        </w:trPr>
        <w:tc>
          <w:tcPr>
            <w:tcW w:w="6952" w:type="dxa"/>
          </w:tcPr>
          <w:p>
            <w:pPr>
              <w:pStyle w:val="TableParagraph"/>
              <w:ind w:left="3028" w:right="3019"/>
              <w:jc w:val="center"/>
              <w:rPr>
                <w:b/>
                <w:sz w:val="24"/>
              </w:rPr>
            </w:pPr>
            <w:r>
              <w:rPr>
                <w:b/>
                <w:sz w:val="24"/>
              </w:rPr>
              <w:t>Horario</w:t>
            </w:r>
          </w:p>
        </w:tc>
        <w:tc>
          <w:tcPr>
            <w:tcW w:w="2799" w:type="dxa"/>
          </w:tcPr>
          <w:p>
            <w:pPr>
              <w:pStyle w:val="TableParagraph"/>
              <w:ind w:left="1024" w:right="1016"/>
              <w:jc w:val="center"/>
              <w:rPr>
                <w:b/>
                <w:sz w:val="24"/>
              </w:rPr>
            </w:pPr>
            <w:r>
              <w:rPr>
                <w:b/>
                <w:sz w:val="24"/>
              </w:rPr>
              <w:t>Pesos</w:t>
            </w:r>
          </w:p>
        </w:tc>
      </w:tr>
      <w:tr>
        <w:trPr>
          <w:trHeight w:val="414" w:hRule="atLeast"/>
        </w:trPr>
        <w:tc>
          <w:tcPr>
            <w:tcW w:w="6952" w:type="dxa"/>
          </w:tcPr>
          <w:p>
            <w:pPr>
              <w:pStyle w:val="TableParagraph"/>
              <w:ind w:left="72"/>
              <w:rPr>
                <w:sz w:val="24"/>
              </w:rPr>
            </w:pPr>
            <w:r>
              <w:rPr>
                <w:sz w:val="24"/>
              </w:rPr>
              <w:t>Hora Extraordinaria De Operación Sin Venta De Alcohol</w:t>
            </w:r>
          </w:p>
        </w:tc>
        <w:tc>
          <w:tcPr>
            <w:tcW w:w="2799" w:type="dxa"/>
          </w:tcPr>
          <w:p>
            <w:pPr>
              <w:pStyle w:val="TableParagraph"/>
              <w:ind w:right="-15"/>
              <w:jc w:val="right"/>
              <w:rPr>
                <w:sz w:val="24"/>
              </w:rPr>
            </w:pPr>
            <w:r>
              <w:rPr>
                <w:sz w:val="24"/>
              </w:rPr>
              <w:t>20.00</w:t>
            </w:r>
          </w:p>
        </w:tc>
      </w:tr>
      <w:tr>
        <w:trPr>
          <w:trHeight w:val="412" w:hRule="atLeast"/>
        </w:trPr>
        <w:tc>
          <w:tcPr>
            <w:tcW w:w="6952" w:type="dxa"/>
          </w:tcPr>
          <w:p>
            <w:pPr>
              <w:pStyle w:val="TableParagraph"/>
              <w:ind w:left="72"/>
              <w:rPr>
                <w:sz w:val="24"/>
              </w:rPr>
            </w:pPr>
            <w:r>
              <w:rPr>
                <w:sz w:val="24"/>
              </w:rPr>
              <w:t>20:00 A 24:00 Horas Con Venta De Alcohol</w:t>
            </w:r>
          </w:p>
        </w:tc>
        <w:tc>
          <w:tcPr>
            <w:tcW w:w="2799" w:type="dxa"/>
          </w:tcPr>
          <w:p>
            <w:pPr>
              <w:pStyle w:val="TableParagraph"/>
              <w:ind w:right="-15"/>
              <w:jc w:val="right"/>
              <w:rPr>
                <w:sz w:val="24"/>
              </w:rPr>
            </w:pPr>
            <w:r>
              <w:rPr>
                <w:sz w:val="24"/>
              </w:rPr>
              <w:t>30.00</w:t>
            </w:r>
          </w:p>
        </w:tc>
      </w:tr>
      <w:tr>
        <w:trPr>
          <w:trHeight w:val="414" w:hRule="atLeast"/>
        </w:trPr>
        <w:tc>
          <w:tcPr>
            <w:tcW w:w="6952" w:type="dxa"/>
          </w:tcPr>
          <w:p>
            <w:pPr>
              <w:pStyle w:val="TableParagraph"/>
              <w:spacing w:before="2"/>
              <w:ind w:left="72"/>
              <w:rPr>
                <w:sz w:val="24"/>
              </w:rPr>
            </w:pPr>
            <w:r>
              <w:rPr>
                <w:sz w:val="24"/>
              </w:rPr>
              <w:t>24:01 A 03:00 Horas Con Venta De Alcohol</w:t>
            </w:r>
          </w:p>
        </w:tc>
        <w:tc>
          <w:tcPr>
            <w:tcW w:w="2799" w:type="dxa"/>
          </w:tcPr>
          <w:p>
            <w:pPr>
              <w:pStyle w:val="TableParagraph"/>
              <w:spacing w:before="2"/>
              <w:ind w:right="-15"/>
              <w:jc w:val="right"/>
              <w:rPr>
                <w:sz w:val="24"/>
              </w:rPr>
            </w:pPr>
            <w:r>
              <w:rPr>
                <w:sz w:val="24"/>
              </w:rPr>
              <w:t>65.00</w:t>
            </w:r>
          </w:p>
        </w:tc>
      </w:tr>
      <w:tr>
        <w:trPr>
          <w:trHeight w:val="414" w:hRule="atLeast"/>
        </w:trPr>
        <w:tc>
          <w:tcPr>
            <w:tcW w:w="6952" w:type="dxa"/>
          </w:tcPr>
          <w:p>
            <w:pPr>
              <w:pStyle w:val="TableParagraph"/>
              <w:ind w:left="72"/>
              <w:rPr>
                <w:sz w:val="24"/>
              </w:rPr>
            </w:pPr>
            <w:r>
              <w:rPr>
                <w:sz w:val="24"/>
              </w:rPr>
              <w:t>03:01 En Adelante Con Venta De Alcohol</w:t>
            </w:r>
          </w:p>
        </w:tc>
        <w:tc>
          <w:tcPr>
            <w:tcW w:w="2799" w:type="dxa"/>
          </w:tcPr>
          <w:p>
            <w:pPr>
              <w:pStyle w:val="TableParagraph"/>
              <w:ind w:right="-15"/>
              <w:jc w:val="right"/>
              <w:rPr>
                <w:sz w:val="24"/>
              </w:rPr>
            </w:pPr>
            <w:r>
              <w:rPr>
                <w:sz w:val="24"/>
              </w:rPr>
              <w:t>120.00</w:t>
            </w:r>
          </w:p>
        </w:tc>
      </w:tr>
    </w:tbl>
    <w:sectPr>
      <w:pgSz w:w="12250" w:h="15850"/>
      <w:pgMar w:header="730" w:footer="0" w:top="1000" w:bottom="280" w:left="86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50240" from="63.023998pt,49.859997pt" to="549.093998pt,49.859997pt" stroked="true" strokeweight=".84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60.023998pt;margin-top:35.507652pt;width:115.85pt;height:16.5pt;mso-position-horizontal-relative:page;mso-position-vertical-relative:page;z-index:-275849216" type="#_x0000_t202" filled="false" stroked="false">
          <v:textbox inset="0,0,0,0">
            <w:txbxContent>
              <w:p>
                <w:pPr>
                  <w:spacing w:before="10"/>
                  <w:ind w:left="60" w:right="0" w:firstLine="0"/>
                  <w:jc w:val="left"/>
                  <w:rPr>
                    <w:sz w:val="26"/>
                  </w:rPr>
                </w:pPr>
                <w:r>
                  <w:rPr/>
                  <w:fldChar w:fldCharType="begin"/>
                </w:r>
                <w:r>
                  <w:rPr>
                    <w:sz w:val="26"/>
                  </w:rPr>
                  <w:instrText> PAGE </w:instrText>
                </w:r>
                <w:r>
                  <w:rPr/>
                  <w:fldChar w:fldCharType="separate"/>
                </w:r>
                <w:r>
                  <w:rPr/>
                  <w:t>10</w:t>
                </w:r>
                <w:r>
                  <w:rPr/>
                  <w:fldChar w:fldCharType="end"/>
                </w:r>
                <w:r>
                  <w:rPr>
                    <w:sz w:val="26"/>
                  </w:rPr>
                  <w:t> Periódico Oficial</w:t>
                </w:r>
              </w:p>
            </w:txbxContent>
          </v:textbox>
          <w10:wrap type="none"/>
        </v:shape>
      </w:pict>
    </w:r>
    <w:r>
      <w:rPr/>
      <w:pict>
        <v:shape style="position:absolute;margin-left:354.269989pt;margin-top:35.507652pt;width:195.85pt;height:16.5pt;mso-position-horizontal-relative:page;mso-position-vertical-relative:page;z-index:-275848192"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21568" from="63.023998pt,49.859997pt" to="549.093998pt,49.859997pt" stroked="true" strokeweight=".84pt" strokecolor="#000000">
          <v:stroke dashstyle="solid"/>
          <w10:wrap type="none"/>
        </v:line>
      </w:pict>
    </w:r>
    <w:r>
      <w:rPr/>
      <w:pict>
        <v:shape style="position:absolute;margin-left:60.023998pt;margin-top:35.507652pt;width:123.15pt;height:16.5pt;mso-position-horizontal-relative:page;mso-position-vertical-relative:page;z-index:-275820544" type="#_x0000_t202" filled="false" stroked="false">
          <v:textbox inset="0,0,0,0">
            <w:txbxContent>
              <w:p>
                <w:pPr>
                  <w:spacing w:before="10"/>
                  <w:ind w:left="60" w:right="0" w:firstLine="0"/>
                  <w:jc w:val="left"/>
                  <w:rPr>
                    <w:sz w:val="26"/>
                  </w:rPr>
                </w:pPr>
                <w:r>
                  <w:rPr/>
                  <w:fldChar w:fldCharType="begin"/>
                </w:r>
                <w:r>
                  <w:rPr>
                    <w:sz w:val="26"/>
                  </w:rPr>
                  <w:instrText> PAGE </w:instrText>
                </w:r>
                <w:r>
                  <w:rPr/>
                  <w:fldChar w:fldCharType="separate"/>
                </w:r>
                <w:r>
                  <w:rPr/>
                  <w:t>114</w:t>
                </w:r>
                <w:r>
                  <w:rPr/>
                  <w:fldChar w:fldCharType="end"/>
                </w:r>
                <w:r>
                  <w:rPr>
                    <w:sz w:val="26"/>
                  </w:rPr>
                  <w:t> Periódico Oficial</w:t>
                </w:r>
              </w:p>
            </w:txbxContent>
          </v:textbox>
          <w10:wrap type="none"/>
        </v:shape>
      </w:pict>
    </w:r>
    <w:r>
      <w:rPr/>
      <w:pict>
        <v:shape style="position:absolute;margin-left:354.269989pt;margin-top:35.507652pt;width:195.85pt;height:16.5pt;mso-position-horizontal-relative:page;mso-position-vertical-relative:page;z-index:-275819520"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47168" from="63.023998pt,49.919994pt" to="549.093998pt,49.919994pt" stroked="true" strokeweight=".96pt" strokecolor="#000000">
          <v:stroke dashstyle="solid"/>
          <w10:wrap type="none"/>
        </v:line>
      </w:pict>
    </w:r>
    <w:r>
      <w:rPr/>
      <w:pict>
        <v:shape style="position:absolute;margin-left:62.023998pt;margin-top:35.507652pt;width:195.65pt;height:16.5pt;mso-position-horizontal-relative:page;mso-position-vertical-relative:page;z-index:-275846144"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r>
      <w:rPr/>
      <w:pict>
        <v:shape style="position:absolute;margin-left:428.910004pt;margin-top:35.507652pt;width:123.2pt;height:16.5pt;mso-position-horizontal-relative:page;mso-position-vertical-relative:page;z-index:-275845120" type="#_x0000_t202" filled="false" stroked="false">
          <v:textbox inset="0,0,0,0">
            <w:txbxContent>
              <w:p>
                <w:pPr>
                  <w:spacing w:before="10"/>
                  <w:ind w:left="20" w:right="0" w:firstLine="0"/>
                  <w:jc w:val="left"/>
                  <w:rPr>
                    <w:sz w:val="26"/>
                  </w:rPr>
                </w:pPr>
                <w:r>
                  <w:rPr>
                    <w:sz w:val="26"/>
                  </w:rPr>
                  <w:t>Periódico Oficial </w:t>
                </w:r>
                <w:r>
                  <w:rPr/>
                  <w:fldChar w:fldCharType="begin"/>
                </w:r>
                <w:r>
                  <w:rPr>
                    <w:sz w:val="26"/>
                  </w:rPr>
                  <w:instrText> PAGE </w:instrText>
                </w:r>
                <w:r>
                  <w:rPr/>
                  <w:fldChar w:fldCharType="separate"/>
                </w:r>
                <w:r>
                  <w:rPr/>
                  <w:t>101</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44096" from="63.023998pt,49.859997pt" to="549.093998pt,49.859997pt" stroked="true" strokeweight=".84pt" strokecolor="#000000">
          <v:stroke dashstyle="solid"/>
          <w10:wrap type="none"/>
        </v:line>
      </w:pict>
    </w:r>
    <w:r>
      <w:rPr/>
      <w:pict>
        <v:shape style="position:absolute;margin-left:60.023998pt;margin-top:35.507652pt;width:115.85pt;height:16.5pt;mso-position-horizontal-relative:page;mso-position-vertical-relative:page;z-index:-275843072" type="#_x0000_t202" filled="false" stroked="false">
          <v:textbox inset="0,0,0,0">
            <w:txbxContent>
              <w:p>
                <w:pPr>
                  <w:spacing w:before="10"/>
                  <w:ind w:left="60" w:right="0" w:firstLine="0"/>
                  <w:jc w:val="left"/>
                  <w:rPr>
                    <w:sz w:val="26"/>
                  </w:rPr>
                </w:pPr>
                <w:r>
                  <w:rPr/>
                  <w:fldChar w:fldCharType="begin"/>
                </w:r>
                <w:r>
                  <w:rPr>
                    <w:sz w:val="26"/>
                  </w:rPr>
                  <w:instrText> PAGE </w:instrText>
                </w:r>
                <w:r>
                  <w:rPr/>
                  <w:fldChar w:fldCharType="separate"/>
                </w:r>
                <w:r>
                  <w:rPr/>
                  <w:t>16</w:t>
                </w:r>
                <w:r>
                  <w:rPr/>
                  <w:fldChar w:fldCharType="end"/>
                </w:r>
                <w:r>
                  <w:rPr>
                    <w:sz w:val="26"/>
                  </w:rPr>
                  <w:t> Periódico Oficial</w:t>
                </w:r>
              </w:p>
            </w:txbxContent>
          </v:textbox>
          <w10:wrap type="none"/>
        </v:shape>
      </w:pict>
    </w:r>
    <w:r>
      <w:rPr/>
      <w:pict>
        <v:shape style="position:absolute;margin-left:354.269989pt;margin-top:35.507652pt;width:195.85pt;height:39.450pt;mso-position-horizontal-relative:page;mso-position-vertical-relative:page;z-index:-275842048" type="#_x0000_t202" filled="false" stroked="false">
          <v:textbox inset="0,0,0,0">
            <w:txbxContent>
              <w:p>
                <w:pPr>
                  <w:spacing w:before="10"/>
                  <w:ind w:left="0" w:right="18" w:firstLine="0"/>
                  <w:jc w:val="right"/>
                  <w:rPr>
                    <w:sz w:val="26"/>
                  </w:rPr>
                </w:pPr>
                <w:r>
                  <w:rPr>
                    <w:sz w:val="26"/>
                  </w:rPr>
                  <w:t>Sábado 21 de Diciembre de 2019</w:t>
                </w:r>
              </w:p>
              <w:p>
                <w:pPr>
                  <w:spacing w:before="183"/>
                  <w:ind w:left="0" w:right="64" w:firstLine="0"/>
                  <w:jc w:val="right"/>
                  <w:rPr>
                    <w:b/>
                    <w:sz w:val="24"/>
                  </w:rPr>
                </w:pPr>
                <w:r>
                  <w:rPr>
                    <w:b/>
                    <w:w w:val="95"/>
                    <w:sz w:val="24"/>
                  </w:rPr>
                  <w:t>Precio</w:t>
                </w:r>
              </w:p>
            </w:txbxContent>
          </v:textbox>
          <w10:wrap type="none"/>
        </v:shape>
      </w:pict>
    </w:r>
    <w:r>
      <w:rPr/>
      <w:pict>
        <v:shape style="position:absolute;margin-left:225.970001pt;margin-top:59.536713pt;width:57.35pt;height:15.45pt;mso-position-horizontal-relative:page;mso-position-vertical-relative:page;z-index:-275841024" type="#_x0000_t202" filled="false" stroked="false">
          <v:textbox inset="0,0,0,0">
            <w:txbxContent>
              <w:p>
                <w:pPr>
                  <w:spacing w:before="12"/>
                  <w:ind w:left="20" w:right="0" w:firstLine="0"/>
                  <w:jc w:val="left"/>
                  <w:rPr>
                    <w:b/>
                    <w:sz w:val="24"/>
                  </w:rPr>
                </w:pPr>
                <w:r>
                  <w:rPr>
                    <w:b/>
                    <w:sz w:val="24"/>
                  </w:rPr>
                  <w:t>Concepto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40000" from="63.023998pt,50.039993pt" to="549.213998pt,50.039993pt" stroked="true" strokeweight=".96pt" strokecolor="#000000">
          <v:stroke dashstyle="solid"/>
          <w10:wrap type="none"/>
        </v:line>
      </w:pict>
    </w:r>
    <w:r>
      <w:rPr/>
      <w:pict>
        <v:shape style="position:absolute;margin-left:62.023998pt;margin-top:35.507652pt;width:195.65pt;height:16.5pt;mso-position-horizontal-relative:page;mso-position-vertical-relative:page;z-index:-275838976"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r>
      <w:rPr/>
      <w:pict>
        <v:shape style="position:absolute;margin-left:436.109985pt;margin-top:35.507652pt;width:116pt;height:16.5pt;mso-position-horizontal-relative:page;mso-position-vertical-relative:page;z-index:-275837952" type="#_x0000_t202" filled="false" stroked="false">
          <v:textbox inset="0,0,0,0">
            <w:txbxContent>
              <w:p>
                <w:pPr>
                  <w:spacing w:before="10"/>
                  <w:ind w:left="20" w:right="0" w:firstLine="0"/>
                  <w:jc w:val="left"/>
                  <w:rPr>
                    <w:sz w:val="26"/>
                  </w:rPr>
                </w:pPr>
                <w:r>
                  <w:rPr>
                    <w:sz w:val="26"/>
                  </w:rPr>
                  <w:t>Periódico Oficial </w:t>
                </w:r>
                <w:r>
                  <w:rPr/>
                  <w:fldChar w:fldCharType="begin"/>
                </w:r>
                <w:r>
                  <w:rPr>
                    <w:sz w:val="26"/>
                  </w:rPr>
                  <w:instrText> PAGE </w:instrText>
                </w:r>
                <w:r>
                  <w:rPr/>
                  <w:fldChar w:fldCharType="separate"/>
                </w:r>
                <w:r>
                  <w:rPr/>
                  <w:t>17</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36928" from="63.023998pt,49.859997pt" to="549.093998pt,49.859997pt" stroked="true" strokeweight=".84pt" strokecolor="#000000">
          <v:stroke dashstyle="solid"/>
          <w10:wrap type="none"/>
        </v:line>
      </w:pict>
    </w:r>
    <w:r>
      <w:rPr/>
      <w:pict>
        <v:shape style="position:absolute;margin-left:60.023998pt;margin-top:35.507652pt;width:123.15pt;height:16.5pt;mso-position-horizontal-relative:page;mso-position-vertical-relative:page;z-index:-275835904" type="#_x0000_t202" filled="false" stroked="false">
          <v:textbox inset="0,0,0,0">
            <w:txbxContent>
              <w:p>
                <w:pPr>
                  <w:spacing w:before="10"/>
                  <w:ind w:left="60" w:right="0" w:firstLine="0"/>
                  <w:jc w:val="left"/>
                  <w:rPr>
                    <w:sz w:val="26"/>
                  </w:rPr>
                </w:pPr>
                <w:r>
                  <w:rPr/>
                  <w:fldChar w:fldCharType="begin"/>
                </w:r>
                <w:r>
                  <w:rPr>
                    <w:sz w:val="26"/>
                  </w:rPr>
                  <w:instrText> PAGE </w:instrText>
                </w:r>
                <w:r>
                  <w:rPr/>
                  <w:fldChar w:fldCharType="separate"/>
                </w:r>
                <w:r>
                  <w:rPr/>
                  <w:t>100</w:t>
                </w:r>
                <w:r>
                  <w:rPr/>
                  <w:fldChar w:fldCharType="end"/>
                </w:r>
                <w:r>
                  <w:rPr>
                    <w:sz w:val="26"/>
                  </w:rPr>
                  <w:t> Periódico Oficial</w:t>
                </w:r>
              </w:p>
            </w:txbxContent>
          </v:textbox>
          <w10:wrap type="none"/>
        </v:shape>
      </w:pict>
    </w:r>
    <w:r>
      <w:rPr/>
      <w:pict>
        <v:shape style="position:absolute;margin-left:354.269989pt;margin-top:35.507652pt;width:195.85pt;height:16.5pt;mso-position-horizontal-relative:page;mso-position-vertical-relative:page;z-index:-275834880"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33856" from="63.023998pt,50.039993pt" to="549.213998pt,50.039993pt" stroked="true" strokeweight=".96pt" strokecolor="#000000">
          <v:stroke dashstyle="solid"/>
          <w10:wrap type="none"/>
        </v:line>
      </w:pict>
    </w:r>
    <w:r>
      <w:rPr/>
      <w:pict>
        <v:shape style="position:absolute;margin-left:62.023998pt;margin-top:35.507652pt;width:195.65pt;height:16.5pt;mso-position-horizontal-relative:page;mso-position-vertical-relative:page;z-index:-275832832"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r>
      <w:rPr/>
      <w:pict>
        <v:shape style="position:absolute;margin-left:436.109985pt;margin-top:35.507652pt;width:116pt;height:16.5pt;mso-position-horizontal-relative:page;mso-position-vertical-relative:page;z-index:-275831808" type="#_x0000_t202" filled="false" stroked="false">
          <v:textbox inset="0,0,0,0">
            <w:txbxContent>
              <w:p>
                <w:pPr>
                  <w:spacing w:before="10"/>
                  <w:ind w:left="20" w:right="0" w:firstLine="0"/>
                  <w:jc w:val="left"/>
                  <w:rPr>
                    <w:sz w:val="26"/>
                  </w:rPr>
                </w:pPr>
                <w:r>
                  <w:rPr>
                    <w:sz w:val="26"/>
                  </w:rPr>
                  <w:t>Periódico Oficial </w:t>
                </w:r>
                <w:r>
                  <w:rPr/>
                  <w:fldChar w:fldCharType="begin"/>
                </w:r>
                <w:r>
                  <w:rPr>
                    <w:sz w:val="26"/>
                  </w:rPr>
                  <w:instrText> PAGE </w:instrText>
                </w:r>
                <w:r>
                  <w:rPr/>
                  <w:fldChar w:fldCharType="separate"/>
                </w:r>
                <w:r>
                  <w:rPr/>
                  <w:t>21</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30784" from="63.023998pt,50.039993pt" to="549.213998pt,50.039993pt" stroked="true" strokeweight=".96pt" strokecolor="#000000">
          <v:stroke dashstyle="solid"/>
          <w10:wrap type="none"/>
        </v:line>
      </w:pict>
    </w:r>
    <w:r>
      <w:rPr/>
      <w:pict>
        <v:shape style="position:absolute;margin-left:62.023998pt;margin-top:35.507652pt;width:195.65pt;height:16.5pt;mso-position-horizontal-relative:page;mso-position-vertical-relative:page;z-index:-275829760"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r>
      <w:rPr/>
      <w:pict>
        <v:shape style="position:absolute;margin-left:428.910004pt;margin-top:35.507652pt;width:121.2pt;height:16.5pt;mso-position-horizontal-relative:page;mso-position-vertical-relative:page;z-index:-275828736" type="#_x0000_t202" filled="false" stroked="false">
          <v:textbox inset="0,0,0,0">
            <w:txbxContent>
              <w:p>
                <w:pPr>
                  <w:spacing w:before="10"/>
                  <w:ind w:left="20" w:right="0" w:firstLine="0"/>
                  <w:jc w:val="left"/>
                  <w:rPr>
                    <w:sz w:val="26"/>
                  </w:rPr>
                </w:pPr>
                <w:r>
                  <w:rPr>
                    <w:sz w:val="26"/>
                  </w:rPr>
                  <w:t>Periódico Oficial 111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27712" from="63.023998pt,49.859997pt" to="549.093998pt,49.859997pt" stroked="true" strokeweight=".84pt" strokecolor="#000000">
          <v:stroke dashstyle="solid"/>
          <w10:wrap type="none"/>
        </v:line>
      </w:pict>
    </w:r>
    <w:r>
      <w:rPr/>
      <w:pict>
        <v:shape style="position:absolute;margin-left:60.023998pt;margin-top:35.507652pt;width:123.15pt;height:16.5pt;mso-position-horizontal-relative:page;mso-position-vertical-relative:page;z-index:-275826688" type="#_x0000_t202" filled="false" stroked="false">
          <v:textbox inset="0,0,0,0">
            <w:txbxContent>
              <w:p>
                <w:pPr>
                  <w:spacing w:before="10"/>
                  <w:ind w:left="60" w:right="0" w:firstLine="0"/>
                  <w:jc w:val="left"/>
                  <w:rPr>
                    <w:sz w:val="26"/>
                  </w:rPr>
                </w:pPr>
                <w:r>
                  <w:rPr>
                    <w:sz w:val="26"/>
                  </w:rPr>
                  <w:t>112</w:t>
                </w:r>
                <w:r>
                  <w:rPr>
                    <w:sz w:val="26"/>
                  </w:rPr>
                  <w:t> Periódico Oficial</w:t>
                </w:r>
              </w:p>
            </w:txbxContent>
          </v:textbox>
          <w10:wrap type="none"/>
        </v:shape>
      </w:pict>
    </w:r>
    <w:r>
      <w:rPr/>
      <w:pict>
        <v:shape style="position:absolute;margin-left:354.269989pt;margin-top:35.507652pt;width:195.85pt;height:16.5pt;mso-position-horizontal-relative:page;mso-position-vertical-relative:page;z-index:-275825664"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5824640" from="63.023998pt,50.039993pt" to="549.213998pt,50.039993pt" stroked="true" strokeweight=".96pt" strokecolor="#000000">
          <v:stroke dashstyle="solid"/>
          <w10:wrap type="none"/>
        </v:line>
      </w:pict>
    </w:r>
    <w:r>
      <w:rPr/>
      <w:pict>
        <v:shape style="position:absolute;margin-left:62.023998pt;margin-top:35.507652pt;width:195.65pt;height:16.5pt;mso-position-horizontal-relative:page;mso-position-vertical-relative:page;z-index:-275823616" type="#_x0000_t202" filled="false" stroked="false">
          <v:textbox inset="0,0,0,0">
            <w:txbxContent>
              <w:p>
                <w:pPr>
                  <w:spacing w:before="10"/>
                  <w:ind w:left="20" w:right="0" w:firstLine="0"/>
                  <w:jc w:val="left"/>
                  <w:rPr>
                    <w:sz w:val="26"/>
                  </w:rPr>
                </w:pPr>
                <w:r>
                  <w:rPr>
                    <w:sz w:val="26"/>
                  </w:rPr>
                  <w:t>Sábado 21 de Diciembre de 2019</w:t>
                </w:r>
              </w:p>
            </w:txbxContent>
          </v:textbox>
          <w10:wrap type="none"/>
        </v:shape>
      </w:pict>
    </w:r>
    <w:r>
      <w:rPr/>
      <w:pict>
        <v:shape style="position:absolute;margin-left:428.910004pt;margin-top:35.507652pt;width:123.2pt;height:16.5pt;mso-position-horizontal-relative:page;mso-position-vertical-relative:page;z-index:-275822592" type="#_x0000_t202" filled="false" stroked="false">
          <v:textbox inset="0,0,0,0">
            <w:txbxContent>
              <w:p>
                <w:pPr>
                  <w:spacing w:before="10"/>
                  <w:ind w:left="20" w:right="0" w:firstLine="0"/>
                  <w:jc w:val="left"/>
                  <w:rPr>
                    <w:sz w:val="26"/>
                  </w:rPr>
                </w:pPr>
                <w:r>
                  <w:rPr>
                    <w:sz w:val="26"/>
                  </w:rPr>
                  <w:t>Periódico Oficial </w:t>
                </w:r>
                <w:r>
                  <w:rPr/>
                  <w:fldChar w:fldCharType="begin"/>
                </w:r>
                <w:r>
                  <w:rPr>
                    <w:sz w:val="26"/>
                  </w:rPr>
                  <w:instrText> PAGE </w:instrText>
                </w:r>
                <w:r>
                  <w:rPr/>
                  <w:fldChar w:fldCharType="separate"/>
                </w:r>
                <w:r>
                  <w:rPr/>
                  <w:t>113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8">
    <w:multiLevelType w:val="hybridMultilevel"/>
    <w:lvl w:ilvl="0">
      <w:start w:val="1"/>
      <w:numFmt w:val="upperRoman"/>
      <w:lvlText w:val="%1."/>
      <w:lvlJc w:val="left"/>
      <w:pPr>
        <w:ind w:left="1535" w:hanging="850"/>
        <w:jc w:val="left"/>
      </w:pPr>
      <w:rPr>
        <w:rFonts w:hint="default" w:ascii="Arial" w:hAnsi="Arial" w:eastAsia="Arial" w:cs="Arial"/>
        <w:b/>
        <w:bCs/>
        <w:spacing w:val="0"/>
        <w:w w:val="100"/>
        <w:sz w:val="24"/>
        <w:szCs w:val="24"/>
        <w:lang w:val="es-mx" w:eastAsia="es-mx" w:bidi="es-mx"/>
      </w:rPr>
    </w:lvl>
    <w:lvl w:ilvl="1">
      <w:start w:val="0"/>
      <w:numFmt w:val="bullet"/>
      <w:lvlText w:val="•"/>
      <w:lvlJc w:val="left"/>
      <w:pPr>
        <w:ind w:left="2442" w:hanging="850"/>
      </w:pPr>
      <w:rPr>
        <w:rFonts w:hint="default"/>
        <w:lang w:val="es-mx" w:eastAsia="es-mx" w:bidi="es-mx"/>
      </w:rPr>
    </w:lvl>
    <w:lvl w:ilvl="2">
      <w:start w:val="0"/>
      <w:numFmt w:val="bullet"/>
      <w:lvlText w:val="•"/>
      <w:lvlJc w:val="left"/>
      <w:pPr>
        <w:ind w:left="3344" w:hanging="850"/>
      </w:pPr>
      <w:rPr>
        <w:rFonts w:hint="default"/>
        <w:lang w:val="es-mx" w:eastAsia="es-mx" w:bidi="es-mx"/>
      </w:rPr>
    </w:lvl>
    <w:lvl w:ilvl="3">
      <w:start w:val="0"/>
      <w:numFmt w:val="bullet"/>
      <w:lvlText w:val="•"/>
      <w:lvlJc w:val="left"/>
      <w:pPr>
        <w:ind w:left="4246" w:hanging="850"/>
      </w:pPr>
      <w:rPr>
        <w:rFonts w:hint="default"/>
        <w:lang w:val="es-mx" w:eastAsia="es-mx" w:bidi="es-mx"/>
      </w:rPr>
    </w:lvl>
    <w:lvl w:ilvl="4">
      <w:start w:val="0"/>
      <w:numFmt w:val="bullet"/>
      <w:lvlText w:val="•"/>
      <w:lvlJc w:val="left"/>
      <w:pPr>
        <w:ind w:left="5148" w:hanging="850"/>
      </w:pPr>
      <w:rPr>
        <w:rFonts w:hint="default"/>
        <w:lang w:val="es-mx" w:eastAsia="es-mx" w:bidi="es-mx"/>
      </w:rPr>
    </w:lvl>
    <w:lvl w:ilvl="5">
      <w:start w:val="0"/>
      <w:numFmt w:val="bullet"/>
      <w:lvlText w:val="•"/>
      <w:lvlJc w:val="left"/>
      <w:pPr>
        <w:ind w:left="6051" w:hanging="850"/>
      </w:pPr>
      <w:rPr>
        <w:rFonts w:hint="default"/>
        <w:lang w:val="es-mx" w:eastAsia="es-mx" w:bidi="es-mx"/>
      </w:rPr>
    </w:lvl>
    <w:lvl w:ilvl="6">
      <w:start w:val="0"/>
      <w:numFmt w:val="bullet"/>
      <w:lvlText w:val="•"/>
      <w:lvlJc w:val="left"/>
      <w:pPr>
        <w:ind w:left="6953" w:hanging="850"/>
      </w:pPr>
      <w:rPr>
        <w:rFonts w:hint="default"/>
        <w:lang w:val="es-mx" w:eastAsia="es-mx" w:bidi="es-mx"/>
      </w:rPr>
    </w:lvl>
    <w:lvl w:ilvl="7">
      <w:start w:val="0"/>
      <w:numFmt w:val="bullet"/>
      <w:lvlText w:val="•"/>
      <w:lvlJc w:val="left"/>
      <w:pPr>
        <w:ind w:left="7855" w:hanging="850"/>
      </w:pPr>
      <w:rPr>
        <w:rFonts w:hint="default"/>
        <w:lang w:val="es-mx" w:eastAsia="es-mx" w:bidi="es-mx"/>
      </w:rPr>
    </w:lvl>
    <w:lvl w:ilvl="8">
      <w:start w:val="0"/>
      <w:numFmt w:val="bullet"/>
      <w:lvlText w:val="•"/>
      <w:lvlJc w:val="left"/>
      <w:pPr>
        <w:ind w:left="8757" w:hanging="850"/>
      </w:pPr>
      <w:rPr>
        <w:rFonts w:hint="default"/>
        <w:lang w:val="es-mx" w:eastAsia="es-mx" w:bidi="es-mx"/>
      </w:rPr>
    </w:lvl>
  </w:abstractNum>
  <w:abstractNum w:abstractNumId="67">
    <w:multiLevelType w:val="hybridMultilevel"/>
    <w:lvl w:ilvl="0">
      <w:start w:val="1"/>
      <w:numFmt w:val="upperRoman"/>
      <w:lvlText w:val="%1."/>
      <w:lvlJc w:val="left"/>
      <w:pPr>
        <w:ind w:left="1120" w:hanging="720"/>
        <w:jc w:val="left"/>
      </w:pPr>
      <w:rPr>
        <w:rFonts w:hint="default" w:ascii="Arial" w:hAnsi="Arial" w:eastAsia="Arial" w:cs="Arial"/>
        <w:b/>
        <w:bCs/>
        <w:w w:val="100"/>
        <w:sz w:val="24"/>
        <w:szCs w:val="24"/>
        <w:lang w:val="es-mx" w:eastAsia="es-mx" w:bidi="es-mx"/>
      </w:rPr>
    </w:lvl>
    <w:lvl w:ilvl="1">
      <w:start w:val="1"/>
      <w:numFmt w:val="upperRoman"/>
      <w:lvlText w:val="%2."/>
      <w:lvlJc w:val="left"/>
      <w:pPr>
        <w:ind w:left="1535" w:hanging="850"/>
        <w:jc w:val="left"/>
      </w:pPr>
      <w:rPr>
        <w:rFonts w:hint="default" w:ascii="Arial" w:hAnsi="Arial" w:eastAsia="Arial" w:cs="Arial"/>
        <w:spacing w:val="-31"/>
        <w:w w:val="100"/>
        <w:sz w:val="24"/>
        <w:szCs w:val="24"/>
        <w:lang w:val="es-mx" w:eastAsia="es-mx" w:bidi="es-mx"/>
      </w:rPr>
    </w:lvl>
    <w:lvl w:ilvl="2">
      <w:start w:val="0"/>
      <w:numFmt w:val="bullet"/>
      <w:lvlText w:val="•"/>
      <w:lvlJc w:val="left"/>
      <w:pPr>
        <w:ind w:left="2542" w:hanging="850"/>
      </w:pPr>
      <w:rPr>
        <w:rFonts w:hint="default"/>
        <w:lang w:val="es-mx" w:eastAsia="es-mx" w:bidi="es-mx"/>
      </w:rPr>
    </w:lvl>
    <w:lvl w:ilvl="3">
      <w:start w:val="0"/>
      <w:numFmt w:val="bullet"/>
      <w:lvlText w:val="•"/>
      <w:lvlJc w:val="left"/>
      <w:pPr>
        <w:ind w:left="3544" w:hanging="850"/>
      </w:pPr>
      <w:rPr>
        <w:rFonts w:hint="default"/>
        <w:lang w:val="es-mx" w:eastAsia="es-mx" w:bidi="es-mx"/>
      </w:rPr>
    </w:lvl>
    <w:lvl w:ilvl="4">
      <w:start w:val="0"/>
      <w:numFmt w:val="bullet"/>
      <w:lvlText w:val="•"/>
      <w:lvlJc w:val="left"/>
      <w:pPr>
        <w:ind w:left="4547" w:hanging="850"/>
      </w:pPr>
      <w:rPr>
        <w:rFonts w:hint="default"/>
        <w:lang w:val="es-mx" w:eastAsia="es-mx" w:bidi="es-mx"/>
      </w:rPr>
    </w:lvl>
    <w:lvl w:ilvl="5">
      <w:start w:val="0"/>
      <w:numFmt w:val="bullet"/>
      <w:lvlText w:val="•"/>
      <w:lvlJc w:val="left"/>
      <w:pPr>
        <w:ind w:left="5549" w:hanging="850"/>
      </w:pPr>
      <w:rPr>
        <w:rFonts w:hint="default"/>
        <w:lang w:val="es-mx" w:eastAsia="es-mx" w:bidi="es-mx"/>
      </w:rPr>
    </w:lvl>
    <w:lvl w:ilvl="6">
      <w:start w:val="0"/>
      <w:numFmt w:val="bullet"/>
      <w:lvlText w:val="•"/>
      <w:lvlJc w:val="left"/>
      <w:pPr>
        <w:ind w:left="6552" w:hanging="850"/>
      </w:pPr>
      <w:rPr>
        <w:rFonts w:hint="default"/>
        <w:lang w:val="es-mx" w:eastAsia="es-mx" w:bidi="es-mx"/>
      </w:rPr>
    </w:lvl>
    <w:lvl w:ilvl="7">
      <w:start w:val="0"/>
      <w:numFmt w:val="bullet"/>
      <w:lvlText w:val="•"/>
      <w:lvlJc w:val="left"/>
      <w:pPr>
        <w:ind w:left="7554" w:hanging="850"/>
      </w:pPr>
      <w:rPr>
        <w:rFonts w:hint="default"/>
        <w:lang w:val="es-mx" w:eastAsia="es-mx" w:bidi="es-mx"/>
      </w:rPr>
    </w:lvl>
    <w:lvl w:ilvl="8">
      <w:start w:val="0"/>
      <w:numFmt w:val="bullet"/>
      <w:lvlText w:val="•"/>
      <w:lvlJc w:val="left"/>
      <w:pPr>
        <w:ind w:left="8557" w:hanging="850"/>
      </w:pPr>
      <w:rPr>
        <w:rFonts w:hint="default"/>
        <w:lang w:val="es-mx" w:eastAsia="es-mx" w:bidi="es-mx"/>
      </w:rPr>
    </w:lvl>
  </w:abstractNum>
  <w:abstractNum w:abstractNumId="66">
    <w:multiLevelType w:val="hybridMultilevel"/>
    <w:lvl w:ilvl="0">
      <w:start w:val="1"/>
      <w:numFmt w:val="upperRoman"/>
      <w:lvlText w:val="%1."/>
      <w:lvlJc w:val="left"/>
      <w:pPr>
        <w:ind w:left="1252" w:hanging="852"/>
        <w:jc w:val="left"/>
      </w:pPr>
      <w:rPr>
        <w:rFonts w:hint="default" w:ascii="Arial" w:hAnsi="Arial" w:eastAsia="Arial" w:cs="Arial"/>
        <w:b/>
        <w:bCs/>
        <w:spacing w:val="-2"/>
        <w:w w:val="100"/>
        <w:sz w:val="24"/>
        <w:szCs w:val="24"/>
        <w:lang w:val="es-mx" w:eastAsia="es-mx" w:bidi="es-mx"/>
      </w:rPr>
    </w:lvl>
    <w:lvl w:ilvl="1">
      <w:start w:val="0"/>
      <w:numFmt w:val="bullet"/>
      <w:lvlText w:val="•"/>
      <w:lvlJc w:val="left"/>
      <w:pPr>
        <w:ind w:left="2190" w:hanging="852"/>
      </w:pPr>
      <w:rPr>
        <w:rFonts w:hint="default"/>
        <w:lang w:val="es-mx" w:eastAsia="es-mx" w:bidi="es-mx"/>
      </w:rPr>
    </w:lvl>
    <w:lvl w:ilvl="2">
      <w:start w:val="0"/>
      <w:numFmt w:val="bullet"/>
      <w:lvlText w:val="•"/>
      <w:lvlJc w:val="left"/>
      <w:pPr>
        <w:ind w:left="3120" w:hanging="852"/>
      </w:pPr>
      <w:rPr>
        <w:rFonts w:hint="default"/>
        <w:lang w:val="es-mx" w:eastAsia="es-mx" w:bidi="es-mx"/>
      </w:rPr>
    </w:lvl>
    <w:lvl w:ilvl="3">
      <w:start w:val="0"/>
      <w:numFmt w:val="bullet"/>
      <w:lvlText w:val="•"/>
      <w:lvlJc w:val="left"/>
      <w:pPr>
        <w:ind w:left="4050" w:hanging="852"/>
      </w:pPr>
      <w:rPr>
        <w:rFonts w:hint="default"/>
        <w:lang w:val="es-mx" w:eastAsia="es-mx" w:bidi="es-mx"/>
      </w:rPr>
    </w:lvl>
    <w:lvl w:ilvl="4">
      <w:start w:val="0"/>
      <w:numFmt w:val="bullet"/>
      <w:lvlText w:val="•"/>
      <w:lvlJc w:val="left"/>
      <w:pPr>
        <w:ind w:left="4980" w:hanging="852"/>
      </w:pPr>
      <w:rPr>
        <w:rFonts w:hint="default"/>
        <w:lang w:val="es-mx" w:eastAsia="es-mx" w:bidi="es-mx"/>
      </w:rPr>
    </w:lvl>
    <w:lvl w:ilvl="5">
      <w:start w:val="0"/>
      <w:numFmt w:val="bullet"/>
      <w:lvlText w:val="•"/>
      <w:lvlJc w:val="left"/>
      <w:pPr>
        <w:ind w:left="5911" w:hanging="852"/>
      </w:pPr>
      <w:rPr>
        <w:rFonts w:hint="default"/>
        <w:lang w:val="es-mx" w:eastAsia="es-mx" w:bidi="es-mx"/>
      </w:rPr>
    </w:lvl>
    <w:lvl w:ilvl="6">
      <w:start w:val="0"/>
      <w:numFmt w:val="bullet"/>
      <w:lvlText w:val="•"/>
      <w:lvlJc w:val="left"/>
      <w:pPr>
        <w:ind w:left="6841" w:hanging="852"/>
      </w:pPr>
      <w:rPr>
        <w:rFonts w:hint="default"/>
        <w:lang w:val="es-mx" w:eastAsia="es-mx" w:bidi="es-mx"/>
      </w:rPr>
    </w:lvl>
    <w:lvl w:ilvl="7">
      <w:start w:val="0"/>
      <w:numFmt w:val="bullet"/>
      <w:lvlText w:val="•"/>
      <w:lvlJc w:val="left"/>
      <w:pPr>
        <w:ind w:left="7771" w:hanging="852"/>
      </w:pPr>
      <w:rPr>
        <w:rFonts w:hint="default"/>
        <w:lang w:val="es-mx" w:eastAsia="es-mx" w:bidi="es-mx"/>
      </w:rPr>
    </w:lvl>
    <w:lvl w:ilvl="8">
      <w:start w:val="0"/>
      <w:numFmt w:val="bullet"/>
      <w:lvlText w:val="•"/>
      <w:lvlJc w:val="left"/>
      <w:pPr>
        <w:ind w:left="8701" w:hanging="852"/>
      </w:pPr>
      <w:rPr>
        <w:rFonts w:hint="default"/>
        <w:lang w:val="es-mx" w:eastAsia="es-mx" w:bidi="es-mx"/>
      </w:rPr>
    </w:lvl>
  </w:abstractNum>
  <w:abstractNum w:abstractNumId="65">
    <w:multiLevelType w:val="hybridMultilevel"/>
    <w:lvl w:ilvl="0">
      <w:start w:val="1"/>
      <w:numFmt w:val="upperRoman"/>
      <w:lvlText w:val="%1."/>
      <w:lvlJc w:val="left"/>
      <w:pPr>
        <w:ind w:left="1252" w:hanging="852"/>
        <w:jc w:val="left"/>
      </w:pPr>
      <w:rPr>
        <w:rFonts w:hint="default" w:ascii="Arial" w:hAnsi="Arial" w:eastAsia="Arial" w:cs="Arial"/>
        <w:b/>
        <w:bCs/>
        <w:spacing w:val="-5"/>
        <w:w w:val="100"/>
        <w:sz w:val="24"/>
        <w:szCs w:val="24"/>
        <w:lang w:val="es-mx" w:eastAsia="es-mx" w:bidi="es-mx"/>
      </w:rPr>
    </w:lvl>
    <w:lvl w:ilvl="1">
      <w:start w:val="0"/>
      <w:numFmt w:val="bullet"/>
      <w:lvlText w:val="•"/>
      <w:lvlJc w:val="left"/>
      <w:pPr>
        <w:ind w:left="2190" w:hanging="852"/>
      </w:pPr>
      <w:rPr>
        <w:rFonts w:hint="default"/>
        <w:lang w:val="es-mx" w:eastAsia="es-mx" w:bidi="es-mx"/>
      </w:rPr>
    </w:lvl>
    <w:lvl w:ilvl="2">
      <w:start w:val="0"/>
      <w:numFmt w:val="bullet"/>
      <w:lvlText w:val="•"/>
      <w:lvlJc w:val="left"/>
      <w:pPr>
        <w:ind w:left="3120" w:hanging="852"/>
      </w:pPr>
      <w:rPr>
        <w:rFonts w:hint="default"/>
        <w:lang w:val="es-mx" w:eastAsia="es-mx" w:bidi="es-mx"/>
      </w:rPr>
    </w:lvl>
    <w:lvl w:ilvl="3">
      <w:start w:val="0"/>
      <w:numFmt w:val="bullet"/>
      <w:lvlText w:val="•"/>
      <w:lvlJc w:val="left"/>
      <w:pPr>
        <w:ind w:left="4050" w:hanging="852"/>
      </w:pPr>
      <w:rPr>
        <w:rFonts w:hint="default"/>
        <w:lang w:val="es-mx" w:eastAsia="es-mx" w:bidi="es-mx"/>
      </w:rPr>
    </w:lvl>
    <w:lvl w:ilvl="4">
      <w:start w:val="0"/>
      <w:numFmt w:val="bullet"/>
      <w:lvlText w:val="•"/>
      <w:lvlJc w:val="left"/>
      <w:pPr>
        <w:ind w:left="4980" w:hanging="852"/>
      </w:pPr>
      <w:rPr>
        <w:rFonts w:hint="default"/>
        <w:lang w:val="es-mx" w:eastAsia="es-mx" w:bidi="es-mx"/>
      </w:rPr>
    </w:lvl>
    <w:lvl w:ilvl="5">
      <w:start w:val="0"/>
      <w:numFmt w:val="bullet"/>
      <w:lvlText w:val="•"/>
      <w:lvlJc w:val="left"/>
      <w:pPr>
        <w:ind w:left="5911" w:hanging="852"/>
      </w:pPr>
      <w:rPr>
        <w:rFonts w:hint="default"/>
        <w:lang w:val="es-mx" w:eastAsia="es-mx" w:bidi="es-mx"/>
      </w:rPr>
    </w:lvl>
    <w:lvl w:ilvl="6">
      <w:start w:val="0"/>
      <w:numFmt w:val="bullet"/>
      <w:lvlText w:val="•"/>
      <w:lvlJc w:val="left"/>
      <w:pPr>
        <w:ind w:left="6841" w:hanging="852"/>
      </w:pPr>
      <w:rPr>
        <w:rFonts w:hint="default"/>
        <w:lang w:val="es-mx" w:eastAsia="es-mx" w:bidi="es-mx"/>
      </w:rPr>
    </w:lvl>
    <w:lvl w:ilvl="7">
      <w:start w:val="0"/>
      <w:numFmt w:val="bullet"/>
      <w:lvlText w:val="•"/>
      <w:lvlJc w:val="left"/>
      <w:pPr>
        <w:ind w:left="7771" w:hanging="852"/>
      </w:pPr>
      <w:rPr>
        <w:rFonts w:hint="default"/>
        <w:lang w:val="es-mx" w:eastAsia="es-mx" w:bidi="es-mx"/>
      </w:rPr>
    </w:lvl>
    <w:lvl w:ilvl="8">
      <w:start w:val="0"/>
      <w:numFmt w:val="bullet"/>
      <w:lvlText w:val="•"/>
      <w:lvlJc w:val="left"/>
      <w:pPr>
        <w:ind w:left="8701" w:hanging="852"/>
      </w:pPr>
      <w:rPr>
        <w:rFonts w:hint="default"/>
        <w:lang w:val="es-mx" w:eastAsia="es-mx" w:bidi="es-mx"/>
      </w:rPr>
    </w:lvl>
  </w:abstractNum>
  <w:abstractNum w:abstractNumId="64">
    <w:multiLevelType w:val="hybridMultilevel"/>
    <w:lvl w:ilvl="0">
      <w:start w:val="1"/>
      <w:numFmt w:val="lowerLetter"/>
      <w:lvlText w:val="%1)"/>
      <w:lvlJc w:val="left"/>
      <w:pPr>
        <w:ind w:left="1120" w:hanging="360"/>
        <w:jc w:val="left"/>
      </w:pPr>
      <w:rPr>
        <w:rFonts w:hint="default" w:ascii="Arial" w:hAnsi="Arial" w:eastAsia="Arial" w:cs="Arial"/>
        <w:b/>
        <w:bCs/>
        <w:w w:val="99"/>
        <w:sz w:val="24"/>
        <w:szCs w:val="24"/>
        <w:lang w:val="es-mx" w:eastAsia="es-mx" w:bidi="es-mx"/>
      </w:rPr>
    </w:lvl>
    <w:lvl w:ilvl="1">
      <w:start w:val="0"/>
      <w:numFmt w:val="bullet"/>
      <w:lvlText w:val="•"/>
      <w:lvlJc w:val="left"/>
      <w:pPr>
        <w:ind w:left="2064" w:hanging="360"/>
      </w:pPr>
      <w:rPr>
        <w:rFonts w:hint="default"/>
        <w:lang w:val="es-mx" w:eastAsia="es-mx" w:bidi="es-mx"/>
      </w:rPr>
    </w:lvl>
    <w:lvl w:ilvl="2">
      <w:start w:val="0"/>
      <w:numFmt w:val="bullet"/>
      <w:lvlText w:val="•"/>
      <w:lvlJc w:val="left"/>
      <w:pPr>
        <w:ind w:left="3008" w:hanging="360"/>
      </w:pPr>
      <w:rPr>
        <w:rFonts w:hint="default"/>
        <w:lang w:val="es-mx" w:eastAsia="es-mx" w:bidi="es-mx"/>
      </w:rPr>
    </w:lvl>
    <w:lvl w:ilvl="3">
      <w:start w:val="0"/>
      <w:numFmt w:val="bullet"/>
      <w:lvlText w:val="•"/>
      <w:lvlJc w:val="left"/>
      <w:pPr>
        <w:ind w:left="3952" w:hanging="360"/>
      </w:pPr>
      <w:rPr>
        <w:rFonts w:hint="default"/>
        <w:lang w:val="es-mx" w:eastAsia="es-mx" w:bidi="es-mx"/>
      </w:rPr>
    </w:lvl>
    <w:lvl w:ilvl="4">
      <w:start w:val="0"/>
      <w:numFmt w:val="bullet"/>
      <w:lvlText w:val="•"/>
      <w:lvlJc w:val="left"/>
      <w:pPr>
        <w:ind w:left="4896" w:hanging="360"/>
      </w:pPr>
      <w:rPr>
        <w:rFonts w:hint="default"/>
        <w:lang w:val="es-mx" w:eastAsia="es-mx" w:bidi="es-mx"/>
      </w:rPr>
    </w:lvl>
    <w:lvl w:ilvl="5">
      <w:start w:val="0"/>
      <w:numFmt w:val="bullet"/>
      <w:lvlText w:val="•"/>
      <w:lvlJc w:val="left"/>
      <w:pPr>
        <w:ind w:left="5841" w:hanging="360"/>
      </w:pPr>
      <w:rPr>
        <w:rFonts w:hint="default"/>
        <w:lang w:val="es-mx" w:eastAsia="es-mx" w:bidi="es-mx"/>
      </w:rPr>
    </w:lvl>
    <w:lvl w:ilvl="6">
      <w:start w:val="0"/>
      <w:numFmt w:val="bullet"/>
      <w:lvlText w:val="•"/>
      <w:lvlJc w:val="left"/>
      <w:pPr>
        <w:ind w:left="6785" w:hanging="360"/>
      </w:pPr>
      <w:rPr>
        <w:rFonts w:hint="default"/>
        <w:lang w:val="es-mx" w:eastAsia="es-mx" w:bidi="es-mx"/>
      </w:rPr>
    </w:lvl>
    <w:lvl w:ilvl="7">
      <w:start w:val="0"/>
      <w:numFmt w:val="bullet"/>
      <w:lvlText w:val="•"/>
      <w:lvlJc w:val="left"/>
      <w:pPr>
        <w:ind w:left="7729" w:hanging="360"/>
      </w:pPr>
      <w:rPr>
        <w:rFonts w:hint="default"/>
        <w:lang w:val="es-mx" w:eastAsia="es-mx" w:bidi="es-mx"/>
      </w:rPr>
    </w:lvl>
    <w:lvl w:ilvl="8">
      <w:start w:val="0"/>
      <w:numFmt w:val="bullet"/>
      <w:lvlText w:val="•"/>
      <w:lvlJc w:val="left"/>
      <w:pPr>
        <w:ind w:left="8673" w:hanging="360"/>
      </w:pPr>
      <w:rPr>
        <w:rFonts w:hint="default"/>
        <w:lang w:val="es-mx" w:eastAsia="es-mx" w:bidi="es-mx"/>
      </w:rPr>
    </w:lvl>
  </w:abstractNum>
  <w:abstractNum w:abstractNumId="63">
    <w:multiLevelType w:val="hybridMultilevel"/>
    <w:lvl w:ilvl="0">
      <w:start w:val="1"/>
      <w:numFmt w:val="lowerLetter"/>
      <w:lvlText w:val="%1)"/>
      <w:lvlJc w:val="left"/>
      <w:pPr>
        <w:ind w:left="966" w:hanging="567"/>
        <w:jc w:val="left"/>
      </w:pPr>
      <w:rPr>
        <w:rFonts w:hint="default" w:ascii="Arial" w:hAnsi="Arial" w:eastAsia="Arial" w:cs="Arial"/>
        <w:b/>
        <w:bCs/>
        <w:spacing w:val="-6"/>
        <w:w w:val="99"/>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62">
    <w:multiLevelType w:val="hybridMultilevel"/>
    <w:lvl w:ilvl="0">
      <w:start w:val="1"/>
      <w:numFmt w:val="upperRoman"/>
      <w:lvlText w:val="%1."/>
      <w:lvlJc w:val="left"/>
      <w:pPr>
        <w:ind w:left="966" w:hanging="567"/>
        <w:jc w:val="left"/>
      </w:pPr>
      <w:rPr>
        <w:rFonts w:hint="default" w:ascii="Arial" w:hAnsi="Arial" w:eastAsia="Arial" w:cs="Arial"/>
        <w:w w:val="100"/>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61">
    <w:multiLevelType w:val="hybridMultilevel"/>
    <w:lvl w:ilvl="0">
      <w:start w:val="1"/>
      <w:numFmt w:val="decimal"/>
      <w:lvlText w:val="%1)"/>
      <w:lvlJc w:val="left"/>
      <w:pPr>
        <w:ind w:left="966" w:hanging="567"/>
        <w:jc w:val="left"/>
      </w:pPr>
      <w:rPr>
        <w:rFonts w:hint="default" w:ascii="Arial" w:hAnsi="Arial" w:eastAsia="Arial" w:cs="Arial"/>
        <w:spacing w:val="-5"/>
        <w:w w:val="99"/>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60">
    <w:multiLevelType w:val="hybridMultilevel"/>
    <w:lvl w:ilvl="0">
      <w:start w:val="1"/>
      <w:numFmt w:val="lowerLetter"/>
      <w:lvlText w:val="%1)"/>
      <w:lvlJc w:val="left"/>
      <w:pPr>
        <w:ind w:left="966" w:hanging="567"/>
        <w:jc w:val="left"/>
      </w:pPr>
      <w:rPr>
        <w:rFonts w:hint="default" w:ascii="Arial" w:hAnsi="Arial" w:eastAsia="Arial" w:cs="Arial"/>
        <w:b/>
        <w:bCs/>
        <w:spacing w:val="-6"/>
        <w:w w:val="99"/>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59">
    <w:multiLevelType w:val="hybridMultilevel"/>
    <w:lvl w:ilvl="0">
      <w:start w:val="1"/>
      <w:numFmt w:val="lowerLetter"/>
      <w:lvlText w:val="%1)"/>
      <w:lvlJc w:val="left"/>
      <w:pPr>
        <w:ind w:left="966" w:hanging="567"/>
        <w:jc w:val="left"/>
      </w:pPr>
      <w:rPr>
        <w:rFonts w:hint="default" w:ascii="Arial" w:hAnsi="Arial" w:eastAsia="Arial" w:cs="Arial"/>
        <w:spacing w:val="-4"/>
        <w:w w:val="99"/>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58">
    <w:multiLevelType w:val="hybridMultilevel"/>
    <w:lvl w:ilvl="0">
      <w:start w:val="1"/>
      <w:numFmt w:val="upperRoman"/>
      <w:lvlText w:val="%1."/>
      <w:lvlJc w:val="left"/>
      <w:pPr>
        <w:ind w:left="1252" w:hanging="852"/>
        <w:jc w:val="left"/>
      </w:pPr>
      <w:rPr>
        <w:rFonts w:hint="default" w:ascii="Arial" w:hAnsi="Arial" w:eastAsia="Arial" w:cs="Arial"/>
        <w:w w:val="100"/>
        <w:sz w:val="24"/>
        <w:szCs w:val="24"/>
        <w:lang w:val="es-mx" w:eastAsia="es-mx" w:bidi="es-mx"/>
      </w:rPr>
    </w:lvl>
    <w:lvl w:ilvl="1">
      <w:start w:val="0"/>
      <w:numFmt w:val="bullet"/>
      <w:lvlText w:val="•"/>
      <w:lvlJc w:val="left"/>
      <w:pPr>
        <w:ind w:left="2190" w:hanging="852"/>
      </w:pPr>
      <w:rPr>
        <w:rFonts w:hint="default"/>
        <w:lang w:val="es-mx" w:eastAsia="es-mx" w:bidi="es-mx"/>
      </w:rPr>
    </w:lvl>
    <w:lvl w:ilvl="2">
      <w:start w:val="0"/>
      <w:numFmt w:val="bullet"/>
      <w:lvlText w:val="•"/>
      <w:lvlJc w:val="left"/>
      <w:pPr>
        <w:ind w:left="3120" w:hanging="852"/>
      </w:pPr>
      <w:rPr>
        <w:rFonts w:hint="default"/>
        <w:lang w:val="es-mx" w:eastAsia="es-mx" w:bidi="es-mx"/>
      </w:rPr>
    </w:lvl>
    <w:lvl w:ilvl="3">
      <w:start w:val="0"/>
      <w:numFmt w:val="bullet"/>
      <w:lvlText w:val="•"/>
      <w:lvlJc w:val="left"/>
      <w:pPr>
        <w:ind w:left="4050" w:hanging="852"/>
      </w:pPr>
      <w:rPr>
        <w:rFonts w:hint="default"/>
        <w:lang w:val="es-mx" w:eastAsia="es-mx" w:bidi="es-mx"/>
      </w:rPr>
    </w:lvl>
    <w:lvl w:ilvl="4">
      <w:start w:val="0"/>
      <w:numFmt w:val="bullet"/>
      <w:lvlText w:val="•"/>
      <w:lvlJc w:val="left"/>
      <w:pPr>
        <w:ind w:left="4980" w:hanging="852"/>
      </w:pPr>
      <w:rPr>
        <w:rFonts w:hint="default"/>
        <w:lang w:val="es-mx" w:eastAsia="es-mx" w:bidi="es-mx"/>
      </w:rPr>
    </w:lvl>
    <w:lvl w:ilvl="5">
      <w:start w:val="0"/>
      <w:numFmt w:val="bullet"/>
      <w:lvlText w:val="•"/>
      <w:lvlJc w:val="left"/>
      <w:pPr>
        <w:ind w:left="5911" w:hanging="852"/>
      </w:pPr>
      <w:rPr>
        <w:rFonts w:hint="default"/>
        <w:lang w:val="es-mx" w:eastAsia="es-mx" w:bidi="es-mx"/>
      </w:rPr>
    </w:lvl>
    <w:lvl w:ilvl="6">
      <w:start w:val="0"/>
      <w:numFmt w:val="bullet"/>
      <w:lvlText w:val="•"/>
      <w:lvlJc w:val="left"/>
      <w:pPr>
        <w:ind w:left="6841" w:hanging="852"/>
      </w:pPr>
      <w:rPr>
        <w:rFonts w:hint="default"/>
        <w:lang w:val="es-mx" w:eastAsia="es-mx" w:bidi="es-mx"/>
      </w:rPr>
    </w:lvl>
    <w:lvl w:ilvl="7">
      <w:start w:val="0"/>
      <w:numFmt w:val="bullet"/>
      <w:lvlText w:val="•"/>
      <w:lvlJc w:val="left"/>
      <w:pPr>
        <w:ind w:left="7771" w:hanging="852"/>
      </w:pPr>
      <w:rPr>
        <w:rFonts w:hint="default"/>
        <w:lang w:val="es-mx" w:eastAsia="es-mx" w:bidi="es-mx"/>
      </w:rPr>
    </w:lvl>
    <w:lvl w:ilvl="8">
      <w:start w:val="0"/>
      <w:numFmt w:val="bullet"/>
      <w:lvlText w:val="•"/>
      <w:lvlJc w:val="left"/>
      <w:pPr>
        <w:ind w:left="8701" w:hanging="852"/>
      </w:pPr>
      <w:rPr>
        <w:rFonts w:hint="default"/>
        <w:lang w:val="es-mx" w:eastAsia="es-mx" w:bidi="es-mx"/>
      </w:rPr>
    </w:lvl>
  </w:abstractNum>
  <w:abstractNum w:abstractNumId="57">
    <w:multiLevelType w:val="hybridMultilevel"/>
    <w:lvl w:ilvl="0">
      <w:start w:val="1"/>
      <w:numFmt w:val="lowerLetter"/>
      <w:lvlText w:val="%1)"/>
      <w:lvlJc w:val="left"/>
      <w:pPr>
        <w:ind w:left="966" w:hanging="567"/>
        <w:jc w:val="left"/>
      </w:pPr>
      <w:rPr>
        <w:rFonts w:hint="default" w:ascii="Arial" w:hAnsi="Arial" w:eastAsia="Arial" w:cs="Arial"/>
        <w:spacing w:val="-10"/>
        <w:w w:val="99"/>
        <w:sz w:val="24"/>
        <w:szCs w:val="24"/>
        <w:lang w:val="es-mx" w:eastAsia="es-mx" w:bidi="es-mx"/>
      </w:rPr>
    </w:lvl>
    <w:lvl w:ilvl="1">
      <w:start w:val="0"/>
      <w:numFmt w:val="bullet"/>
      <w:lvlText w:val="•"/>
      <w:lvlJc w:val="left"/>
      <w:pPr>
        <w:ind w:left="1920" w:hanging="567"/>
      </w:pPr>
      <w:rPr>
        <w:rFonts w:hint="default"/>
        <w:lang w:val="es-mx" w:eastAsia="es-mx" w:bidi="es-mx"/>
      </w:rPr>
    </w:lvl>
    <w:lvl w:ilvl="2">
      <w:start w:val="0"/>
      <w:numFmt w:val="bullet"/>
      <w:lvlText w:val="•"/>
      <w:lvlJc w:val="left"/>
      <w:pPr>
        <w:ind w:left="2880" w:hanging="567"/>
      </w:pPr>
      <w:rPr>
        <w:rFonts w:hint="default"/>
        <w:lang w:val="es-mx" w:eastAsia="es-mx" w:bidi="es-mx"/>
      </w:rPr>
    </w:lvl>
    <w:lvl w:ilvl="3">
      <w:start w:val="0"/>
      <w:numFmt w:val="bullet"/>
      <w:lvlText w:val="•"/>
      <w:lvlJc w:val="left"/>
      <w:pPr>
        <w:ind w:left="3840" w:hanging="567"/>
      </w:pPr>
      <w:rPr>
        <w:rFonts w:hint="default"/>
        <w:lang w:val="es-mx" w:eastAsia="es-mx" w:bidi="es-mx"/>
      </w:rPr>
    </w:lvl>
    <w:lvl w:ilvl="4">
      <w:start w:val="0"/>
      <w:numFmt w:val="bullet"/>
      <w:lvlText w:val="•"/>
      <w:lvlJc w:val="left"/>
      <w:pPr>
        <w:ind w:left="4800" w:hanging="567"/>
      </w:pPr>
      <w:rPr>
        <w:rFonts w:hint="default"/>
        <w:lang w:val="es-mx" w:eastAsia="es-mx" w:bidi="es-mx"/>
      </w:rPr>
    </w:lvl>
    <w:lvl w:ilvl="5">
      <w:start w:val="0"/>
      <w:numFmt w:val="bullet"/>
      <w:lvlText w:val="•"/>
      <w:lvlJc w:val="left"/>
      <w:pPr>
        <w:ind w:left="5761" w:hanging="567"/>
      </w:pPr>
      <w:rPr>
        <w:rFonts w:hint="default"/>
        <w:lang w:val="es-mx" w:eastAsia="es-mx" w:bidi="es-mx"/>
      </w:rPr>
    </w:lvl>
    <w:lvl w:ilvl="6">
      <w:start w:val="0"/>
      <w:numFmt w:val="bullet"/>
      <w:lvlText w:val="•"/>
      <w:lvlJc w:val="left"/>
      <w:pPr>
        <w:ind w:left="6721" w:hanging="567"/>
      </w:pPr>
      <w:rPr>
        <w:rFonts w:hint="default"/>
        <w:lang w:val="es-mx" w:eastAsia="es-mx" w:bidi="es-mx"/>
      </w:rPr>
    </w:lvl>
    <w:lvl w:ilvl="7">
      <w:start w:val="0"/>
      <w:numFmt w:val="bullet"/>
      <w:lvlText w:val="•"/>
      <w:lvlJc w:val="left"/>
      <w:pPr>
        <w:ind w:left="7681" w:hanging="567"/>
      </w:pPr>
      <w:rPr>
        <w:rFonts w:hint="default"/>
        <w:lang w:val="es-mx" w:eastAsia="es-mx" w:bidi="es-mx"/>
      </w:rPr>
    </w:lvl>
    <w:lvl w:ilvl="8">
      <w:start w:val="0"/>
      <w:numFmt w:val="bullet"/>
      <w:lvlText w:val="•"/>
      <w:lvlJc w:val="left"/>
      <w:pPr>
        <w:ind w:left="8641" w:hanging="567"/>
      </w:pPr>
      <w:rPr>
        <w:rFonts w:hint="default"/>
        <w:lang w:val="es-mx" w:eastAsia="es-mx" w:bidi="es-mx"/>
      </w:rPr>
    </w:lvl>
  </w:abstractNum>
  <w:abstractNum w:abstractNumId="56">
    <w:multiLevelType w:val="hybridMultilevel"/>
    <w:lvl w:ilvl="0">
      <w:start w:val="1"/>
      <w:numFmt w:val="upperRoman"/>
      <w:lvlText w:val="%1."/>
      <w:lvlJc w:val="left"/>
      <w:pPr>
        <w:ind w:left="400" w:hanging="226"/>
        <w:jc w:val="left"/>
      </w:pPr>
      <w:rPr>
        <w:rFonts w:hint="default" w:ascii="Arial" w:hAnsi="Arial" w:eastAsia="Arial" w:cs="Arial"/>
        <w:w w:val="100"/>
        <w:sz w:val="24"/>
        <w:szCs w:val="24"/>
        <w:lang w:val="es-mx" w:eastAsia="es-mx" w:bidi="es-mx"/>
      </w:rPr>
    </w:lvl>
    <w:lvl w:ilvl="1">
      <w:start w:val="1"/>
      <w:numFmt w:val="lowerLetter"/>
      <w:lvlText w:val="%2)"/>
      <w:lvlJc w:val="left"/>
      <w:pPr>
        <w:ind w:left="1120" w:hanging="360"/>
        <w:jc w:val="left"/>
      </w:pPr>
      <w:rPr>
        <w:rFonts w:hint="default" w:ascii="Arial" w:hAnsi="Arial" w:eastAsia="Arial" w:cs="Arial"/>
        <w:w w:val="99"/>
        <w:sz w:val="24"/>
        <w:szCs w:val="24"/>
        <w:lang w:val="es-mx" w:eastAsia="es-mx" w:bidi="es-mx"/>
      </w:rPr>
    </w:lvl>
    <w:lvl w:ilvl="2">
      <w:start w:val="0"/>
      <w:numFmt w:val="bullet"/>
      <w:lvlText w:val="•"/>
      <w:lvlJc w:val="left"/>
      <w:pPr>
        <w:ind w:left="2169" w:hanging="360"/>
      </w:pPr>
      <w:rPr>
        <w:rFonts w:hint="default"/>
        <w:lang w:val="es-mx" w:eastAsia="es-mx" w:bidi="es-mx"/>
      </w:rPr>
    </w:lvl>
    <w:lvl w:ilvl="3">
      <w:start w:val="0"/>
      <w:numFmt w:val="bullet"/>
      <w:lvlText w:val="•"/>
      <w:lvlJc w:val="left"/>
      <w:pPr>
        <w:ind w:left="3218" w:hanging="360"/>
      </w:pPr>
      <w:rPr>
        <w:rFonts w:hint="default"/>
        <w:lang w:val="es-mx" w:eastAsia="es-mx" w:bidi="es-mx"/>
      </w:rPr>
    </w:lvl>
    <w:lvl w:ilvl="4">
      <w:start w:val="0"/>
      <w:numFmt w:val="bullet"/>
      <w:lvlText w:val="•"/>
      <w:lvlJc w:val="left"/>
      <w:pPr>
        <w:ind w:left="4267" w:hanging="360"/>
      </w:pPr>
      <w:rPr>
        <w:rFonts w:hint="default"/>
        <w:lang w:val="es-mx" w:eastAsia="es-mx" w:bidi="es-mx"/>
      </w:rPr>
    </w:lvl>
    <w:lvl w:ilvl="5">
      <w:start w:val="0"/>
      <w:numFmt w:val="bullet"/>
      <w:lvlText w:val="•"/>
      <w:lvlJc w:val="left"/>
      <w:pPr>
        <w:ind w:left="5316" w:hanging="360"/>
      </w:pPr>
      <w:rPr>
        <w:rFonts w:hint="default"/>
        <w:lang w:val="es-mx" w:eastAsia="es-mx" w:bidi="es-mx"/>
      </w:rPr>
    </w:lvl>
    <w:lvl w:ilvl="6">
      <w:start w:val="0"/>
      <w:numFmt w:val="bullet"/>
      <w:lvlText w:val="•"/>
      <w:lvlJc w:val="left"/>
      <w:pPr>
        <w:ind w:left="6365" w:hanging="360"/>
      </w:pPr>
      <w:rPr>
        <w:rFonts w:hint="default"/>
        <w:lang w:val="es-mx" w:eastAsia="es-mx" w:bidi="es-mx"/>
      </w:rPr>
    </w:lvl>
    <w:lvl w:ilvl="7">
      <w:start w:val="0"/>
      <w:numFmt w:val="bullet"/>
      <w:lvlText w:val="•"/>
      <w:lvlJc w:val="left"/>
      <w:pPr>
        <w:ind w:left="7414" w:hanging="360"/>
      </w:pPr>
      <w:rPr>
        <w:rFonts w:hint="default"/>
        <w:lang w:val="es-mx" w:eastAsia="es-mx" w:bidi="es-mx"/>
      </w:rPr>
    </w:lvl>
    <w:lvl w:ilvl="8">
      <w:start w:val="0"/>
      <w:numFmt w:val="bullet"/>
      <w:lvlText w:val="•"/>
      <w:lvlJc w:val="left"/>
      <w:pPr>
        <w:ind w:left="8464" w:hanging="360"/>
      </w:pPr>
      <w:rPr>
        <w:rFonts w:hint="default"/>
        <w:lang w:val="es-mx" w:eastAsia="es-mx" w:bidi="es-mx"/>
      </w:rPr>
    </w:lvl>
  </w:abstractNum>
  <w:abstractNum w:abstractNumId="55">
    <w:multiLevelType w:val="hybridMultilevel"/>
    <w:lvl w:ilvl="0">
      <w:start w:val="1"/>
      <w:numFmt w:val="lowerLetter"/>
      <w:lvlText w:val="%1)"/>
      <w:lvlJc w:val="left"/>
      <w:pPr>
        <w:ind w:left="400" w:hanging="334"/>
        <w:jc w:val="left"/>
      </w:pPr>
      <w:rPr>
        <w:rFonts w:hint="default" w:ascii="Arial" w:hAnsi="Arial" w:eastAsia="Arial" w:cs="Arial"/>
        <w:spacing w:val="-33"/>
        <w:w w:val="99"/>
        <w:sz w:val="24"/>
        <w:szCs w:val="24"/>
        <w:lang w:val="es-mx" w:eastAsia="es-mx" w:bidi="es-mx"/>
      </w:rPr>
    </w:lvl>
    <w:lvl w:ilvl="1">
      <w:start w:val="0"/>
      <w:numFmt w:val="bullet"/>
      <w:lvlText w:val="•"/>
      <w:lvlJc w:val="left"/>
      <w:pPr>
        <w:ind w:left="1416" w:hanging="334"/>
      </w:pPr>
      <w:rPr>
        <w:rFonts w:hint="default"/>
        <w:lang w:val="es-mx" w:eastAsia="es-mx" w:bidi="es-mx"/>
      </w:rPr>
    </w:lvl>
    <w:lvl w:ilvl="2">
      <w:start w:val="0"/>
      <w:numFmt w:val="bullet"/>
      <w:lvlText w:val="•"/>
      <w:lvlJc w:val="left"/>
      <w:pPr>
        <w:ind w:left="2432" w:hanging="334"/>
      </w:pPr>
      <w:rPr>
        <w:rFonts w:hint="default"/>
        <w:lang w:val="es-mx" w:eastAsia="es-mx" w:bidi="es-mx"/>
      </w:rPr>
    </w:lvl>
    <w:lvl w:ilvl="3">
      <w:start w:val="0"/>
      <w:numFmt w:val="bullet"/>
      <w:lvlText w:val="•"/>
      <w:lvlJc w:val="left"/>
      <w:pPr>
        <w:ind w:left="3448" w:hanging="334"/>
      </w:pPr>
      <w:rPr>
        <w:rFonts w:hint="default"/>
        <w:lang w:val="es-mx" w:eastAsia="es-mx" w:bidi="es-mx"/>
      </w:rPr>
    </w:lvl>
    <w:lvl w:ilvl="4">
      <w:start w:val="0"/>
      <w:numFmt w:val="bullet"/>
      <w:lvlText w:val="•"/>
      <w:lvlJc w:val="left"/>
      <w:pPr>
        <w:ind w:left="4464" w:hanging="334"/>
      </w:pPr>
      <w:rPr>
        <w:rFonts w:hint="default"/>
        <w:lang w:val="es-mx" w:eastAsia="es-mx" w:bidi="es-mx"/>
      </w:rPr>
    </w:lvl>
    <w:lvl w:ilvl="5">
      <w:start w:val="0"/>
      <w:numFmt w:val="bullet"/>
      <w:lvlText w:val="•"/>
      <w:lvlJc w:val="left"/>
      <w:pPr>
        <w:ind w:left="5481" w:hanging="334"/>
      </w:pPr>
      <w:rPr>
        <w:rFonts w:hint="default"/>
        <w:lang w:val="es-mx" w:eastAsia="es-mx" w:bidi="es-mx"/>
      </w:rPr>
    </w:lvl>
    <w:lvl w:ilvl="6">
      <w:start w:val="0"/>
      <w:numFmt w:val="bullet"/>
      <w:lvlText w:val="•"/>
      <w:lvlJc w:val="left"/>
      <w:pPr>
        <w:ind w:left="6497" w:hanging="334"/>
      </w:pPr>
      <w:rPr>
        <w:rFonts w:hint="default"/>
        <w:lang w:val="es-mx" w:eastAsia="es-mx" w:bidi="es-mx"/>
      </w:rPr>
    </w:lvl>
    <w:lvl w:ilvl="7">
      <w:start w:val="0"/>
      <w:numFmt w:val="bullet"/>
      <w:lvlText w:val="•"/>
      <w:lvlJc w:val="left"/>
      <w:pPr>
        <w:ind w:left="7513" w:hanging="334"/>
      </w:pPr>
      <w:rPr>
        <w:rFonts w:hint="default"/>
        <w:lang w:val="es-mx" w:eastAsia="es-mx" w:bidi="es-mx"/>
      </w:rPr>
    </w:lvl>
    <w:lvl w:ilvl="8">
      <w:start w:val="0"/>
      <w:numFmt w:val="bullet"/>
      <w:lvlText w:val="•"/>
      <w:lvlJc w:val="left"/>
      <w:pPr>
        <w:ind w:left="8529" w:hanging="334"/>
      </w:pPr>
      <w:rPr>
        <w:rFonts w:hint="default"/>
        <w:lang w:val="es-mx" w:eastAsia="es-mx" w:bidi="es-mx"/>
      </w:rPr>
    </w:lvl>
  </w:abstractNum>
  <w:abstractNum w:abstractNumId="54">
    <w:multiLevelType w:val="hybridMultilevel"/>
    <w:lvl w:ilvl="0">
      <w:start w:val="1"/>
      <w:numFmt w:val="decimal"/>
      <w:lvlText w:val="%1."/>
      <w:lvlJc w:val="left"/>
      <w:pPr>
        <w:ind w:left="669" w:hanging="269"/>
        <w:jc w:val="left"/>
      </w:pPr>
      <w:rPr>
        <w:rFonts w:hint="default" w:ascii="Arial" w:hAnsi="Arial" w:eastAsia="Arial" w:cs="Arial"/>
        <w:b/>
        <w:bCs/>
        <w:w w:val="99"/>
        <w:sz w:val="24"/>
        <w:szCs w:val="24"/>
        <w:lang w:val="es-mx" w:eastAsia="es-mx" w:bidi="es-mx"/>
      </w:rPr>
    </w:lvl>
    <w:lvl w:ilvl="1">
      <w:start w:val="1"/>
      <w:numFmt w:val="decimal"/>
      <w:lvlText w:val="%1.%2."/>
      <w:lvlJc w:val="left"/>
      <w:pPr>
        <w:ind w:left="1746" w:hanging="720"/>
        <w:jc w:val="right"/>
      </w:pPr>
      <w:rPr>
        <w:rFonts w:hint="default" w:ascii="Arial" w:hAnsi="Arial" w:eastAsia="Arial" w:cs="Arial"/>
        <w:b/>
        <w:bCs/>
        <w:w w:val="99"/>
        <w:sz w:val="24"/>
        <w:szCs w:val="24"/>
        <w:lang w:val="es-mx" w:eastAsia="es-mx" w:bidi="es-mx"/>
      </w:rPr>
    </w:lvl>
    <w:lvl w:ilvl="2">
      <w:start w:val="1"/>
      <w:numFmt w:val="decimal"/>
      <w:lvlText w:val="%1.%2.%3."/>
      <w:lvlJc w:val="left"/>
      <w:pPr>
        <w:ind w:left="1065" w:hanging="665"/>
        <w:jc w:val="left"/>
      </w:pPr>
      <w:rPr>
        <w:rFonts w:hint="default" w:ascii="Arial" w:hAnsi="Arial" w:eastAsia="Arial" w:cs="Arial"/>
        <w:b/>
        <w:bCs/>
        <w:spacing w:val="-4"/>
        <w:w w:val="99"/>
        <w:sz w:val="24"/>
        <w:szCs w:val="24"/>
        <w:lang w:val="es-mx" w:eastAsia="es-mx" w:bidi="es-mx"/>
      </w:rPr>
    </w:lvl>
    <w:lvl w:ilvl="3">
      <w:start w:val="0"/>
      <w:numFmt w:val="bullet"/>
      <w:lvlText w:val="•"/>
      <w:lvlJc w:val="left"/>
      <w:pPr>
        <w:ind w:left="1060" w:hanging="665"/>
      </w:pPr>
      <w:rPr>
        <w:rFonts w:hint="default"/>
        <w:lang w:val="es-mx" w:eastAsia="es-mx" w:bidi="es-mx"/>
      </w:rPr>
    </w:lvl>
    <w:lvl w:ilvl="4">
      <w:start w:val="0"/>
      <w:numFmt w:val="bullet"/>
      <w:lvlText w:val="•"/>
      <w:lvlJc w:val="left"/>
      <w:pPr>
        <w:ind w:left="1740" w:hanging="665"/>
      </w:pPr>
      <w:rPr>
        <w:rFonts w:hint="default"/>
        <w:lang w:val="es-mx" w:eastAsia="es-mx" w:bidi="es-mx"/>
      </w:rPr>
    </w:lvl>
    <w:lvl w:ilvl="5">
      <w:start w:val="0"/>
      <w:numFmt w:val="bullet"/>
      <w:lvlText w:val="•"/>
      <w:lvlJc w:val="left"/>
      <w:pPr>
        <w:ind w:left="3210" w:hanging="665"/>
      </w:pPr>
      <w:rPr>
        <w:rFonts w:hint="default"/>
        <w:lang w:val="es-mx" w:eastAsia="es-mx" w:bidi="es-mx"/>
      </w:rPr>
    </w:lvl>
    <w:lvl w:ilvl="6">
      <w:start w:val="0"/>
      <w:numFmt w:val="bullet"/>
      <w:lvlText w:val="•"/>
      <w:lvlJc w:val="left"/>
      <w:pPr>
        <w:ind w:left="4680" w:hanging="665"/>
      </w:pPr>
      <w:rPr>
        <w:rFonts w:hint="default"/>
        <w:lang w:val="es-mx" w:eastAsia="es-mx" w:bidi="es-mx"/>
      </w:rPr>
    </w:lvl>
    <w:lvl w:ilvl="7">
      <w:start w:val="0"/>
      <w:numFmt w:val="bullet"/>
      <w:lvlText w:val="•"/>
      <w:lvlJc w:val="left"/>
      <w:pPr>
        <w:ind w:left="6151" w:hanging="665"/>
      </w:pPr>
      <w:rPr>
        <w:rFonts w:hint="default"/>
        <w:lang w:val="es-mx" w:eastAsia="es-mx" w:bidi="es-mx"/>
      </w:rPr>
    </w:lvl>
    <w:lvl w:ilvl="8">
      <w:start w:val="0"/>
      <w:numFmt w:val="bullet"/>
      <w:lvlText w:val="•"/>
      <w:lvlJc w:val="left"/>
      <w:pPr>
        <w:ind w:left="7621" w:hanging="665"/>
      </w:pPr>
      <w:rPr>
        <w:rFonts w:hint="default"/>
        <w:lang w:val="es-mx" w:eastAsia="es-mx" w:bidi="es-mx"/>
      </w:rPr>
    </w:lvl>
  </w:abstractNum>
  <w:abstractNum w:abstractNumId="53">
    <w:multiLevelType w:val="hybridMultilevel"/>
    <w:lvl w:ilvl="0">
      <w:start w:val="7"/>
      <w:numFmt w:val="upperRoman"/>
      <w:lvlText w:val="%1."/>
      <w:lvlJc w:val="left"/>
      <w:pPr>
        <w:ind w:left="1859" w:hanging="711"/>
        <w:jc w:val="left"/>
      </w:pPr>
      <w:rPr>
        <w:rFonts w:hint="default" w:ascii="Arial" w:hAnsi="Arial" w:eastAsia="Arial" w:cs="Arial"/>
        <w:spacing w:val="-5"/>
        <w:w w:val="100"/>
        <w:sz w:val="24"/>
        <w:szCs w:val="24"/>
        <w:lang w:val="es-mx" w:eastAsia="es-mx" w:bidi="es-mx"/>
      </w:rPr>
    </w:lvl>
    <w:lvl w:ilvl="1">
      <w:start w:val="0"/>
      <w:numFmt w:val="bullet"/>
      <w:lvlText w:val="•"/>
      <w:lvlJc w:val="left"/>
      <w:pPr>
        <w:ind w:left="2730" w:hanging="711"/>
      </w:pPr>
      <w:rPr>
        <w:rFonts w:hint="default"/>
        <w:lang w:val="es-mx" w:eastAsia="es-mx" w:bidi="es-mx"/>
      </w:rPr>
    </w:lvl>
    <w:lvl w:ilvl="2">
      <w:start w:val="0"/>
      <w:numFmt w:val="bullet"/>
      <w:lvlText w:val="•"/>
      <w:lvlJc w:val="left"/>
      <w:pPr>
        <w:ind w:left="3600" w:hanging="711"/>
      </w:pPr>
      <w:rPr>
        <w:rFonts w:hint="default"/>
        <w:lang w:val="es-mx" w:eastAsia="es-mx" w:bidi="es-mx"/>
      </w:rPr>
    </w:lvl>
    <w:lvl w:ilvl="3">
      <w:start w:val="0"/>
      <w:numFmt w:val="bullet"/>
      <w:lvlText w:val="•"/>
      <w:lvlJc w:val="left"/>
      <w:pPr>
        <w:ind w:left="4470" w:hanging="711"/>
      </w:pPr>
      <w:rPr>
        <w:rFonts w:hint="default"/>
        <w:lang w:val="es-mx" w:eastAsia="es-mx" w:bidi="es-mx"/>
      </w:rPr>
    </w:lvl>
    <w:lvl w:ilvl="4">
      <w:start w:val="0"/>
      <w:numFmt w:val="bullet"/>
      <w:lvlText w:val="•"/>
      <w:lvlJc w:val="left"/>
      <w:pPr>
        <w:ind w:left="5340" w:hanging="711"/>
      </w:pPr>
      <w:rPr>
        <w:rFonts w:hint="default"/>
        <w:lang w:val="es-mx" w:eastAsia="es-mx" w:bidi="es-mx"/>
      </w:rPr>
    </w:lvl>
    <w:lvl w:ilvl="5">
      <w:start w:val="0"/>
      <w:numFmt w:val="bullet"/>
      <w:lvlText w:val="•"/>
      <w:lvlJc w:val="left"/>
      <w:pPr>
        <w:ind w:left="6211" w:hanging="711"/>
      </w:pPr>
      <w:rPr>
        <w:rFonts w:hint="default"/>
        <w:lang w:val="es-mx" w:eastAsia="es-mx" w:bidi="es-mx"/>
      </w:rPr>
    </w:lvl>
    <w:lvl w:ilvl="6">
      <w:start w:val="0"/>
      <w:numFmt w:val="bullet"/>
      <w:lvlText w:val="•"/>
      <w:lvlJc w:val="left"/>
      <w:pPr>
        <w:ind w:left="7081" w:hanging="711"/>
      </w:pPr>
      <w:rPr>
        <w:rFonts w:hint="default"/>
        <w:lang w:val="es-mx" w:eastAsia="es-mx" w:bidi="es-mx"/>
      </w:rPr>
    </w:lvl>
    <w:lvl w:ilvl="7">
      <w:start w:val="0"/>
      <w:numFmt w:val="bullet"/>
      <w:lvlText w:val="•"/>
      <w:lvlJc w:val="left"/>
      <w:pPr>
        <w:ind w:left="7951" w:hanging="711"/>
      </w:pPr>
      <w:rPr>
        <w:rFonts w:hint="default"/>
        <w:lang w:val="es-mx" w:eastAsia="es-mx" w:bidi="es-mx"/>
      </w:rPr>
    </w:lvl>
    <w:lvl w:ilvl="8">
      <w:start w:val="0"/>
      <w:numFmt w:val="bullet"/>
      <w:lvlText w:val="•"/>
      <w:lvlJc w:val="left"/>
      <w:pPr>
        <w:ind w:left="8821" w:hanging="711"/>
      </w:pPr>
      <w:rPr>
        <w:rFonts w:hint="default"/>
        <w:lang w:val="es-mx" w:eastAsia="es-mx" w:bidi="es-mx"/>
      </w:rPr>
    </w:lvl>
  </w:abstractNum>
  <w:abstractNum w:abstractNumId="52">
    <w:multiLevelType w:val="hybridMultilevel"/>
    <w:lvl w:ilvl="0">
      <w:start w:val="1"/>
      <w:numFmt w:val="upperRoman"/>
      <w:lvlText w:val="%1."/>
      <w:lvlJc w:val="left"/>
      <w:pPr>
        <w:ind w:left="1859" w:hanging="711"/>
        <w:jc w:val="left"/>
      </w:pPr>
      <w:rPr>
        <w:rFonts w:hint="default" w:ascii="Arial" w:hAnsi="Arial" w:eastAsia="Arial" w:cs="Arial"/>
        <w:spacing w:val="-2"/>
        <w:w w:val="100"/>
        <w:sz w:val="24"/>
        <w:szCs w:val="24"/>
        <w:lang w:val="es-mx" w:eastAsia="es-mx" w:bidi="es-mx"/>
      </w:rPr>
    </w:lvl>
    <w:lvl w:ilvl="1">
      <w:start w:val="1"/>
      <w:numFmt w:val="lowerLetter"/>
      <w:lvlText w:val="%2)"/>
      <w:lvlJc w:val="left"/>
      <w:pPr>
        <w:ind w:left="2579" w:hanging="360"/>
        <w:jc w:val="left"/>
      </w:pPr>
      <w:rPr>
        <w:rFonts w:hint="default" w:ascii="Arial" w:hAnsi="Arial" w:eastAsia="Arial" w:cs="Arial"/>
        <w:w w:val="99"/>
        <w:sz w:val="24"/>
        <w:szCs w:val="24"/>
        <w:lang w:val="es-mx" w:eastAsia="es-mx" w:bidi="es-mx"/>
      </w:rPr>
    </w:lvl>
    <w:lvl w:ilvl="2">
      <w:start w:val="0"/>
      <w:numFmt w:val="bullet"/>
      <w:lvlText w:val="•"/>
      <w:lvlJc w:val="left"/>
      <w:pPr>
        <w:ind w:left="3005" w:hanging="360"/>
      </w:pPr>
      <w:rPr>
        <w:rFonts w:hint="default"/>
        <w:lang w:val="es-mx" w:eastAsia="es-mx" w:bidi="es-mx"/>
      </w:rPr>
    </w:lvl>
    <w:lvl w:ilvl="3">
      <w:start w:val="0"/>
      <w:numFmt w:val="bullet"/>
      <w:lvlText w:val="•"/>
      <w:lvlJc w:val="left"/>
      <w:pPr>
        <w:ind w:left="3431" w:hanging="360"/>
      </w:pPr>
      <w:rPr>
        <w:rFonts w:hint="default"/>
        <w:lang w:val="es-mx" w:eastAsia="es-mx" w:bidi="es-mx"/>
      </w:rPr>
    </w:lvl>
    <w:lvl w:ilvl="4">
      <w:start w:val="0"/>
      <w:numFmt w:val="bullet"/>
      <w:lvlText w:val="•"/>
      <w:lvlJc w:val="left"/>
      <w:pPr>
        <w:ind w:left="3856" w:hanging="360"/>
      </w:pPr>
      <w:rPr>
        <w:rFonts w:hint="default"/>
        <w:lang w:val="es-mx" w:eastAsia="es-mx" w:bidi="es-mx"/>
      </w:rPr>
    </w:lvl>
    <w:lvl w:ilvl="5">
      <w:start w:val="0"/>
      <w:numFmt w:val="bullet"/>
      <w:lvlText w:val="•"/>
      <w:lvlJc w:val="left"/>
      <w:pPr>
        <w:ind w:left="4282" w:hanging="360"/>
      </w:pPr>
      <w:rPr>
        <w:rFonts w:hint="default"/>
        <w:lang w:val="es-mx" w:eastAsia="es-mx" w:bidi="es-mx"/>
      </w:rPr>
    </w:lvl>
    <w:lvl w:ilvl="6">
      <w:start w:val="0"/>
      <w:numFmt w:val="bullet"/>
      <w:lvlText w:val="•"/>
      <w:lvlJc w:val="left"/>
      <w:pPr>
        <w:ind w:left="4707" w:hanging="360"/>
      </w:pPr>
      <w:rPr>
        <w:rFonts w:hint="default"/>
        <w:lang w:val="es-mx" w:eastAsia="es-mx" w:bidi="es-mx"/>
      </w:rPr>
    </w:lvl>
    <w:lvl w:ilvl="7">
      <w:start w:val="0"/>
      <w:numFmt w:val="bullet"/>
      <w:lvlText w:val="•"/>
      <w:lvlJc w:val="left"/>
      <w:pPr>
        <w:ind w:left="5133" w:hanging="360"/>
      </w:pPr>
      <w:rPr>
        <w:rFonts w:hint="default"/>
        <w:lang w:val="es-mx" w:eastAsia="es-mx" w:bidi="es-mx"/>
      </w:rPr>
    </w:lvl>
    <w:lvl w:ilvl="8">
      <w:start w:val="0"/>
      <w:numFmt w:val="bullet"/>
      <w:lvlText w:val="•"/>
      <w:lvlJc w:val="left"/>
      <w:pPr>
        <w:ind w:left="5559" w:hanging="360"/>
      </w:pPr>
      <w:rPr>
        <w:rFonts w:hint="default"/>
        <w:lang w:val="es-mx" w:eastAsia="es-mx" w:bidi="es-mx"/>
      </w:rPr>
    </w:lvl>
  </w:abstractNum>
  <w:abstractNum w:abstractNumId="51">
    <w:multiLevelType w:val="hybridMultilevel"/>
    <w:lvl w:ilvl="0">
      <w:start w:val="1"/>
      <w:numFmt w:val="lowerLetter"/>
      <w:lvlText w:val="%1)"/>
      <w:lvlJc w:val="left"/>
      <w:pPr>
        <w:ind w:left="1358" w:hanging="281"/>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280" w:hanging="281"/>
      </w:pPr>
      <w:rPr>
        <w:rFonts w:hint="default"/>
        <w:lang w:val="es-mx" w:eastAsia="es-mx" w:bidi="es-mx"/>
      </w:rPr>
    </w:lvl>
    <w:lvl w:ilvl="2">
      <w:start w:val="0"/>
      <w:numFmt w:val="bullet"/>
      <w:lvlText w:val="•"/>
      <w:lvlJc w:val="left"/>
      <w:pPr>
        <w:ind w:left="3200" w:hanging="281"/>
      </w:pPr>
      <w:rPr>
        <w:rFonts w:hint="default"/>
        <w:lang w:val="es-mx" w:eastAsia="es-mx" w:bidi="es-mx"/>
      </w:rPr>
    </w:lvl>
    <w:lvl w:ilvl="3">
      <w:start w:val="0"/>
      <w:numFmt w:val="bullet"/>
      <w:lvlText w:val="•"/>
      <w:lvlJc w:val="left"/>
      <w:pPr>
        <w:ind w:left="4120" w:hanging="281"/>
      </w:pPr>
      <w:rPr>
        <w:rFonts w:hint="default"/>
        <w:lang w:val="es-mx" w:eastAsia="es-mx" w:bidi="es-mx"/>
      </w:rPr>
    </w:lvl>
    <w:lvl w:ilvl="4">
      <w:start w:val="0"/>
      <w:numFmt w:val="bullet"/>
      <w:lvlText w:val="•"/>
      <w:lvlJc w:val="left"/>
      <w:pPr>
        <w:ind w:left="5040" w:hanging="281"/>
      </w:pPr>
      <w:rPr>
        <w:rFonts w:hint="default"/>
        <w:lang w:val="es-mx" w:eastAsia="es-mx" w:bidi="es-mx"/>
      </w:rPr>
    </w:lvl>
    <w:lvl w:ilvl="5">
      <w:start w:val="0"/>
      <w:numFmt w:val="bullet"/>
      <w:lvlText w:val="•"/>
      <w:lvlJc w:val="left"/>
      <w:pPr>
        <w:ind w:left="5961" w:hanging="281"/>
      </w:pPr>
      <w:rPr>
        <w:rFonts w:hint="default"/>
        <w:lang w:val="es-mx" w:eastAsia="es-mx" w:bidi="es-mx"/>
      </w:rPr>
    </w:lvl>
    <w:lvl w:ilvl="6">
      <w:start w:val="0"/>
      <w:numFmt w:val="bullet"/>
      <w:lvlText w:val="•"/>
      <w:lvlJc w:val="left"/>
      <w:pPr>
        <w:ind w:left="6881" w:hanging="281"/>
      </w:pPr>
      <w:rPr>
        <w:rFonts w:hint="default"/>
        <w:lang w:val="es-mx" w:eastAsia="es-mx" w:bidi="es-mx"/>
      </w:rPr>
    </w:lvl>
    <w:lvl w:ilvl="7">
      <w:start w:val="0"/>
      <w:numFmt w:val="bullet"/>
      <w:lvlText w:val="•"/>
      <w:lvlJc w:val="left"/>
      <w:pPr>
        <w:ind w:left="7801" w:hanging="281"/>
      </w:pPr>
      <w:rPr>
        <w:rFonts w:hint="default"/>
        <w:lang w:val="es-mx" w:eastAsia="es-mx" w:bidi="es-mx"/>
      </w:rPr>
    </w:lvl>
    <w:lvl w:ilvl="8">
      <w:start w:val="0"/>
      <w:numFmt w:val="bullet"/>
      <w:lvlText w:val="•"/>
      <w:lvlJc w:val="left"/>
      <w:pPr>
        <w:ind w:left="8721" w:hanging="281"/>
      </w:pPr>
      <w:rPr>
        <w:rFonts w:hint="default"/>
        <w:lang w:val="es-mx" w:eastAsia="es-mx" w:bidi="es-mx"/>
      </w:rPr>
    </w:lvl>
  </w:abstractNum>
  <w:abstractNum w:abstractNumId="50">
    <w:multiLevelType w:val="hybridMultilevel"/>
    <w:lvl w:ilvl="0">
      <w:start w:val="1"/>
      <w:numFmt w:val="lowerLetter"/>
      <w:lvlText w:val="%1)"/>
      <w:lvlJc w:val="left"/>
      <w:pPr>
        <w:ind w:left="1494" w:hanging="735"/>
        <w:jc w:val="left"/>
      </w:pPr>
      <w:rPr>
        <w:rFonts w:hint="default"/>
        <w:spacing w:val="-1"/>
        <w:w w:val="100"/>
        <w:position w:val="1"/>
        <w:lang w:val="es-mx" w:eastAsia="es-mx" w:bidi="es-mx"/>
      </w:rPr>
    </w:lvl>
    <w:lvl w:ilvl="1">
      <w:start w:val="1"/>
      <w:numFmt w:val="upperRoman"/>
      <w:lvlText w:val="%2."/>
      <w:lvlJc w:val="left"/>
      <w:pPr>
        <w:ind w:left="1396" w:hanging="353"/>
        <w:jc w:val="right"/>
      </w:pPr>
      <w:rPr>
        <w:rFonts w:hint="default" w:ascii="Arial" w:hAnsi="Arial" w:eastAsia="Arial" w:cs="Arial"/>
        <w:b/>
        <w:bCs/>
        <w:w w:val="100"/>
        <w:sz w:val="24"/>
        <w:szCs w:val="24"/>
        <w:lang w:val="es-mx" w:eastAsia="es-mx" w:bidi="es-mx"/>
      </w:rPr>
    </w:lvl>
    <w:lvl w:ilvl="2">
      <w:start w:val="1"/>
      <w:numFmt w:val="lowerLetter"/>
      <w:lvlText w:val="%3)"/>
      <w:lvlJc w:val="left"/>
      <w:pPr>
        <w:ind w:left="2411" w:hanging="548"/>
        <w:jc w:val="left"/>
      </w:pPr>
      <w:rPr>
        <w:rFonts w:hint="default" w:ascii="Arial" w:hAnsi="Arial" w:eastAsia="Arial" w:cs="Arial"/>
        <w:spacing w:val="-2"/>
        <w:w w:val="99"/>
        <w:sz w:val="24"/>
        <w:szCs w:val="24"/>
        <w:lang w:val="es-mx" w:eastAsia="es-mx" w:bidi="es-mx"/>
      </w:rPr>
    </w:lvl>
    <w:lvl w:ilvl="3">
      <w:start w:val="0"/>
      <w:numFmt w:val="bullet"/>
      <w:lvlText w:val="•"/>
      <w:lvlJc w:val="left"/>
      <w:pPr>
        <w:ind w:left="2420" w:hanging="548"/>
      </w:pPr>
      <w:rPr>
        <w:rFonts w:hint="default"/>
        <w:lang w:val="es-mx" w:eastAsia="es-mx" w:bidi="es-mx"/>
      </w:rPr>
    </w:lvl>
    <w:lvl w:ilvl="4">
      <w:start w:val="0"/>
      <w:numFmt w:val="bullet"/>
      <w:lvlText w:val="•"/>
      <w:lvlJc w:val="left"/>
      <w:pPr>
        <w:ind w:left="2752" w:hanging="548"/>
      </w:pPr>
      <w:rPr>
        <w:rFonts w:hint="default"/>
        <w:lang w:val="es-mx" w:eastAsia="es-mx" w:bidi="es-mx"/>
      </w:rPr>
    </w:lvl>
    <w:lvl w:ilvl="5">
      <w:start w:val="0"/>
      <w:numFmt w:val="bullet"/>
      <w:lvlText w:val="•"/>
      <w:lvlJc w:val="left"/>
      <w:pPr>
        <w:ind w:left="3084" w:hanging="548"/>
      </w:pPr>
      <w:rPr>
        <w:rFonts w:hint="default"/>
        <w:lang w:val="es-mx" w:eastAsia="es-mx" w:bidi="es-mx"/>
      </w:rPr>
    </w:lvl>
    <w:lvl w:ilvl="6">
      <w:start w:val="0"/>
      <w:numFmt w:val="bullet"/>
      <w:lvlText w:val="•"/>
      <w:lvlJc w:val="left"/>
      <w:pPr>
        <w:ind w:left="3417" w:hanging="548"/>
      </w:pPr>
      <w:rPr>
        <w:rFonts w:hint="default"/>
        <w:lang w:val="es-mx" w:eastAsia="es-mx" w:bidi="es-mx"/>
      </w:rPr>
    </w:lvl>
    <w:lvl w:ilvl="7">
      <w:start w:val="0"/>
      <w:numFmt w:val="bullet"/>
      <w:lvlText w:val="•"/>
      <w:lvlJc w:val="left"/>
      <w:pPr>
        <w:ind w:left="3749" w:hanging="548"/>
      </w:pPr>
      <w:rPr>
        <w:rFonts w:hint="default"/>
        <w:lang w:val="es-mx" w:eastAsia="es-mx" w:bidi="es-mx"/>
      </w:rPr>
    </w:lvl>
    <w:lvl w:ilvl="8">
      <w:start w:val="0"/>
      <w:numFmt w:val="bullet"/>
      <w:lvlText w:val="•"/>
      <w:lvlJc w:val="left"/>
      <w:pPr>
        <w:ind w:left="4081" w:hanging="548"/>
      </w:pPr>
      <w:rPr>
        <w:rFonts w:hint="default"/>
        <w:lang w:val="es-mx" w:eastAsia="es-mx" w:bidi="es-mx"/>
      </w:rPr>
    </w:lvl>
  </w:abstractNum>
  <w:abstractNum w:abstractNumId="49">
    <w:multiLevelType w:val="hybridMultilevel"/>
    <w:lvl w:ilvl="0">
      <w:start w:val="1"/>
      <w:numFmt w:val="upperRoman"/>
      <w:lvlText w:val="%1."/>
      <w:lvlJc w:val="left"/>
      <w:pPr>
        <w:ind w:left="1120" w:hanging="437"/>
        <w:jc w:val="left"/>
      </w:pPr>
      <w:rPr>
        <w:rFonts w:hint="default" w:ascii="Arial" w:hAnsi="Arial" w:eastAsia="Arial" w:cs="Arial"/>
        <w:b/>
        <w:bCs/>
        <w:w w:val="100"/>
        <w:sz w:val="24"/>
        <w:szCs w:val="24"/>
        <w:lang w:val="es-mx" w:eastAsia="es-mx" w:bidi="es-mx"/>
      </w:rPr>
    </w:lvl>
    <w:lvl w:ilvl="1">
      <w:start w:val="1"/>
      <w:numFmt w:val="lowerLetter"/>
      <w:lvlText w:val="%2)"/>
      <w:lvlJc w:val="left"/>
      <w:pPr>
        <w:ind w:left="1538" w:hanging="281"/>
        <w:jc w:val="left"/>
      </w:pPr>
      <w:rPr>
        <w:rFonts w:hint="default" w:ascii="Arial" w:hAnsi="Arial" w:eastAsia="Arial" w:cs="Arial"/>
        <w:spacing w:val="-3"/>
        <w:w w:val="99"/>
        <w:sz w:val="24"/>
        <w:szCs w:val="24"/>
        <w:lang w:val="es-mx" w:eastAsia="es-mx" w:bidi="es-mx"/>
      </w:rPr>
    </w:lvl>
    <w:lvl w:ilvl="2">
      <w:start w:val="0"/>
      <w:numFmt w:val="bullet"/>
      <w:lvlText w:val="•"/>
      <w:lvlJc w:val="left"/>
      <w:pPr>
        <w:ind w:left="2542" w:hanging="281"/>
      </w:pPr>
      <w:rPr>
        <w:rFonts w:hint="default"/>
        <w:lang w:val="es-mx" w:eastAsia="es-mx" w:bidi="es-mx"/>
      </w:rPr>
    </w:lvl>
    <w:lvl w:ilvl="3">
      <w:start w:val="0"/>
      <w:numFmt w:val="bullet"/>
      <w:lvlText w:val="•"/>
      <w:lvlJc w:val="left"/>
      <w:pPr>
        <w:ind w:left="3544" w:hanging="281"/>
      </w:pPr>
      <w:rPr>
        <w:rFonts w:hint="default"/>
        <w:lang w:val="es-mx" w:eastAsia="es-mx" w:bidi="es-mx"/>
      </w:rPr>
    </w:lvl>
    <w:lvl w:ilvl="4">
      <w:start w:val="0"/>
      <w:numFmt w:val="bullet"/>
      <w:lvlText w:val="•"/>
      <w:lvlJc w:val="left"/>
      <w:pPr>
        <w:ind w:left="4547" w:hanging="281"/>
      </w:pPr>
      <w:rPr>
        <w:rFonts w:hint="default"/>
        <w:lang w:val="es-mx" w:eastAsia="es-mx" w:bidi="es-mx"/>
      </w:rPr>
    </w:lvl>
    <w:lvl w:ilvl="5">
      <w:start w:val="0"/>
      <w:numFmt w:val="bullet"/>
      <w:lvlText w:val="•"/>
      <w:lvlJc w:val="left"/>
      <w:pPr>
        <w:ind w:left="5549" w:hanging="281"/>
      </w:pPr>
      <w:rPr>
        <w:rFonts w:hint="default"/>
        <w:lang w:val="es-mx" w:eastAsia="es-mx" w:bidi="es-mx"/>
      </w:rPr>
    </w:lvl>
    <w:lvl w:ilvl="6">
      <w:start w:val="0"/>
      <w:numFmt w:val="bullet"/>
      <w:lvlText w:val="•"/>
      <w:lvlJc w:val="left"/>
      <w:pPr>
        <w:ind w:left="6552" w:hanging="281"/>
      </w:pPr>
      <w:rPr>
        <w:rFonts w:hint="default"/>
        <w:lang w:val="es-mx" w:eastAsia="es-mx" w:bidi="es-mx"/>
      </w:rPr>
    </w:lvl>
    <w:lvl w:ilvl="7">
      <w:start w:val="0"/>
      <w:numFmt w:val="bullet"/>
      <w:lvlText w:val="•"/>
      <w:lvlJc w:val="left"/>
      <w:pPr>
        <w:ind w:left="7554" w:hanging="281"/>
      </w:pPr>
      <w:rPr>
        <w:rFonts w:hint="default"/>
        <w:lang w:val="es-mx" w:eastAsia="es-mx" w:bidi="es-mx"/>
      </w:rPr>
    </w:lvl>
    <w:lvl w:ilvl="8">
      <w:start w:val="0"/>
      <w:numFmt w:val="bullet"/>
      <w:lvlText w:val="•"/>
      <w:lvlJc w:val="left"/>
      <w:pPr>
        <w:ind w:left="8557" w:hanging="281"/>
      </w:pPr>
      <w:rPr>
        <w:rFonts w:hint="default"/>
        <w:lang w:val="es-mx" w:eastAsia="es-mx" w:bidi="es-mx"/>
      </w:rPr>
    </w:lvl>
  </w:abstractNum>
  <w:abstractNum w:abstractNumId="48">
    <w:multiLevelType w:val="hybridMultilevel"/>
    <w:lvl w:ilvl="0">
      <w:start w:val="1"/>
      <w:numFmt w:val="lowerLetter"/>
      <w:lvlText w:val="%1)"/>
      <w:lvlJc w:val="left"/>
      <w:pPr>
        <w:ind w:left="1672" w:hanging="281"/>
        <w:jc w:val="left"/>
      </w:pPr>
      <w:rPr>
        <w:rFonts w:hint="default" w:ascii="Arial" w:hAnsi="Arial" w:eastAsia="Arial" w:cs="Arial"/>
        <w:spacing w:val="-2"/>
        <w:w w:val="99"/>
        <w:sz w:val="24"/>
        <w:szCs w:val="24"/>
        <w:lang w:val="es-mx" w:eastAsia="es-mx" w:bidi="es-mx"/>
      </w:rPr>
    </w:lvl>
    <w:lvl w:ilvl="1">
      <w:start w:val="0"/>
      <w:numFmt w:val="bullet"/>
      <w:lvlText w:val="•"/>
      <w:lvlJc w:val="left"/>
      <w:pPr>
        <w:ind w:left="2568" w:hanging="281"/>
      </w:pPr>
      <w:rPr>
        <w:rFonts w:hint="default"/>
        <w:lang w:val="es-mx" w:eastAsia="es-mx" w:bidi="es-mx"/>
      </w:rPr>
    </w:lvl>
    <w:lvl w:ilvl="2">
      <w:start w:val="0"/>
      <w:numFmt w:val="bullet"/>
      <w:lvlText w:val="•"/>
      <w:lvlJc w:val="left"/>
      <w:pPr>
        <w:ind w:left="3456" w:hanging="281"/>
      </w:pPr>
      <w:rPr>
        <w:rFonts w:hint="default"/>
        <w:lang w:val="es-mx" w:eastAsia="es-mx" w:bidi="es-mx"/>
      </w:rPr>
    </w:lvl>
    <w:lvl w:ilvl="3">
      <w:start w:val="0"/>
      <w:numFmt w:val="bullet"/>
      <w:lvlText w:val="•"/>
      <w:lvlJc w:val="left"/>
      <w:pPr>
        <w:ind w:left="4344" w:hanging="281"/>
      </w:pPr>
      <w:rPr>
        <w:rFonts w:hint="default"/>
        <w:lang w:val="es-mx" w:eastAsia="es-mx" w:bidi="es-mx"/>
      </w:rPr>
    </w:lvl>
    <w:lvl w:ilvl="4">
      <w:start w:val="0"/>
      <w:numFmt w:val="bullet"/>
      <w:lvlText w:val="•"/>
      <w:lvlJc w:val="left"/>
      <w:pPr>
        <w:ind w:left="5232" w:hanging="281"/>
      </w:pPr>
      <w:rPr>
        <w:rFonts w:hint="default"/>
        <w:lang w:val="es-mx" w:eastAsia="es-mx" w:bidi="es-mx"/>
      </w:rPr>
    </w:lvl>
    <w:lvl w:ilvl="5">
      <w:start w:val="0"/>
      <w:numFmt w:val="bullet"/>
      <w:lvlText w:val="•"/>
      <w:lvlJc w:val="left"/>
      <w:pPr>
        <w:ind w:left="6121" w:hanging="281"/>
      </w:pPr>
      <w:rPr>
        <w:rFonts w:hint="default"/>
        <w:lang w:val="es-mx" w:eastAsia="es-mx" w:bidi="es-mx"/>
      </w:rPr>
    </w:lvl>
    <w:lvl w:ilvl="6">
      <w:start w:val="0"/>
      <w:numFmt w:val="bullet"/>
      <w:lvlText w:val="•"/>
      <w:lvlJc w:val="left"/>
      <w:pPr>
        <w:ind w:left="7009" w:hanging="281"/>
      </w:pPr>
      <w:rPr>
        <w:rFonts w:hint="default"/>
        <w:lang w:val="es-mx" w:eastAsia="es-mx" w:bidi="es-mx"/>
      </w:rPr>
    </w:lvl>
    <w:lvl w:ilvl="7">
      <w:start w:val="0"/>
      <w:numFmt w:val="bullet"/>
      <w:lvlText w:val="•"/>
      <w:lvlJc w:val="left"/>
      <w:pPr>
        <w:ind w:left="7897" w:hanging="281"/>
      </w:pPr>
      <w:rPr>
        <w:rFonts w:hint="default"/>
        <w:lang w:val="es-mx" w:eastAsia="es-mx" w:bidi="es-mx"/>
      </w:rPr>
    </w:lvl>
    <w:lvl w:ilvl="8">
      <w:start w:val="0"/>
      <w:numFmt w:val="bullet"/>
      <w:lvlText w:val="•"/>
      <w:lvlJc w:val="left"/>
      <w:pPr>
        <w:ind w:left="8785" w:hanging="281"/>
      </w:pPr>
      <w:rPr>
        <w:rFonts w:hint="default"/>
        <w:lang w:val="es-mx" w:eastAsia="es-mx" w:bidi="es-mx"/>
      </w:rPr>
    </w:lvl>
  </w:abstractNum>
  <w:abstractNum w:abstractNumId="47">
    <w:multiLevelType w:val="hybridMultilevel"/>
    <w:lvl w:ilvl="0">
      <w:start w:val="1"/>
      <w:numFmt w:val="decimal"/>
      <w:lvlText w:val="%1."/>
      <w:lvlJc w:val="left"/>
      <w:pPr>
        <w:ind w:left="1708" w:hanging="346"/>
        <w:jc w:val="left"/>
      </w:pPr>
      <w:rPr>
        <w:rFonts w:hint="default" w:ascii="Arial" w:hAnsi="Arial" w:eastAsia="Arial" w:cs="Arial"/>
        <w:spacing w:val="-4"/>
        <w:w w:val="99"/>
        <w:sz w:val="24"/>
        <w:szCs w:val="24"/>
        <w:lang w:val="es-mx" w:eastAsia="es-mx" w:bidi="es-mx"/>
      </w:rPr>
    </w:lvl>
    <w:lvl w:ilvl="1">
      <w:start w:val="0"/>
      <w:numFmt w:val="bullet"/>
      <w:lvlText w:val="•"/>
      <w:lvlJc w:val="left"/>
      <w:pPr>
        <w:ind w:left="2379" w:hanging="346"/>
      </w:pPr>
      <w:rPr>
        <w:rFonts w:hint="default"/>
        <w:lang w:val="es-mx" w:eastAsia="es-mx" w:bidi="es-mx"/>
      </w:rPr>
    </w:lvl>
    <w:lvl w:ilvl="2">
      <w:start w:val="0"/>
      <w:numFmt w:val="bullet"/>
      <w:lvlText w:val="•"/>
      <w:lvlJc w:val="left"/>
      <w:pPr>
        <w:ind w:left="3058" w:hanging="346"/>
      </w:pPr>
      <w:rPr>
        <w:rFonts w:hint="default"/>
        <w:lang w:val="es-mx" w:eastAsia="es-mx" w:bidi="es-mx"/>
      </w:rPr>
    </w:lvl>
    <w:lvl w:ilvl="3">
      <w:start w:val="0"/>
      <w:numFmt w:val="bullet"/>
      <w:lvlText w:val="•"/>
      <w:lvlJc w:val="left"/>
      <w:pPr>
        <w:ind w:left="3737" w:hanging="346"/>
      </w:pPr>
      <w:rPr>
        <w:rFonts w:hint="default"/>
        <w:lang w:val="es-mx" w:eastAsia="es-mx" w:bidi="es-mx"/>
      </w:rPr>
    </w:lvl>
    <w:lvl w:ilvl="4">
      <w:start w:val="0"/>
      <w:numFmt w:val="bullet"/>
      <w:lvlText w:val="•"/>
      <w:lvlJc w:val="left"/>
      <w:pPr>
        <w:ind w:left="4416" w:hanging="346"/>
      </w:pPr>
      <w:rPr>
        <w:rFonts w:hint="default"/>
        <w:lang w:val="es-mx" w:eastAsia="es-mx" w:bidi="es-mx"/>
      </w:rPr>
    </w:lvl>
    <w:lvl w:ilvl="5">
      <w:start w:val="0"/>
      <w:numFmt w:val="bullet"/>
      <w:lvlText w:val="•"/>
      <w:lvlJc w:val="left"/>
      <w:pPr>
        <w:ind w:left="5096" w:hanging="346"/>
      </w:pPr>
      <w:rPr>
        <w:rFonts w:hint="default"/>
        <w:lang w:val="es-mx" w:eastAsia="es-mx" w:bidi="es-mx"/>
      </w:rPr>
    </w:lvl>
    <w:lvl w:ilvl="6">
      <w:start w:val="0"/>
      <w:numFmt w:val="bullet"/>
      <w:lvlText w:val="•"/>
      <w:lvlJc w:val="left"/>
      <w:pPr>
        <w:ind w:left="5775" w:hanging="346"/>
      </w:pPr>
      <w:rPr>
        <w:rFonts w:hint="default"/>
        <w:lang w:val="es-mx" w:eastAsia="es-mx" w:bidi="es-mx"/>
      </w:rPr>
    </w:lvl>
    <w:lvl w:ilvl="7">
      <w:start w:val="0"/>
      <w:numFmt w:val="bullet"/>
      <w:lvlText w:val="•"/>
      <w:lvlJc w:val="left"/>
      <w:pPr>
        <w:ind w:left="6454" w:hanging="346"/>
      </w:pPr>
      <w:rPr>
        <w:rFonts w:hint="default"/>
        <w:lang w:val="es-mx" w:eastAsia="es-mx" w:bidi="es-mx"/>
      </w:rPr>
    </w:lvl>
    <w:lvl w:ilvl="8">
      <w:start w:val="0"/>
      <w:numFmt w:val="bullet"/>
      <w:lvlText w:val="•"/>
      <w:lvlJc w:val="left"/>
      <w:pPr>
        <w:ind w:left="7133" w:hanging="346"/>
      </w:pPr>
      <w:rPr>
        <w:rFonts w:hint="default"/>
        <w:lang w:val="es-mx" w:eastAsia="es-mx" w:bidi="es-mx"/>
      </w:rPr>
    </w:lvl>
  </w:abstractNum>
  <w:abstractNum w:abstractNumId="46">
    <w:multiLevelType w:val="hybridMultilevel"/>
    <w:lvl w:ilvl="0">
      <w:start w:val="1"/>
      <w:numFmt w:val="upperRoman"/>
      <w:lvlText w:val="%1."/>
      <w:lvlJc w:val="left"/>
      <w:pPr>
        <w:ind w:left="1574" w:hanging="852"/>
        <w:jc w:val="left"/>
      </w:pPr>
      <w:rPr>
        <w:rFonts w:hint="default"/>
        <w:w w:val="100"/>
        <w:lang w:val="es-mx" w:eastAsia="es-mx" w:bidi="es-mx"/>
      </w:rPr>
    </w:lvl>
    <w:lvl w:ilvl="1">
      <w:start w:val="1"/>
      <w:numFmt w:val="lowerLetter"/>
      <w:lvlText w:val="%2)"/>
      <w:lvlJc w:val="left"/>
      <w:pPr>
        <w:ind w:left="1854" w:hanging="281"/>
        <w:jc w:val="left"/>
      </w:pPr>
      <w:rPr>
        <w:rFonts w:hint="default" w:ascii="Arial" w:hAnsi="Arial" w:eastAsia="Arial" w:cs="Arial"/>
        <w:spacing w:val="-2"/>
        <w:w w:val="99"/>
        <w:sz w:val="24"/>
        <w:szCs w:val="24"/>
        <w:lang w:val="es-mx" w:eastAsia="es-mx" w:bidi="es-mx"/>
      </w:rPr>
    </w:lvl>
    <w:lvl w:ilvl="2">
      <w:start w:val="0"/>
      <w:numFmt w:val="bullet"/>
      <w:lvlText w:val="•"/>
      <w:lvlJc w:val="left"/>
      <w:pPr>
        <w:ind w:left="2587" w:hanging="281"/>
      </w:pPr>
      <w:rPr>
        <w:rFonts w:hint="default"/>
        <w:lang w:val="es-mx" w:eastAsia="es-mx" w:bidi="es-mx"/>
      </w:rPr>
    </w:lvl>
    <w:lvl w:ilvl="3">
      <w:start w:val="0"/>
      <w:numFmt w:val="bullet"/>
      <w:lvlText w:val="•"/>
      <w:lvlJc w:val="left"/>
      <w:pPr>
        <w:ind w:left="3314" w:hanging="281"/>
      </w:pPr>
      <w:rPr>
        <w:rFonts w:hint="default"/>
        <w:lang w:val="es-mx" w:eastAsia="es-mx" w:bidi="es-mx"/>
      </w:rPr>
    </w:lvl>
    <w:lvl w:ilvl="4">
      <w:start w:val="0"/>
      <w:numFmt w:val="bullet"/>
      <w:lvlText w:val="•"/>
      <w:lvlJc w:val="left"/>
      <w:pPr>
        <w:ind w:left="4041" w:hanging="281"/>
      </w:pPr>
      <w:rPr>
        <w:rFonts w:hint="default"/>
        <w:lang w:val="es-mx" w:eastAsia="es-mx" w:bidi="es-mx"/>
      </w:rPr>
    </w:lvl>
    <w:lvl w:ilvl="5">
      <w:start w:val="0"/>
      <w:numFmt w:val="bullet"/>
      <w:lvlText w:val="•"/>
      <w:lvlJc w:val="left"/>
      <w:pPr>
        <w:ind w:left="4768" w:hanging="281"/>
      </w:pPr>
      <w:rPr>
        <w:rFonts w:hint="default"/>
        <w:lang w:val="es-mx" w:eastAsia="es-mx" w:bidi="es-mx"/>
      </w:rPr>
    </w:lvl>
    <w:lvl w:ilvl="6">
      <w:start w:val="0"/>
      <w:numFmt w:val="bullet"/>
      <w:lvlText w:val="•"/>
      <w:lvlJc w:val="left"/>
      <w:pPr>
        <w:ind w:left="5496" w:hanging="281"/>
      </w:pPr>
      <w:rPr>
        <w:rFonts w:hint="default"/>
        <w:lang w:val="es-mx" w:eastAsia="es-mx" w:bidi="es-mx"/>
      </w:rPr>
    </w:lvl>
    <w:lvl w:ilvl="7">
      <w:start w:val="0"/>
      <w:numFmt w:val="bullet"/>
      <w:lvlText w:val="•"/>
      <w:lvlJc w:val="left"/>
      <w:pPr>
        <w:ind w:left="6223" w:hanging="281"/>
      </w:pPr>
      <w:rPr>
        <w:rFonts w:hint="default"/>
        <w:lang w:val="es-mx" w:eastAsia="es-mx" w:bidi="es-mx"/>
      </w:rPr>
    </w:lvl>
    <w:lvl w:ilvl="8">
      <w:start w:val="0"/>
      <w:numFmt w:val="bullet"/>
      <w:lvlText w:val="•"/>
      <w:lvlJc w:val="left"/>
      <w:pPr>
        <w:ind w:left="6950" w:hanging="281"/>
      </w:pPr>
      <w:rPr>
        <w:rFonts w:hint="default"/>
        <w:lang w:val="es-mx" w:eastAsia="es-mx" w:bidi="es-mx"/>
      </w:rPr>
    </w:lvl>
  </w:abstractNum>
  <w:abstractNum w:abstractNumId="45">
    <w:multiLevelType w:val="hybridMultilevel"/>
    <w:lvl w:ilvl="0">
      <w:start w:val="1"/>
      <w:numFmt w:val="decimal"/>
      <w:lvlText w:val="%1)"/>
      <w:lvlJc w:val="left"/>
      <w:pPr>
        <w:ind w:left="1151" w:hanging="392"/>
        <w:jc w:val="left"/>
      </w:pPr>
      <w:rPr>
        <w:rFonts w:hint="default" w:ascii="Arial" w:hAnsi="Arial" w:eastAsia="Arial" w:cs="Arial"/>
        <w:w w:val="99"/>
        <w:sz w:val="24"/>
        <w:szCs w:val="24"/>
        <w:lang w:val="es-mx" w:eastAsia="es-mx" w:bidi="es-mx"/>
      </w:rPr>
    </w:lvl>
    <w:lvl w:ilvl="1">
      <w:start w:val="0"/>
      <w:numFmt w:val="bullet"/>
      <w:lvlText w:val="•"/>
      <w:lvlJc w:val="left"/>
      <w:pPr>
        <w:ind w:left="2100" w:hanging="392"/>
      </w:pPr>
      <w:rPr>
        <w:rFonts w:hint="default"/>
        <w:lang w:val="es-mx" w:eastAsia="es-mx" w:bidi="es-mx"/>
      </w:rPr>
    </w:lvl>
    <w:lvl w:ilvl="2">
      <w:start w:val="0"/>
      <w:numFmt w:val="bullet"/>
      <w:lvlText w:val="•"/>
      <w:lvlJc w:val="left"/>
      <w:pPr>
        <w:ind w:left="3040" w:hanging="392"/>
      </w:pPr>
      <w:rPr>
        <w:rFonts w:hint="default"/>
        <w:lang w:val="es-mx" w:eastAsia="es-mx" w:bidi="es-mx"/>
      </w:rPr>
    </w:lvl>
    <w:lvl w:ilvl="3">
      <w:start w:val="0"/>
      <w:numFmt w:val="bullet"/>
      <w:lvlText w:val="•"/>
      <w:lvlJc w:val="left"/>
      <w:pPr>
        <w:ind w:left="3980" w:hanging="392"/>
      </w:pPr>
      <w:rPr>
        <w:rFonts w:hint="default"/>
        <w:lang w:val="es-mx" w:eastAsia="es-mx" w:bidi="es-mx"/>
      </w:rPr>
    </w:lvl>
    <w:lvl w:ilvl="4">
      <w:start w:val="0"/>
      <w:numFmt w:val="bullet"/>
      <w:lvlText w:val="•"/>
      <w:lvlJc w:val="left"/>
      <w:pPr>
        <w:ind w:left="4920" w:hanging="392"/>
      </w:pPr>
      <w:rPr>
        <w:rFonts w:hint="default"/>
        <w:lang w:val="es-mx" w:eastAsia="es-mx" w:bidi="es-mx"/>
      </w:rPr>
    </w:lvl>
    <w:lvl w:ilvl="5">
      <w:start w:val="0"/>
      <w:numFmt w:val="bullet"/>
      <w:lvlText w:val="•"/>
      <w:lvlJc w:val="left"/>
      <w:pPr>
        <w:ind w:left="5861" w:hanging="392"/>
      </w:pPr>
      <w:rPr>
        <w:rFonts w:hint="default"/>
        <w:lang w:val="es-mx" w:eastAsia="es-mx" w:bidi="es-mx"/>
      </w:rPr>
    </w:lvl>
    <w:lvl w:ilvl="6">
      <w:start w:val="0"/>
      <w:numFmt w:val="bullet"/>
      <w:lvlText w:val="•"/>
      <w:lvlJc w:val="left"/>
      <w:pPr>
        <w:ind w:left="6801" w:hanging="392"/>
      </w:pPr>
      <w:rPr>
        <w:rFonts w:hint="default"/>
        <w:lang w:val="es-mx" w:eastAsia="es-mx" w:bidi="es-mx"/>
      </w:rPr>
    </w:lvl>
    <w:lvl w:ilvl="7">
      <w:start w:val="0"/>
      <w:numFmt w:val="bullet"/>
      <w:lvlText w:val="•"/>
      <w:lvlJc w:val="left"/>
      <w:pPr>
        <w:ind w:left="7741" w:hanging="392"/>
      </w:pPr>
      <w:rPr>
        <w:rFonts w:hint="default"/>
        <w:lang w:val="es-mx" w:eastAsia="es-mx" w:bidi="es-mx"/>
      </w:rPr>
    </w:lvl>
    <w:lvl w:ilvl="8">
      <w:start w:val="0"/>
      <w:numFmt w:val="bullet"/>
      <w:lvlText w:val="•"/>
      <w:lvlJc w:val="left"/>
      <w:pPr>
        <w:ind w:left="8681" w:hanging="392"/>
      </w:pPr>
      <w:rPr>
        <w:rFonts w:hint="default"/>
        <w:lang w:val="es-mx" w:eastAsia="es-mx" w:bidi="es-mx"/>
      </w:rPr>
    </w:lvl>
  </w:abstractNum>
  <w:abstractNum w:abstractNumId="44">
    <w:multiLevelType w:val="hybridMultilevel"/>
    <w:lvl w:ilvl="0">
      <w:start w:val="1"/>
      <w:numFmt w:val="upperRoman"/>
      <w:lvlText w:val="%1."/>
      <w:lvlJc w:val="left"/>
      <w:pPr>
        <w:ind w:left="966" w:hanging="579"/>
        <w:jc w:val="left"/>
      </w:pPr>
      <w:rPr>
        <w:rFonts w:hint="default" w:ascii="Arial" w:hAnsi="Arial" w:eastAsia="Arial" w:cs="Arial"/>
        <w:b/>
        <w:bCs/>
        <w:w w:val="100"/>
        <w:sz w:val="24"/>
        <w:szCs w:val="24"/>
        <w:lang w:val="es-mx" w:eastAsia="es-mx" w:bidi="es-mx"/>
      </w:rPr>
    </w:lvl>
    <w:lvl w:ilvl="1">
      <w:start w:val="1"/>
      <w:numFmt w:val="lowerLetter"/>
      <w:lvlText w:val="%2."/>
      <w:lvlJc w:val="left"/>
      <w:pPr>
        <w:ind w:left="1252" w:hanging="569"/>
        <w:jc w:val="left"/>
      </w:pPr>
      <w:rPr>
        <w:rFonts w:hint="default" w:ascii="Arial" w:hAnsi="Arial" w:eastAsia="Arial" w:cs="Arial"/>
        <w:spacing w:val="-3"/>
        <w:w w:val="99"/>
        <w:sz w:val="24"/>
        <w:szCs w:val="24"/>
        <w:lang w:val="es-mx" w:eastAsia="es-mx" w:bidi="es-mx"/>
      </w:rPr>
    </w:lvl>
    <w:lvl w:ilvl="2">
      <w:start w:val="0"/>
      <w:numFmt w:val="bullet"/>
      <w:lvlText w:val="•"/>
      <w:lvlJc w:val="left"/>
      <w:pPr>
        <w:ind w:left="2293" w:hanging="569"/>
      </w:pPr>
      <w:rPr>
        <w:rFonts w:hint="default"/>
        <w:lang w:val="es-mx" w:eastAsia="es-mx" w:bidi="es-mx"/>
      </w:rPr>
    </w:lvl>
    <w:lvl w:ilvl="3">
      <w:start w:val="0"/>
      <w:numFmt w:val="bullet"/>
      <w:lvlText w:val="•"/>
      <w:lvlJc w:val="left"/>
      <w:pPr>
        <w:ind w:left="3327" w:hanging="569"/>
      </w:pPr>
      <w:rPr>
        <w:rFonts w:hint="default"/>
        <w:lang w:val="es-mx" w:eastAsia="es-mx" w:bidi="es-mx"/>
      </w:rPr>
    </w:lvl>
    <w:lvl w:ilvl="4">
      <w:start w:val="0"/>
      <w:numFmt w:val="bullet"/>
      <w:lvlText w:val="•"/>
      <w:lvlJc w:val="left"/>
      <w:pPr>
        <w:ind w:left="4360" w:hanging="569"/>
      </w:pPr>
      <w:rPr>
        <w:rFonts w:hint="default"/>
        <w:lang w:val="es-mx" w:eastAsia="es-mx" w:bidi="es-mx"/>
      </w:rPr>
    </w:lvl>
    <w:lvl w:ilvl="5">
      <w:start w:val="0"/>
      <w:numFmt w:val="bullet"/>
      <w:lvlText w:val="•"/>
      <w:lvlJc w:val="left"/>
      <w:pPr>
        <w:ind w:left="5394" w:hanging="569"/>
      </w:pPr>
      <w:rPr>
        <w:rFonts w:hint="default"/>
        <w:lang w:val="es-mx" w:eastAsia="es-mx" w:bidi="es-mx"/>
      </w:rPr>
    </w:lvl>
    <w:lvl w:ilvl="6">
      <w:start w:val="0"/>
      <w:numFmt w:val="bullet"/>
      <w:lvlText w:val="•"/>
      <w:lvlJc w:val="left"/>
      <w:pPr>
        <w:ind w:left="6428" w:hanging="569"/>
      </w:pPr>
      <w:rPr>
        <w:rFonts w:hint="default"/>
        <w:lang w:val="es-mx" w:eastAsia="es-mx" w:bidi="es-mx"/>
      </w:rPr>
    </w:lvl>
    <w:lvl w:ilvl="7">
      <w:start w:val="0"/>
      <w:numFmt w:val="bullet"/>
      <w:lvlText w:val="•"/>
      <w:lvlJc w:val="left"/>
      <w:pPr>
        <w:ind w:left="7461" w:hanging="569"/>
      </w:pPr>
      <w:rPr>
        <w:rFonts w:hint="default"/>
        <w:lang w:val="es-mx" w:eastAsia="es-mx" w:bidi="es-mx"/>
      </w:rPr>
    </w:lvl>
    <w:lvl w:ilvl="8">
      <w:start w:val="0"/>
      <w:numFmt w:val="bullet"/>
      <w:lvlText w:val="•"/>
      <w:lvlJc w:val="left"/>
      <w:pPr>
        <w:ind w:left="8495" w:hanging="569"/>
      </w:pPr>
      <w:rPr>
        <w:rFonts w:hint="default"/>
        <w:lang w:val="es-mx" w:eastAsia="es-mx" w:bidi="es-mx"/>
      </w:rPr>
    </w:lvl>
  </w:abstractNum>
  <w:abstractNum w:abstractNumId="43">
    <w:multiLevelType w:val="hybridMultilevel"/>
    <w:lvl w:ilvl="0">
      <w:start w:val="1"/>
      <w:numFmt w:val="lowerLetter"/>
      <w:lvlText w:val="%1)"/>
      <w:lvlJc w:val="left"/>
      <w:pPr>
        <w:ind w:left="1492" w:hanging="305"/>
        <w:jc w:val="left"/>
      </w:pPr>
      <w:rPr>
        <w:rFonts w:hint="default" w:ascii="Arial" w:hAnsi="Arial" w:eastAsia="Arial" w:cs="Arial"/>
        <w:w w:val="99"/>
        <w:sz w:val="24"/>
        <w:szCs w:val="24"/>
        <w:lang w:val="es-mx" w:eastAsia="es-mx" w:bidi="es-mx"/>
      </w:rPr>
    </w:lvl>
    <w:lvl w:ilvl="1">
      <w:start w:val="0"/>
      <w:numFmt w:val="bullet"/>
      <w:lvlText w:val="•"/>
      <w:lvlJc w:val="left"/>
      <w:pPr>
        <w:ind w:left="2135" w:hanging="305"/>
      </w:pPr>
      <w:rPr>
        <w:rFonts w:hint="default"/>
        <w:lang w:val="es-mx" w:eastAsia="es-mx" w:bidi="es-mx"/>
      </w:rPr>
    </w:lvl>
    <w:lvl w:ilvl="2">
      <w:start w:val="0"/>
      <w:numFmt w:val="bullet"/>
      <w:lvlText w:val="•"/>
      <w:lvlJc w:val="left"/>
      <w:pPr>
        <w:ind w:left="2770" w:hanging="305"/>
      </w:pPr>
      <w:rPr>
        <w:rFonts w:hint="default"/>
        <w:lang w:val="es-mx" w:eastAsia="es-mx" w:bidi="es-mx"/>
      </w:rPr>
    </w:lvl>
    <w:lvl w:ilvl="3">
      <w:start w:val="0"/>
      <w:numFmt w:val="bullet"/>
      <w:lvlText w:val="•"/>
      <w:lvlJc w:val="left"/>
      <w:pPr>
        <w:ind w:left="3406" w:hanging="305"/>
      </w:pPr>
      <w:rPr>
        <w:rFonts w:hint="default"/>
        <w:lang w:val="es-mx" w:eastAsia="es-mx" w:bidi="es-mx"/>
      </w:rPr>
    </w:lvl>
    <w:lvl w:ilvl="4">
      <w:start w:val="0"/>
      <w:numFmt w:val="bullet"/>
      <w:lvlText w:val="•"/>
      <w:lvlJc w:val="left"/>
      <w:pPr>
        <w:ind w:left="4041" w:hanging="305"/>
      </w:pPr>
      <w:rPr>
        <w:rFonts w:hint="default"/>
        <w:lang w:val="es-mx" w:eastAsia="es-mx" w:bidi="es-mx"/>
      </w:rPr>
    </w:lvl>
    <w:lvl w:ilvl="5">
      <w:start w:val="0"/>
      <w:numFmt w:val="bullet"/>
      <w:lvlText w:val="•"/>
      <w:lvlJc w:val="left"/>
      <w:pPr>
        <w:ind w:left="4676" w:hanging="305"/>
      </w:pPr>
      <w:rPr>
        <w:rFonts w:hint="default"/>
        <w:lang w:val="es-mx" w:eastAsia="es-mx" w:bidi="es-mx"/>
      </w:rPr>
    </w:lvl>
    <w:lvl w:ilvl="6">
      <w:start w:val="0"/>
      <w:numFmt w:val="bullet"/>
      <w:lvlText w:val="•"/>
      <w:lvlJc w:val="left"/>
      <w:pPr>
        <w:ind w:left="5312" w:hanging="305"/>
      </w:pPr>
      <w:rPr>
        <w:rFonts w:hint="default"/>
        <w:lang w:val="es-mx" w:eastAsia="es-mx" w:bidi="es-mx"/>
      </w:rPr>
    </w:lvl>
    <w:lvl w:ilvl="7">
      <w:start w:val="0"/>
      <w:numFmt w:val="bullet"/>
      <w:lvlText w:val="•"/>
      <w:lvlJc w:val="left"/>
      <w:pPr>
        <w:ind w:left="5947" w:hanging="305"/>
      </w:pPr>
      <w:rPr>
        <w:rFonts w:hint="default"/>
        <w:lang w:val="es-mx" w:eastAsia="es-mx" w:bidi="es-mx"/>
      </w:rPr>
    </w:lvl>
    <w:lvl w:ilvl="8">
      <w:start w:val="0"/>
      <w:numFmt w:val="bullet"/>
      <w:lvlText w:val="•"/>
      <w:lvlJc w:val="left"/>
      <w:pPr>
        <w:ind w:left="6582" w:hanging="305"/>
      </w:pPr>
      <w:rPr>
        <w:rFonts w:hint="default"/>
        <w:lang w:val="es-mx" w:eastAsia="es-mx" w:bidi="es-mx"/>
      </w:rPr>
    </w:lvl>
  </w:abstractNum>
  <w:abstractNum w:abstractNumId="42">
    <w:multiLevelType w:val="hybridMultilevel"/>
    <w:lvl w:ilvl="0">
      <w:start w:val="8"/>
      <w:numFmt w:val="lowerLetter"/>
      <w:lvlText w:val="%1)"/>
      <w:lvlJc w:val="left"/>
      <w:pPr>
        <w:ind w:left="1197" w:hanging="281"/>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136" w:hanging="281"/>
      </w:pPr>
      <w:rPr>
        <w:rFonts w:hint="default"/>
        <w:lang w:val="es-mx" w:eastAsia="es-mx" w:bidi="es-mx"/>
      </w:rPr>
    </w:lvl>
    <w:lvl w:ilvl="2">
      <w:start w:val="0"/>
      <w:numFmt w:val="bullet"/>
      <w:lvlText w:val="•"/>
      <w:lvlJc w:val="left"/>
      <w:pPr>
        <w:ind w:left="3072" w:hanging="281"/>
      </w:pPr>
      <w:rPr>
        <w:rFonts w:hint="default"/>
        <w:lang w:val="es-mx" w:eastAsia="es-mx" w:bidi="es-mx"/>
      </w:rPr>
    </w:lvl>
    <w:lvl w:ilvl="3">
      <w:start w:val="0"/>
      <w:numFmt w:val="bullet"/>
      <w:lvlText w:val="•"/>
      <w:lvlJc w:val="left"/>
      <w:pPr>
        <w:ind w:left="4008" w:hanging="281"/>
      </w:pPr>
      <w:rPr>
        <w:rFonts w:hint="default"/>
        <w:lang w:val="es-mx" w:eastAsia="es-mx" w:bidi="es-mx"/>
      </w:rPr>
    </w:lvl>
    <w:lvl w:ilvl="4">
      <w:start w:val="0"/>
      <w:numFmt w:val="bullet"/>
      <w:lvlText w:val="•"/>
      <w:lvlJc w:val="left"/>
      <w:pPr>
        <w:ind w:left="4944" w:hanging="281"/>
      </w:pPr>
      <w:rPr>
        <w:rFonts w:hint="default"/>
        <w:lang w:val="es-mx" w:eastAsia="es-mx" w:bidi="es-mx"/>
      </w:rPr>
    </w:lvl>
    <w:lvl w:ilvl="5">
      <w:start w:val="0"/>
      <w:numFmt w:val="bullet"/>
      <w:lvlText w:val="•"/>
      <w:lvlJc w:val="left"/>
      <w:pPr>
        <w:ind w:left="5881" w:hanging="281"/>
      </w:pPr>
      <w:rPr>
        <w:rFonts w:hint="default"/>
        <w:lang w:val="es-mx" w:eastAsia="es-mx" w:bidi="es-mx"/>
      </w:rPr>
    </w:lvl>
    <w:lvl w:ilvl="6">
      <w:start w:val="0"/>
      <w:numFmt w:val="bullet"/>
      <w:lvlText w:val="•"/>
      <w:lvlJc w:val="left"/>
      <w:pPr>
        <w:ind w:left="6817" w:hanging="281"/>
      </w:pPr>
      <w:rPr>
        <w:rFonts w:hint="default"/>
        <w:lang w:val="es-mx" w:eastAsia="es-mx" w:bidi="es-mx"/>
      </w:rPr>
    </w:lvl>
    <w:lvl w:ilvl="7">
      <w:start w:val="0"/>
      <w:numFmt w:val="bullet"/>
      <w:lvlText w:val="•"/>
      <w:lvlJc w:val="left"/>
      <w:pPr>
        <w:ind w:left="7753" w:hanging="281"/>
      </w:pPr>
      <w:rPr>
        <w:rFonts w:hint="default"/>
        <w:lang w:val="es-mx" w:eastAsia="es-mx" w:bidi="es-mx"/>
      </w:rPr>
    </w:lvl>
    <w:lvl w:ilvl="8">
      <w:start w:val="0"/>
      <w:numFmt w:val="bullet"/>
      <w:lvlText w:val="•"/>
      <w:lvlJc w:val="left"/>
      <w:pPr>
        <w:ind w:left="8689" w:hanging="281"/>
      </w:pPr>
      <w:rPr>
        <w:rFonts w:hint="default"/>
        <w:lang w:val="es-mx" w:eastAsia="es-mx" w:bidi="es-mx"/>
      </w:rPr>
    </w:lvl>
  </w:abstractNum>
  <w:abstractNum w:abstractNumId="41">
    <w:multiLevelType w:val="hybridMultilevel"/>
    <w:lvl w:ilvl="0">
      <w:start w:val="1"/>
      <w:numFmt w:val="lowerLetter"/>
      <w:lvlText w:val="%1)"/>
      <w:lvlJc w:val="left"/>
      <w:pPr>
        <w:ind w:left="1197" w:hanging="281"/>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136" w:hanging="281"/>
      </w:pPr>
      <w:rPr>
        <w:rFonts w:hint="default"/>
        <w:lang w:val="es-mx" w:eastAsia="es-mx" w:bidi="es-mx"/>
      </w:rPr>
    </w:lvl>
    <w:lvl w:ilvl="2">
      <w:start w:val="0"/>
      <w:numFmt w:val="bullet"/>
      <w:lvlText w:val="•"/>
      <w:lvlJc w:val="left"/>
      <w:pPr>
        <w:ind w:left="3072" w:hanging="281"/>
      </w:pPr>
      <w:rPr>
        <w:rFonts w:hint="default"/>
        <w:lang w:val="es-mx" w:eastAsia="es-mx" w:bidi="es-mx"/>
      </w:rPr>
    </w:lvl>
    <w:lvl w:ilvl="3">
      <w:start w:val="0"/>
      <w:numFmt w:val="bullet"/>
      <w:lvlText w:val="•"/>
      <w:lvlJc w:val="left"/>
      <w:pPr>
        <w:ind w:left="4008" w:hanging="281"/>
      </w:pPr>
      <w:rPr>
        <w:rFonts w:hint="default"/>
        <w:lang w:val="es-mx" w:eastAsia="es-mx" w:bidi="es-mx"/>
      </w:rPr>
    </w:lvl>
    <w:lvl w:ilvl="4">
      <w:start w:val="0"/>
      <w:numFmt w:val="bullet"/>
      <w:lvlText w:val="•"/>
      <w:lvlJc w:val="left"/>
      <w:pPr>
        <w:ind w:left="4944" w:hanging="281"/>
      </w:pPr>
      <w:rPr>
        <w:rFonts w:hint="default"/>
        <w:lang w:val="es-mx" w:eastAsia="es-mx" w:bidi="es-mx"/>
      </w:rPr>
    </w:lvl>
    <w:lvl w:ilvl="5">
      <w:start w:val="0"/>
      <w:numFmt w:val="bullet"/>
      <w:lvlText w:val="•"/>
      <w:lvlJc w:val="left"/>
      <w:pPr>
        <w:ind w:left="5881" w:hanging="281"/>
      </w:pPr>
      <w:rPr>
        <w:rFonts w:hint="default"/>
        <w:lang w:val="es-mx" w:eastAsia="es-mx" w:bidi="es-mx"/>
      </w:rPr>
    </w:lvl>
    <w:lvl w:ilvl="6">
      <w:start w:val="0"/>
      <w:numFmt w:val="bullet"/>
      <w:lvlText w:val="•"/>
      <w:lvlJc w:val="left"/>
      <w:pPr>
        <w:ind w:left="6817" w:hanging="281"/>
      </w:pPr>
      <w:rPr>
        <w:rFonts w:hint="default"/>
        <w:lang w:val="es-mx" w:eastAsia="es-mx" w:bidi="es-mx"/>
      </w:rPr>
    </w:lvl>
    <w:lvl w:ilvl="7">
      <w:start w:val="0"/>
      <w:numFmt w:val="bullet"/>
      <w:lvlText w:val="•"/>
      <w:lvlJc w:val="left"/>
      <w:pPr>
        <w:ind w:left="7753" w:hanging="281"/>
      </w:pPr>
      <w:rPr>
        <w:rFonts w:hint="default"/>
        <w:lang w:val="es-mx" w:eastAsia="es-mx" w:bidi="es-mx"/>
      </w:rPr>
    </w:lvl>
    <w:lvl w:ilvl="8">
      <w:start w:val="0"/>
      <w:numFmt w:val="bullet"/>
      <w:lvlText w:val="•"/>
      <w:lvlJc w:val="left"/>
      <w:pPr>
        <w:ind w:left="8689" w:hanging="281"/>
      </w:pPr>
      <w:rPr>
        <w:rFonts w:hint="default"/>
        <w:lang w:val="es-mx" w:eastAsia="es-mx" w:bidi="es-mx"/>
      </w:rPr>
    </w:lvl>
  </w:abstractNum>
  <w:abstractNum w:abstractNumId="40">
    <w:multiLevelType w:val="hybridMultilevel"/>
    <w:lvl w:ilvl="0">
      <w:start w:val="1"/>
      <w:numFmt w:val="lowerLetter"/>
      <w:lvlText w:val="%1)"/>
      <w:lvlJc w:val="left"/>
      <w:pPr>
        <w:ind w:left="1168" w:hanging="281"/>
        <w:jc w:val="right"/>
      </w:pPr>
      <w:rPr>
        <w:rFonts w:hint="default" w:ascii="Arial" w:hAnsi="Arial" w:eastAsia="Arial" w:cs="Arial"/>
        <w:spacing w:val="-2"/>
        <w:w w:val="100"/>
        <w:sz w:val="24"/>
        <w:szCs w:val="24"/>
        <w:lang w:val="es-mx" w:eastAsia="es-mx" w:bidi="es-mx"/>
      </w:rPr>
    </w:lvl>
    <w:lvl w:ilvl="1">
      <w:start w:val="1"/>
      <w:numFmt w:val="decimal"/>
      <w:lvlText w:val="%2)"/>
      <w:lvlJc w:val="left"/>
      <w:pPr>
        <w:ind w:left="1739" w:hanging="348"/>
        <w:jc w:val="left"/>
      </w:pPr>
      <w:rPr>
        <w:rFonts w:hint="default" w:ascii="Arial" w:hAnsi="Arial" w:eastAsia="Arial" w:cs="Arial"/>
        <w:spacing w:val="-3"/>
        <w:w w:val="99"/>
        <w:sz w:val="24"/>
        <w:szCs w:val="24"/>
        <w:lang w:val="es-mx" w:eastAsia="es-mx" w:bidi="es-mx"/>
      </w:rPr>
    </w:lvl>
    <w:lvl w:ilvl="2">
      <w:start w:val="1"/>
      <w:numFmt w:val="lowerLetter"/>
      <w:lvlText w:val="%3)"/>
      <w:lvlJc w:val="left"/>
      <w:pPr>
        <w:ind w:left="1427" w:hanging="281"/>
        <w:jc w:val="left"/>
      </w:pPr>
      <w:rPr>
        <w:rFonts w:hint="default" w:ascii="Arial" w:hAnsi="Arial" w:eastAsia="Arial" w:cs="Arial"/>
        <w:spacing w:val="-2"/>
        <w:w w:val="99"/>
        <w:sz w:val="24"/>
        <w:szCs w:val="24"/>
        <w:lang w:val="es-mx" w:eastAsia="es-mx" w:bidi="es-mx"/>
      </w:rPr>
    </w:lvl>
    <w:lvl w:ilvl="3">
      <w:start w:val="0"/>
      <w:numFmt w:val="bullet"/>
      <w:lvlText w:val="•"/>
      <w:lvlJc w:val="left"/>
      <w:pPr>
        <w:ind w:left="1740" w:hanging="281"/>
      </w:pPr>
      <w:rPr>
        <w:rFonts w:hint="default"/>
        <w:lang w:val="es-mx" w:eastAsia="es-mx" w:bidi="es-mx"/>
      </w:rPr>
    </w:lvl>
    <w:lvl w:ilvl="4">
      <w:start w:val="0"/>
      <w:numFmt w:val="bullet"/>
      <w:lvlText w:val="•"/>
      <w:lvlJc w:val="left"/>
      <w:pPr>
        <w:ind w:left="3000" w:hanging="281"/>
      </w:pPr>
      <w:rPr>
        <w:rFonts w:hint="default"/>
        <w:lang w:val="es-mx" w:eastAsia="es-mx" w:bidi="es-mx"/>
      </w:rPr>
    </w:lvl>
    <w:lvl w:ilvl="5">
      <w:start w:val="0"/>
      <w:numFmt w:val="bullet"/>
      <w:lvlText w:val="•"/>
      <w:lvlJc w:val="left"/>
      <w:pPr>
        <w:ind w:left="4260" w:hanging="281"/>
      </w:pPr>
      <w:rPr>
        <w:rFonts w:hint="default"/>
        <w:lang w:val="es-mx" w:eastAsia="es-mx" w:bidi="es-mx"/>
      </w:rPr>
    </w:lvl>
    <w:lvl w:ilvl="6">
      <w:start w:val="0"/>
      <w:numFmt w:val="bullet"/>
      <w:lvlText w:val="•"/>
      <w:lvlJc w:val="left"/>
      <w:pPr>
        <w:ind w:left="5521" w:hanging="281"/>
      </w:pPr>
      <w:rPr>
        <w:rFonts w:hint="default"/>
        <w:lang w:val="es-mx" w:eastAsia="es-mx" w:bidi="es-mx"/>
      </w:rPr>
    </w:lvl>
    <w:lvl w:ilvl="7">
      <w:start w:val="0"/>
      <w:numFmt w:val="bullet"/>
      <w:lvlText w:val="•"/>
      <w:lvlJc w:val="left"/>
      <w:pPr>
        <w:ind w:left="6781" w:hanging="281"/>
      </w:pPr>
      <w:rPr>
        <w:rFonts w:hint="default"/>
        <w:lang w:val="es-mx" w:eastAsia="es-mx" w:bidi="es-mx"/>
      </w:rPr>
    </w:lvl>
    <w:lvl w:ilvl="8">
      <w:start w:val="0"/>
      <w:numFmt w:val="bullet"/>
      <w:lvlText w:val="•"/>
      <w:lvlJc w:val="left"/>
      <w:pPr>
        <w:ind w:left="8041" w:hanging="281"/>
      </w:pPr>
      <w:rPr>
        <w:rFonts w:hint="default"/>
        <w:lang w:val="es-mx" w:eastAsia="es-mx" w:bidi="es-mx"/>
      </w:rPr>
    </w:lvl>
  </w:abstractNum>
  <w:abstractNum w:abstractNumId="39">
    <w:multiLevelType w:val="hybridMultilevel"/>
    <w:lvl w:ilvl="0">
      <w:start w:val="11"/>
      <w:numFmt w:val="decimal"/>
      <w:lvlText w:val="%1."/>
      <w:lvlJc w:val="left"/>
      <w:pPr>
        <w:ind w:left="2104" w:hanging="543"/>
        <w:jc w:val="left"/>
      </w:pPr>
      <w:rPr>
        <w:rFonts w:hint="default" w:ascii="Arial" w:hAnsi="Arial" w:eastAsia="Arial" w:cs="Arial"/>
        <w:w w:val="99"/>
        <w:sz w:val="24"/>
        <w:szCs w:val="24"/>
        <w:lang w:val="es-mx" w:eastAsia="es-mx" w:bidi="es-mx"/>
      </w:rPr>
    </w:lvl>
    <w:lvl w:ilvl="1">
      <w:start w:val="0"/>
      <w:numFmt w:val="bullet"/>
      <w:lvlText w:val="•"/>
      <w:lvlJc w:val="left"/>
      <w:pPr>
        <w:ind w:left="2946" w:hanging="543"/>
      </w:pPr>
      <w:rPr>
        <w:rFonts w:hint="default"/>
        <w:lang w:val="es-mx" w:eastAsia="es-mx" w:bidi="es-mx"/>
      </w:rPr>
    </w:lvl>
    <w:lvl w:ilvl="2">
      <w:start w:val="0"/>
      <w:numFmt w:val="bullet"/>
      <w:lvlText w:val="•"/>
      <w:lvlJc w:val="left"/>
      <w:pPr>
        <w:ind w:left="3792" w:hanging="543"/>
      </w:pPr>
      <w:rPr>
        <w:rFonts w:hint="default"/>
        <w:lang w:val="es-mx" w:eastAsia="es-mx" w:bidi="es-mx"/>
      </w:rPr>
    </w:lvl>
    <w:lvl w:ilvl="3">
      <w:start w:val="0"/>
      <w:numFmt w:val="bullet"/>
      <w:lvlText w:val="•"/>
      <w:lvlJc w:val="left"/>
      <w:pPr>
        <w:ind w:left="4638" w:hanging="543"/>
      </w:pPr>
      <w:rPr>
        <w:rFonts w:hint="default"/>
        <w:lang w:val="es-mx" w:eastAsia="es-mx" w:bidi="es-mx"/>
      </w:rPr>
    </w:lvl>
    <w:lvl w:ilvl="4">
      <w:start w:val="0"/>
      <w:numFmt w:val="bullet"/>
      <w:lvlText w:val="•"/>
      <w:lvlJc w:val="left"/>
      <w:pPr>
        <w:ind w:left="5484" w:hanging="543"/>
      </w:pPr>
      <w:rPr>
        <w:rFonts w:hint="default"/>
        <w:lang w:val="es-mx" w:eastAsia="es-mx" w:bidi="es-mx"/>
      </w:rPr>
    </w:lvl>
    <w:lvl w:ilvl="5">
      <w:start w:val="0"/>
      <w:numFmt w:val="bullet"/>
      <w:lvlText w:val="•"/>
      <w:lvlJc w:val="left"/>
      <w:pPr>
        <w:ind w:left="6331" w:hanging="543"/>
      </w:pPr>
      <w:rPr>
        <w:rFonts w:hint="default"/>
        <w:lang w:val="es-mx" w:eastAsia="es-mx" w:bidi="es-mx"/>
      </w:rPr>
    </w:lvl>
    <w:lvl w:ilvl="6">
      <w:start w:val="0"/>
      <w:numFmt w:val="bullet"/>
      <w:lvlText w:val="•"/>
      <w:lvlJc w:val="left"/>
      <w:pPr>
        <w:ind w:left="7177" w:hanging="543"/>
      </w:pPr>
      <w:rPr>
        <w:rFonts w:hint="default"/>
        <w:lang w:val="es-mx" w:eastAsia="es-mx" w:bidi="es-mx"/>
      </w:rPr>
    </w:lvl>
    <w:lvl w:ilvl="7">
      <w:start w:val="0"/>
      <w:numFmt w:val="bullet"/>
      <w:lvlText w:val="•"/>
      <w:lvlJc w:val="left"/>
      <w:pPr>
        <w:ind w:left="8023" w:hanging="543"/>
      </w:pPr>
      <w:rPr>
        <w:rFonts w:hint="default"/>
        <w:lang w:val="es-mx" w:eastAsia="es-mx" w:bidi="es-mx"/>
      </w:rPr>
    </w:lvl>
    <w:lvl w:ilvl="8">
      <w:start w:val="0"/>
      <w:numFmt w:val="bullet"/>
      <w:lvlText w:val="•"/>
      <w:lvlJc w:val="left"/>
      <w:pPr>
        <w:ind w:left="8869" w:hanging="543"/>
      </w:pPr>
      <w:rPr>
        <w:rFonts w:hint="default"/>
        <w:lang w:val="es-mx" w:eastAsia="es-mx" w:bidi="es-mx"/>
      </w:rPr>
    </w:lvl>
  </w:abstractNum>
  <w:abstractNum w:abstractNumId="38">
    <w:multiLevelType w:val="hybridMultilevel"/>
    <w:lvl w:ilvl="0">
      <w:start w:val="1"/>
      <w:numFmt w:val="lowerLetter"/>
      <w:lvlText w:val="%1."/>
      <w:lvlJc w:val="left"/>
      <w:pPr>
        <w:ind w:left="1394" w:hanging="540"/>
        <w:jc w:val="right"/>
      </w:pPr>
      <w:rPr>
        <w:rFonts w:hint="default" w:ascii="Arial" w:hAnsi="Arial" w:eastAsia="Arial" w:cs="Arial"/>
        <w:b/>
        <w:bCs/>
        <w:spacing w:val="-4"/>
        <w:w w:val="99"/>
        <w:sz w:val="24"/>
        <w:szCs w:val="24"/>
        <w:lang w:val="es-mx" w:eastAsia="es-mx" w:bidi="es-mx"/>
      </w:rPr>
    </w:lvl>
    <w:lvl w:ilvl="1">
      <w:start w:val="1"/>
      <w:numFmt w:val="decimal"/>
      <w:lvlText w:val="%2."/>
      <w:lvlJc w:val="left"/>
      <w:pPr>
        <w:ind w:left="1888" w:hanging="360"/>
        <w:jc w:val="right"/>
      </w:pPr>
      <w:rPr>
        <w:rFonts w:hint="default" w:ascii="Arial" w:hAnsi="Arial" w:eastAsia="Arial" w:cs="Arial"/>
        <w:spacing w:val="-21"/>
        <w:w w:val="99"/>
        <w:sz w:val="24"/>
        <w:szCs w:val="24"/>
        <w:lang w:val="es-mx" w:eastAsia="es-mx" w:bidi="es-mx"/>
      </w:rPr>
    </w:lvl>
    <w:lvl w:ilvl="2">
      <w:start w:val="1"/>
      <w:numFmt w:val="lowerLetter"/>
      <w:lvlText w:val="%3."/>
      <w:lvlJc w:val="left"/>
      <w:pPr>
        <w:ind w:left="2630" w:hanging="432"/>
        <w:jc w:val="right"/>
      </w:pPr>
      <w:rPr>
        <w:rFonts w:hint="default"/>
        <w:spacing w:val="-29"/>
        <w:w w:val="99"/>
        <w:lang w:val="es-mx" w:eastAsia="es-mx" w:bidi="es-mx"/>
      </w:rPr>
    </w:lvl>
    <w:lvl w:ilvl="3">
      <w:start w:val="1"/>
      <w:numFmt w:val="upperRoman"/>
      <w:lvlText w:val="%4."/>
      <w:lvlJc w:val="left"/>
      <w:pPr>
        <w:ind w:left="2560" w:hanging="180"/>
        <w:jc w:val="right"/>
      </w:pPr>
      <w:rPr>
        <w:rFonts w:hint="default"/>
        <w:b/>
        <w:bCs/>
        <w:w w:val="100"/>
        <w:lang w:val="es-mx" w:eastAsia="es-mx" w:bidi="es-mx"/>
      </w:rPr>
    </w:lvl>
    <w:lvl w:ilvl="4">
      <w:start w:val="0"/>
      <w:numFmt w:val="bullet"/>
      <w:lvlText w:val="•"/>
      <w:lvlJc w:val="left"/>
      <w:pPr>
        <w:ind w:left="2640" w:hanging="180"/>
      </w:pPr>
      <w:rPr>
        <w:rFonts w:hint="default"/>
        <w:lang w:val="es-mx" w:eastAsia="es-mx" w:bidi="es-mx"/>
      </w:rPr>
    </w:lvl>
    <w:lvl w:ilvl="5">
      <w:start w:val="0"/>
      <w:numFmt w:val="bullet"/>
      <w:lvlText w:val="•"/>
      <w:lvlJc w:val="left"/>
      <w:pPr>
        <w:ind w:left="3433" w:hanging="180"/>
      </w:pPr>
      <w:rPr>
        <w:rFonts w:hint="default"/>
        <w:lang w:val="es-mx" w:eastAsia="es-mx" w:bidi="es-mx"/>
      </w:rPr>
    </w:lvl>
    <w:lvl w:ilvl="6">
      <w:start w:val="0"/>
      <w:numFmt w:val="bullet"/>
      <w:lvlText w:val="•"/>
      <w:lvlJc w:val="left"/>
      <w:pPr>
        <w:ind w:left="4226" w:hanging="180"/>
      </w:pPr>
      <w:rPr>
        <w:rFonts w:hint="default"/>
        <w:lang w:val="es-mx" w:eastAsia="es-mx" w:bidi="es-mx"/>
      </w:rPr>
    </w:lvl>
    <w:lvl w:ilvl="7">
      <w:start w:val="0"/>
      <w:numFmt w:val="bullet"/>
      <w:lvlText w:val="•"/>
      <w:lvlJc w:val="left"/>
      <w:pPr>
        <w:ind w:left="5019" w:hanging="180"/>
      </w:pPr>
      <w:rPr>
        <w:rFonts w:hint="default"/>
        <w:lang w:val="es-mx" w:eastAsia="es-mx" w:bidi="es-mx"/>
      </w:rPr>
    </w:lvl>
    <w:lvl w:ilvl="8">
      <w:start w:val="0"/>
      <w:numFmt w:val="bullet"/>
      <w:lvlText w:val="•"/>
      <w:lvlJc w:val="left"/>
      <w:pPr>
        <w:ind w:left="5813" w:hanging="180"/>
      </w:pPr>
      <w:rPr>
        <w:rFonts w:hint="default"/>
        <w:lang w:val="es-mx" w:eastAsia="es-mx" w:bidi="es-mx"/>
      </w:rPr>
    </w:lvl>
  </w:abstractNum>
  <w:abstractNum w:abstractNumId="37">
    <w:multiLevelType w:val="hybridMultilevel"/>
    <w:lvl w:ilvl="0">
      <w:start w:val="1"/>
      <w:numFmt w:val="decimal"/>
      <w:lvlText w:val="%1)"/>
      <w:lvlJc w:val="left"/>
      <w:pPr>
        <w:ind w:left="1526" w:hanging="512"/>
        <w:jc w:val="left"/>
      </w:pPr>
      <w:rPr>
        <w:rFonts w:hint="default" w:ascii="Arial" w:hAnsi="Arial" w:eastAsia="Arial" w:cs="Arial"/>
        <w:w w:val="99"/>
        <w:sz w:val="24"/>
        <w:szCs w:val="24"/>
        <w:lang w:val="es-mx" w:eastAsia="es-mx" w:bidi="es-mx"/>
      </w:rPr>
    </w:lvl>
    <w:lvl w:ilvl="1">
      <w:start w:val="0"/>
      <w:numFmt w:val="bullet"/>
      <w:lvlText w:val="•"/>
      <w:lvlJc w:val="left"/>
      <w:pPr>
        <w:ind w:left="2424" w:hanging="512"/>
      </w:pPr>
      <w:rPr>
        <w:rFonts w:hint="default"/>
        <w:lang w:val="es-mx" w:eastAsia="es-mx" w:bidi="es-mx"/>
      </w:rPr>
    </w:lvl>
    <w:lvl w:ilvl="2">
      <w:start w:val="0"/>
      <w:numFmt w:val="bullet"/>
      <w:lvlText w:val="•"/>
      <w:lvlJc w:val="left"/>
      <w:pPr>
        <w:ind w:left="3328" w:hanging="512"/>
      </w:pPr>
      <w:rPr>
        <w:rFonts w:hint="default"/>
        <w:lang w:val="es-mx" w:eastAsia="es-mx" w:bidi="es-mx"/>
      </w:rPr>
    </w:lvl>
    <w:lvl w:ilvl="3">
      <w:start w:val="0"/>
      <w:numFmt w:val="bullet"/>
      <w:lvlText w:val="•"/>
      <w:lvlJc w:val="left"/>
      <w:pPr>
        <w:ind w:left="4232" w:hanging="512"/>
      </w:pPr>
      <w:rPr>
        <w:rFonts w:hint="default"/>
        <w:lang w:val="es-mx" w:eastAsia="es-mx" w:bidi="es-mx"/>
      </w:rPr>
    </w:lvl>
    <w:lvl w:ilvl="4">
      <w:start w:val="0"/>
      <w:numFmt w:val="bullet"/>
      <w:lvlText w:val="•"/>
      <w:lvlJc w:val="left"/>
      <w:pPr>
        <w:ind w:left="5136" w:hanging="512"/>
      </w:pPr>
      <w:rPr>
        <w:rFonts w:hint="default"/>
        <w:lang w:val="es-mx" w:eastAsia="es-mx" w:bidi="es-mx"/>
      </w:rPr>
    </w:lvl>
    <w:lvl w:ilvl="5">
      <w:start w:val="0"/>
      <w:numFmt w:val="bullet"/>
      <w:lvlText w:val="•"/>
      <w:lvlJc w:val="left"/>
      <w:pPr>
        <w:ind w:left="6041" w:hanging="512"/>
      </w:pPr>
      <w:rPr>
        <w:rFonts w:hint="default"/>
        <w:lang w:val="es-mx" w:eastAsia="es-mx" w:bidi="es-mx"/>
      </w:rPr>
    </w:lvl>
    <w:lvl w:ilvl="6">
      <w:start w:val="0"/>
      <w:numFmt w:val="bullet"/>
      <w:lvlText w:val="•"/>
      <w:lvlJc w:val="left"/>
      <w:pPr>
        <w:ind w:left="6945" w:hanging="512"/>
      </w:pPr>
      <w:rPr>
        <w:rFonts w:hint="default"/>
        <w:lang w:val="es-mx" w:eastAsia="es-mx" w:bidi="es-mx"/>
      </w:rPr>
    </w:lvl>
    <w:lvl w:ilvl="7">
      <w:start w:val="0"/>
      <w:numFmt w:val="bullet"/>
      <w:lvlText w:val="•"/>
      <w:lvlJc w:val="left"/>
      <w:pPr>
        <w:ind w:left="7849" w:hanging="512"/>
      </w:pPr>
      <w:rPr>
        <w:rFonts w:hint="default"/>
        <w:lang w:val="es-mx" w:eastAsia="es-mx" w:bidi="es-mx"/>
      </w:rPr>
    </w:lvl>
    <w:lvl w:ilvl="8">
      <w:start w:val="0"/>
      <w:numFmt w:val="bullet"/>
      <w:lvlText w:val="•"/>
      <w:lvlJc w:val="left"/>
      <w:pPr>
        <w:ind w:left="8753" w:hanging="512"/>
      </w:pPr>
      <w:rPr>
        <w:rFonts w:hint="default"/>
        <w:lang w:val="es-mx" w:eastAsia="es-mx" w:bidi="es-mx"/>
      </w:rPr>
    </w:lvl>
  </w:abstractNum>
  <w:abstractNum w:abstractNumId="36">
    <w:multiLevelType w:val="hybridMultilevel"/>
    <w:lvl w:ilvl="0">
      <w:start w:val="5"/>
      <w:numFmt w:val="lowerLetter"/>
      <w:lvlText w:val="%1)"/>
      <w:lvlJc w:val="left"/>
      <w:pPr>
        <w:ind w:left="1569" w:hanging="336"/>
        <w:jc w:val="left"/>
      </w:pPr>
      <w:rPr>
        <w:rFonts w:hint="default" w:ascii="Arial" w:hAnsi="Arial" w:eastAsia="Arial" w:cs="Arial"/>
        <w:spacing w:val="-12"/>
        <w:w w:val="99"/>
        <w:sz w:val="24"/>
        <w:szCs w:val="24"/>
        <w:lang w:val="es-mx" w:eastAsia="es-mx" w:bidi="es-mx"/>
      </w:rPr>
    </w:lvl>
    <w:lvl w:ilvl="1">
      <w:start w:val="0"/>
      <w:numFmt w:val="bullet"/>
      <w:lvlText w:val="•"/>
      <w:lvlJc w:val="left"/>
      <w:pPr>
        <w:ind w:left="2460" w:hanging="336"/>
      </w:pPr>
      <w:rPr>
        <w:rFonts w:hint="default"/>
        <w:lang w:val="es-mx" w:eastAsia="es-mx" w:bidi="es-mx"/>
      </w:rPr>
    </w:lvl>
    <w:lvl w:ilvl="2">
      <w:start w:val="0"/>
      <w:numFmt w:val="bullet"/>
      <w:lvlText w:val="•"/>
      <w:lvlJc w:val="left"/>
      <w:pPr>
        <w:ind w:left="3360" w:hanging="336"/>
      </w:pPr>
      <w:rPr>
        <w:rFonts w:hint="default"/>
        <w:lang w:val="es-mx" w:eastAsia="es-mx" w:bidi="es-mx"/>
      </w:rPr>
    </w:lvl>
    <w:lvl w:ilvl="3">
      <w:start w:val="0"/>
      <w:numFmt w:val="bullet"/>
      <w:lvlText w:val="•"/>
      <w:lvlJc w:val="left"/>
      <w:pPr>
        <w:ind w:left="4260" w:hanging="336"/>
      </w:pPr>
      <w:rPr>
        <w:rFonts w:hint="default"/>
        <w:lang w:val="es-mx" w:eastAsia="es-mx" w:bidi="es-mx"/>
      </w:rPr>
    </w:lvl>
    <w:lvl w:ilvl="4">
      <w:start w:val="0"/>
      <w:numFmt w:val="bullet"/>
      <w:lvlText w:val="•"/>
      <w:lvlJc w:val="left"/>
      <w:pPr>
        <w:ind w:left="5160" w:hanging="336"/>
      </w:pPr>
      <w:rPr>
        <w:rFonts w:hint="default"/>
        <w:lang w:val="es-mx" w:eastAsia="es-mx" w:bidi="es-mx"/>
      </w:rPr>
    </w:lvl>
    <w:lvl w:ilvl="5">
      <w:start w:val="0"/>
      <w:numFmt w:val="bullet"/>
      <w:lvlText w:val="•"/>
      <w:lvlJc w:val="left"/>
      <w:pPr>
        <w:ind w:left="6061" w:hanging="336"/>
      </w:pPr>
      <w:rPr>
        <w:rFonts w:hint="default"/>
        <w:lang w:val="es-mx" w:eastAsia="es-mx" w:bidi="es-mx"/>
      </w:rPr>
    </w:lvl>
    <w:lvl w:ilvl="6">
      <w:start w:val="0"/>
      <w:numFmt w:val="bullet"/>
      <w:lvlText w:val="•"/>
      <w:lvlJc w:val="left"/>
      <w:pPr>
        <w:ind w:left="6961" w:hanging="336"/>
      </w:pPr>
      <w:rPr>
        <w:rFonts w:hint="default"/>
        <w:lang w:val="es-mx" w:eastAsia="es-mx" w:bidi="es-mx"/>
      </w:rPr>
    </w:lvl>
    <w:lvl w:ilvl="7">
      <w:start w:val="0"/>
      <w:numFmt w:val="bullet"/>
      <w:lvlText w:val="•"/>
      <w:lvlJc w:val="left"/>
      <w:pPr>
        <w:ind w:left="7861" w:hanging="336"/>
      </w:pPr>
      <w:rPr>
        <w:rFonts w:hint="default"/>
        <w:lang w:val="es-mx" w:eastAsia="es-mx" w:bidi="es-mx"/>
      </w:rPr>
    </w:lvl>
    <w:lvl w:ilvl="8">
      <w:start w:val="0"/>
      <w:numFmt w:val="bullet"/>
      <w:lvlText w:val="•"/>
      <w:lvlJc w:val="left"/>
      <w:pPr>
        <w:ind w:left="8761" w:hanging="336"/>
      </w:pPr>
      <w:rPr>
        <w:rFonts w:hint="default"/>
        <w:lang w:val="es-mx" w:eastAsia="es-mx" w:bidi="es-mx"/>
      </w:rPr>
    </w:lvl>
  </w:abstractNum>
  <w:abstractNum w:abstractNumId="35">
    <w:multiLevelType w:val="hybridMultilevel"/>
    <w:lvl w:ilvl="0">
      <w:start w:val="1"/>
      <w:numFmt w:val="upperRoman"/>
      <w:lvlText w:val="%1."/>
      <w:lvlJc w:val="left"/>
      <w:pPr>
        <w:ind w:left="602" w:hanging="202"/>
        <w:jc w:val="right"/>
      </w:pPr>
      <w:rPr>
        <w:rFonts w:hint="default"/>
        <w:w w:val="100"/>
        <w:lang w:val="es-mx" w:eastAsia="es-mx" w:bidi="es-mx"/>
      </w:rPr>
    </w:lvl>
    <w:lvl w:ilvl="1">
      <w:start w:val="1"/>
      <w:numFmt w:val="lowerLetter"/>
      <w:lvlText w:val="%2)"/>
      <w:lvlJc w:val="left"/>
      <w:pPr>
        <w:ind w:left="1674" w:hanging="360"/>
        <w:jc w:val="left"/>
      </w:pPr>
      <w:rPr>
        <w:rFonts w:hint="default"/>
        <w:w w:val="99"/>
        <w:lang w:val="es-mx" w:eastAsia="es-mx" w:bidi="es-mx"/>
      </w:rPr>
    </w:lvl>
    <w:lvl w:ilvl="2">
      <w:start w:val="1"/>
      <w:numFmt w:val="decimal"/>
      <w:lvlText w:val="%3."/>
      <w:lvlJc w:val="left"/>
      <w:pPr>
        <w:ind w:left="2204" w:hanging="360"/>
        <w:jc w:val="left"/>
      </w:pPr>
      <w:rPr>
        <w:rFonts w:hint="default" w:ascii="Arial" w:hAnsi="Arial" w:eastAsia="Arial" w:cs="Arial"/>
        <w:w w:val="99"/>
        <w:sz w:val="24"/>
        <w:szCs w:val="24"/>
        <w:lang w:val="es-mx" w:eastAsia="es-mx" w:bidi="es-mx"/>
      </w:rPr>
    </w:lvl>
    <w:lvl w:ilvl="3">
      <w:start w:val="0"/>
      <w:numFmt w:val="bullet"/>
      <w:lvlText w:val="•"/>
      <w:lvlJc w:val="left"/>
      <w:pPr>
        <w:ind w:left="1560" w:hanging="360"/>
      </w:pPr>
      <w:rPr>
        <w:rFonts w:hint="default"/>
        <w:lang w:val="es-mx" w:eastAsia="es-mx" w:bidi="es-mx"/>
      </w:rPr>
    </w:lvl>
    <w:lvl w:ilvl="4">
      <w:start w:val="0"/>
      <w:numFmt w:val="bullet"/>
      <w:lvlText w:val="•"/>
      <w:lvlJc w:val="left"/>
      <w:pPr>
        <w:ind w:left="1680" w:hanging="360"/>
      </w:pPr>
      <w:rPr>
        <w:rFonts w:hint="default"/>
        <w:lang w:val="es-mx" w:eastAsia="es-mx" w:bidi="es-mx"/>
      </w:rPr>
    </w:lvl>
    <w:lvl w:ilvl="5">
      <w:start w:val="0"/>
      <w:numFmt w:val="bullet"/>
      <w:lvlText w:val="•"/>
      <w:lvlJc w:val="left"/>
      <w:pPr>
        <w:ind w:left="2200" w:hanging="360"/>
      </w:pPr>
      <w:rPr>
        <w:rFonts w:hint="default"/>
        <w:lang w:val="es-mx" w:eastAsia="es-mx" w:bidi="es-mx"/>
      </w:rPr>
    </w:lvl>
    <w:lvl w:ilvl="6">
      <w:start w:val="0"/>
      <w:numFmt w:val="bullet"/>
      <w:lvlText w:val="•"/>
      <w:lvlJc w:val="left"/>
      <w:pPr>
        <w:ind w:left="3376" w:hanging="360"/>
      </w:pPr>
      <w:rPr>
        <w:rFonts w:hint="default"/>
        <w:lang w:val="es-mx" w:eastAsia="es-mx" w:bidi="es-mx"/>
      </w:rPr>
    </w:lvl>
    <w:lvl w:ilvl="7">
      <w:start w:val="0"/>
      <w:numFmt w:val="bullet"/>
      <w:lvlText w:val="•"/>
      <w:lvlJc w:val="left"/>
      <w:pPr>
        <w:ind w:left="4552" w:hanging="360"/>
      </w:pPr>
      <w:rPr>
        <w:rFonts w:hint="default"/>
        <w:lang w:val="es-mx" w:eastAsia="es-mx" w:bidi="es-mx"/>
      </w:rPr>
    </w:lvl>
    <w:lvl w:ilvl="8">
      <w:start w:val="0"/>
      <w:numFmt w:val="bullet"/>
      <w:lvlText w:val="•"/>
      <w:lvlJc w:val="left"/>
      <w:pPr>
        <w:ind w:left="5729" w:hanging="360"/>
      </w:pPr>
      <w:rPr>
        <w:rFonts w:hint="default"/>
        <w:lang w:val="es-mx" w:eastAsia="es-mx" w:bidi="es-mx"/>
      </w:rPr>
    </w:lvl>
  </w:abstractNum>
  <w:abstractNum w:abstractNumId="34">
    <w:multiLevelType w:val="hybridMultilevel"/>
    <w:lvl w:ilvl="0">
      <w:start w:val="1"/>
      <w:numFmt w:val="decimal"/>
      <w:lvlText w:val="%1)"/>
      <w:lvlJc w:val="left"/>
      <w:pPr>
        <w:ind w:left="3362" w:hanging="281"/>
        <w:jc w:val="left"/>
      </w:pPr>
      <w:rPr>
        <w:rFonts w:hint="default" w:ascii="Arial" w:hAnsi="Arial" w:eastAsia="Arial" w:cs="Arial"/>
        <w:spacing w:val="-4"/>
        <w:w w:val="99"/>
        <w:sz w:val="24"/>
        <w:szCs w:val="24"/>
        <w:lang w:val="es-mx" w:eastAsia="es-mx" w:bidi="es-mx"/>
      </w:rPr>
    </w:lvl>
    <w:lvl w:ilvl="1">
      <w:start w:val="0"/>
      <w:numFmt w:val="bullet"/>
      <w:lvlText w:val="•"/>
      <w:lvlJc w:val="left"/>
      <w:pPr>
        <w:ind w:left="3663" w:hanging="281"/>
      </w:pPr>
      <w:rPr>
        <w:rFonts w:hint="default"/>
        <w:lang w:val="es-mx" w:eastAsia="es-mx" w:bidi="es-mx"/>
      </w:rPr>
    </w:lvl>
    <w:lvl w:ilvl="2">
      <w:start w:val="0"/>
      <w:numFmt w:val="bullet"/>
      <w:lvlText w:val="•"/>
      <w:lvlJc w:val="left"/>
      <w:pPr>
        <w:ind w:left="3966" w:hanging="281"/>
      </w:pPr>
      <w:rPr>
        <w:rFonts w:hint="default"/>
        <w:lang w:val="es-mx" w:eastAsia="es-mx" w:bidi="es-mx"/>
      </w:rPr>
    </w:lvl>
    <w:lvl w:ilvl="3">
      <w:start w:val="0"/>
      <w:numFmt w:val="bullet"/>
      <w:lvlText w:val="•"/>
      <w:lvlJc w:val="left"/>
      <w:pPr>
        <w:ind w:left="4269" w:hanging="281"/>
      </w:pPr>
      <w:rPr>
        <w:rFonts w:hint="default"/>
        <w:lang w:val="es-mx" w:eastAsia="es-mx" w:bidi="es-mx"/>
      </w:rPr>
    </w:lvl>
    <w:lvl w:ilvl="4">
      <w:start w:val="0"/>
      <w:numFmt w:val="bullet"/>
      <w:lvlText w:val="•"/>
      <w:lvlJc w:val="left"/>
      <w:pPr>
        <w:ind w:left="4572" w:hanging="281"/>
      </w:pPr>
      <w:rPr>
        <w:rFonts w:hint="default"/>
        <w:lang w:val="es-mx" w:eastAsia="es-mx" w:bidi="es-mx"/>
      </w:rPr>
    </w:lvl>
    <w:lvl w:ilvl="5">
      <w:start w:val="0"/>
      <w:numFmt w:val="bullet"/>
      <w:lvlText w:val="•"/>
      <w:lvlJc w:val="left"/>
      <w:pPr>
        <w:ind w:left="4875" w:hanging="281"/>
      </w:pPr>
      <w:rPr>
        <w:rFonts w:hint="default"/>
        <w:lang w:val="es-mx" w:eastAsia="es-mx" w:bidi="es-mx"/>
      </w:rPr>
    </w:lvl>
    <w:lvl w:ilvl="6">
      <w:start w:val="0"/>
      <w:numFmt w:val="bullet"/>
      <w:lvlText w:val="•"/>
      <w:lvlJc w:val="left"/>
      <w:pPr>
        <w:ind w:left="5178" w:hanging="281"/>
      </w:pPr>
      <w:rPr>
        <w:rFonts w:hint="default"/>
        <w:lang w:val="es-mx" w:eastAsia="es-mx" w:bidi="es-mx"/>
      </w:rPr>
    </w:lvl>
    <w:lvl w:ilvl="7">
      <w:start w:val="0"/>
      <w:numFmt w:val="bullet"/>
      <w:lvlText w:val="•"/>
      <w:lvlJc w:val="left"/>
      <w:pPr>
        <w:ind w:left="5481" w:hanging="281"/>
      </w:pPr>
      <w:rPr>
        <w:rFonts w:hint="default"/>
        <w:lang w:val="es-mx" w:eastAsia="es-mx" w:bidi="es-mx"/>
      </w:rPr>
    </w:lvl>
    <w:lvl w:ilvl="8">
      <w:start w:val="0"/>
      <w:numFmt w:val="bullet"/>
      <w:lvlText w:val="•"/>
      <w:lvlJc w:val="left"/>
      <w:pPr>
        <w:ind w:left="5784" w:hanging="281"/>
      </w:pPr>
      <w:rPr>
        <w:rFonts w:hint="default"/>
        <w:lang w:val="es-mx" w:eastAsia="es-mx" w:bidi="es-mx"/>
      </w:rPr>
    </w:lvl>
  </w:abstractNum>
  <w:abstractNum w:abstractNumId="33">
    <w:multiLevelType w:val="hybridMultilevel"/>
    <w:lvl w:ilvl="0">
      <w:start w:val="1"/>
      <w:numFmt w:val="lowerLetter"/>
      <w:lvlText w:val="%1)"/>
      <w:lvlJc w:val="left"/>
      <w:pPr>
        <w:ind w:left="1864" w:hanging="360"/>
        <w:jc w:val="left"/>
      </w:pPr>
      <w:rPr>
        <w:rFonts w:hint="default" w:ascii="Arial" w:hAnsi="Arial" w:eastAsia="Arial" w:cs="Arial"/>
        <w:w w:val="99"/>
        <w:sz w:val="24"/>
        <w:szCs w:val="24"/>
        <w:lang w:val="es-mx" w:eastAsia="es-mx" w:bidi="es-mx"/>
      </w:rPr>
    </w:lvl>
    <w:lvl w:ilvl="1">
      <w:start w:val="0"/>
      <w:numFmt w:val="bullet"/>
      <w:lvlText w:val="•"/>
      <w:lvlJc w:val="left"/>
      <w:pPr>
        <w:ind w:left="2730" w:hanging="360"/>
      </w:pPr>
      <w:rPr>
        <w:rFonts w:hint="default"/>
        <w:lang w:val="es-mx" w:eastAsia="es-mx" w:bidi="es-mx"/>
      </w:rPr>
    </w:lvl>
    <w:lvl w:ilvl="2">
      <w:start w:val="0"/>
      <w:numFmt w:val="bullet"/>
      <w:lvlText w:val="•"/>
      <w:lvlJc w:val="left"/>
      <w:pPr>
        <w:ind w:left="3600" w:hanging="360"/>
      </w:pPr>
      <w:rPr>
        <w:rFonts w:hint="default"/>
        <w:lang w:val="es-mx" w:eastAsia="es-mx" w:bidi="es-mx"/>
      </w:rPr>
    </w:lvl>
    <w:lvl w:ilvl="3">
      <w:start w:val="0"/>
      <w:numFmt w:val="bullet"/>
      <w:lvlText w:val="•"/>
      <w:lvlJc w:val="left"/>
      <w:pPr>
        <w:ind w:left="4470" w:hanging="360"/>
      </w:pPr>
      <w:rPr>
        <w:rFonts w:hint="default"/>
        <w:lang w:val="es-mx" w:eastAsia="es-mx" w:bidi="es-mx"/>
      </w:rPr>
    </w:lvl>
    <w:lvl w:ilvl="4">
      <w:start w:val="0"/>
      <w:numFmt w:val="bullet"/>
      <w:lvlText w:val="•"/>
      <w:lvlJc w:val="left"/>
      <w:pPr>
        <w:ind w:left="5340" w:hanging="360"/>
      </w:pPr>
      <w:rPr>
        <w:rFonts w:hint="default"/>
        <w:lang w:val="es-mx" w:eastAsia="es-mx" w:bidi="es-mx"/>
      </w:rPr>
    </w:lvl>
    <w:lvl w:ilvl="5">
      <w:start w:val="0"/>
      <w:numFmt w:val="bullet"/>
      <w:lvlText w:val="•"/>
      <w:lvlJc w:val="left"/>
      <w:pPr>
        <w:ind w:left="6211" w:hanging="360"/>
      </w:pPr>
      <w:rPr>
        <w:rFonts w:hint="default"/>
        <w:lang w:val="es-mx" w:eastAsia="es-mx" w:bidi="es-mx"/>
      </w:rPr>
    </w:lvl>
    <w:lvl w:ilvl="6">
      <w:start w:val="0"/>
      <w:numFmt w:val="bullet"/>
      <w:lvlText w:val="•"/>
      <w:lvlJc w:val="left"/>
      <w:pPr>
        <w:ind w:left="7081" w:hanging="360"/>
      </w:pPr>
      <w:rPr>
        <w:rFonts w:hint="default"/>
        <w:lang w:val="es-mx" w:eastAsia="es-mx" w:bidi="es-mx"/>
      </w:rPr>
    </w:lvl>
    <w:lvl w:ilvl="7">
      <w:start w:val="0"/>
      <w:numFmt w:val="bullet"/>
      <w:lvlText w:val="•"/>
      <w:lvlJc w:val="left"/>
      <w:pPr>
        <w:ind w:left="7951" w:hanging="360"/>
      </w:pPr>
      <w:rPr>
        <w:rFonts w:hint="default"/>
        <w:lang w:val="es-mx" w:eastAsia="es-mx" w:bidi="es-mx"/>
      </w:rPr>
    </w:lvl>
    <w:lvl w:ilvl="8">
      <w:start w:val="0"/>
      <w:numFmt w:val="bullet"/>
      <w:lvlText w:val="•"/>
      <w:lvlJc w:val="left"/>
      <w:pPr>
        <w:ind w:left="8821" w:hanging="360"/>
      </w:pPr>
      <w:rPr>
        <w:rFonts w:hint="default"/>
        <w:lang w:val="es-mx" w:eastAsia="es-mx" w:bidi="es-mx"/>
      </w:rPr>
    </w:lvl>
  </w:abstractNum>
  <w:abstractNum w:abstractNumId="32">
    <w:multiLevelType w:val="hybridMultilevel"/>
    <w:lvl w:ilvl="0">
      <w:start w:val="5"/>
      <w:numFmt w:val="lowerLetter"/>
      <w:lvlText w:val="%1)"/>
      <w:lvlJc w:val="left"/>
      <w:pPr>
        <w:ind w:left="1480" w:hanging="360"/>
        <w:jc w:val="left"/>
      </w:pPr>
      <w:rPr>
        <w:rFonts w:hint="default" w:ascii="Arial" w:hAnsi="Arial" w:eastAsia="Arial" w:cs="Arial"/>
        <w:w w:val="99"/>
        <w:sz w:val="24"/>
        <w:szCs w:val="24"/>
        <w:lang w:val="es-mx" w:eastAsia="es-mx" w:bidi="es-mx"/>
      </w:rPr>
    </w:lvl>
    <w:lvl w:ilvl="1">
      <w:start w:val="1"/>
      <w:numFmt w:val="decimal"/>
      <w:lvlText w:val="%2)"/>
      <w:lvlJc w:val="left"/>
      <w:pPr>
        <w:ind w:left="2836" w:hanging="360"/>
        <w:jc w:val="left"/>
      </w:pPr>
      <w:rPr>
        <w:rFonts w:hint="default" w:ascii="Arial" w:hAnsi="Arial" w:eastAsia="Arial" w:cs="Arial"/>
        <w:w w:val="99"/>
        <w:sz w:val="24"/>
        <w:szCs w:val="24"/>
        <w:lang w:val="es-mx" w:eastAsia="es-mx" w:bidi="es-mx"/>
      </w:rPr>
    </w:lvl>
    <w:lvl w:ilvl="2">
      <w:start w:val="0"/>
      <w:numFmt w:val="bullet"/>
      <w:lvlText w:val="•"/>
      <w:lvlJc w:val="left"/>
      <w:pPr>
        <w:ind w:left="2840" w:hanging="360"/>
      </w:pPr>
      <w:rPr>
        <w:rFonts w:hint="default"/>
        <w:lang w:val="es-mx" w:eastAsia="es-mx" w:bidi="es-mx"/>
      </w:rPr>
    </w:lvl>
    <w:lvl w:ilvl="3">
      <w:start w:val="0"/>
      <w:numFmt w:val="bullet"/>
      <w:lvlText w:val="•"/>
      <w:lvlJc w:val="left"/>
      <w:pPr>
        <w:ind w:left="3805" w:hanging="360"/>
      </w:pPr>
      <w:rPr>
        <w:rFonts w:hint="default"/>
        <w:lang w:val="es-mx" w:eastAsia="es-mx" w:bidi="es-mx"/>
      </w:rPr>
    </w:lvl>
    <w:lvl w:ilvl="4">
      <w:start w:val="0"/>
      <w:numFmt w:val="bullet"/>
      <w:lvlText w:val="•"/>
      <w:lvlJc w:val="left"/>
      <w:pPr>
        <w:ind w:left="4770" w:hanging="360"/>
      </w:pPr>
      <w:rPr>
        <w:rFonts w:hint="default"/>
        <w:lang w:val="es-mx" w:eastAsia="es-mx" w:bidi="es-mx"/>
      </w:rPr>
    </w:lvl>
    <w:lvl w:ilvl="5">
      <w:start w:val="0"/>
      <w:numFmt w:val="bullet"/>
      <w:lvlText w:val="•"/>
      <w:lvlJc w:val="left"/>
      <w:pPr>
        <w:ind w:left="5735" w:hanging="360"/>
      </w:pPr>
      <w:rPr>
        <w:rFonts w:hint="default"/>
        <w:lang w:val="es-mx" w:eastAsia="es-mx" w:bidi="es-mx"/>
      </w:rPr>
    </w:lvl>
    <w:lvl w:ilvl="6">
      <w:start w:val="0"/>
      <w:numFmt w:val="bullet"/>
      <w:lvlText w:val="•"/>
      <w:lvlJc w:val="left"/>
      <w:pPr>
        <w:ind w:left="6701" w:hanging="360"/>
      </w:pPr>
      <w:rPr>
        <w:rFonts w:hint="default"/>
        <w:lang w:val="es-mx" w:eastAsia="es-mx" w:bidi="es-mx"/>
      </w:rPr>
    </w:lvl>
    <w:lvl w:ilvl="7">
      <w:start w:val="0"/>
      <w:numFmt w:val="bullet"/>
      <w:lvlText w:val="•"/>
      <w:lvlJc w:val="left"/>
      <w:pPr>
        <w:ind w:left="7666" w:hanging="360"/>
      </w:pPr>
      <w:rPr>
        <w:rFonts w:hint="default"/>
        <w:lang w:val="es-mx" w:eastAsia="es-mx" w:bidi="es-mx"/>
      </w:rPr>
    </w:lvl>
    <w:lvl w:ilvl="8">
      <w:start w:val="0"/>
      <w:numFmt w:val="bullet"/>
      <w:lvlText w:val="•"/>
      <w:lvlJc w:val="left"/>
      <w:pPr>
        <w:ind w:left="8631" w:hanging="360"/>
      </w:pPr>
      <w:rPr>
        <w:rFonts w:hint="default"/>
        <w:lang w:val="es-mx" w:eastAsia="es-mx" w:bidi="es-mx"/>
      </w:rPr>
    </w:lvl>
  </w:abstractNum>
  <w:abstractNum w:abstractNumId="31">
    <w:multiLevelType w:val="hybridMultilevel"/>
    <w:lvl w:ilvl="0">
      <w:start w:val="10"/>
      <w:numFmt w:val="lowerLetter"/>
      <w:lvlText w:val="%1)"/>
      <w:lvlJc w:val="left"/>
      <w:pPr>
        <w:ind w:left="1706" w:hanging="360"/>
        <w:jc w:val="left"/>
      </w:pPr>
      <w:rPr>
        <w:rFonts w:hint="default" w:ascii="Arial" w:hAnsi="Arial" w:eastAsia="Arial" w:cs="Arial"/>
        <w:spacing w:val="-1"/>
        <w:w w:val="99"/>
        <w:sz w:val="24"/>
        <w:szCs w:val="24"/>
        <w:lang w:val="es-mx" w:eastAsia="es-mx" w:bidi="es-mx"/>
      </w:rPr>
    </w:lvl>
    <w:lvl w:ilvl="1">
      <w:start w:val="0"/>
      <w:numFmt w:val="bullet"/>
      <w:lvlText w:val="•"/>
      <w:lvlJc w:val="left"/>
      <w:pPr>
        <w:ind w:left="2330" w:hanging="360"/>
      </w:pPr>
      <w:rPr>
        <w:rFonts w:hint="default"/>
        <w:lang w:val="es-mx" w:eastAsia="es-mx" w:bidi="es-mx"/>
      </w:rPr>
    </w:lvl>
    <w:lvl w:ilvl="2">
      <w:start w:val="0"/>
      <w:numFmt w:val="bullet"/>
      <w:lvlText w:val="•"/>
      <w:lvlJc w:val="left"/>
      <w:pPr>
        <w:ind w:left="2961" w:hanging="360"/>
      </w:pPr>
      <w:rPr>
        <w:rFonts w:hint="default"/>
        <w:lang w:val="es-mx" w:eastAsia="es-mx" w:bidi="es-mx"/>
      </w:rPr>
    </w:lvl>
    <w:lvl w:ilvl="3">
      <w:start w:val="0"/>
      <w:numFmt w:val="bullet"/>
      <w:lvlText w:val="•"/>
      <w:lvlJc w:val="left"/>
      <w:pPr>
        <w:ind w:left="3592" w:hanging="360"/>
      </w:pPr>
      <w:rPr>
        <w:rFonts w:hint="default"/>
        <w:lang w:val="es-mx" w:eastAsia="es-mx" w:bidi="es-mx"/>
      </w:rPr>
    </w:lvl>
    <w:lvl w:ilvl="4">
      <w:start w:val="0"/>
      <w:numFmt w:val="bullet"/>
      <w:lvlText w:val="•"/>
      <w:lvlJc w:val="left"/>
      <w:pPr>
        <w:ind w:left="4222" w:hanging="360"/>
      </w:pPr>
      <w:rPr>
        <w:rFonts w:hint="default"/>
        <w:lang w:val="es-mx" w:eastAsia="es-mx" w:bidi="es-mx"/>
      </w:rPr>
    </w:lvl>
    <w:lvl w:ilvl="5">
      <w:start w:val="0"/>
      <w:numFmt w:val="bullet"/>
      <w:lvlText w:val="•"/>
      <w:lvlJc w:val="left"/>
      <w:pPr>
        <w:ind w:left="4853" w:hanging="360"/>
      </w:pPr>
      <w:rPr>
        <w:rFonts w:hint="default"/>
        <w:lang w:val="es-mx" w:eastAsia="es-mx" w:bidi="es-mx"/>
      </w:rPr>
    </w:lvl>
    <w:lvl w:ilvl="6">
      <w:start w:val="0"/>
      <w:numFmt w:val="bullet"/>
      <w:lvlText w:val="•"/>
      <w:lvlJc w:val="left"/>
      <w:pPr>
        <w:ind w:left="5484" w:hanging="360"/>
      </w:pPr>
      <w:rPr>
        <w:rFonts w:hint="default"/>
        <w:lang w:val="es-mx" w:eastAsia="es-mx" w:bidi="es-mx"/>
      </w:rPr>
    </w:lvl>
    <w:lvl w:ilvl="7">
      <w:start w:val="0"/>
      <w:numFmt w:val="bullet"/>
      <w:lvlText w:val="•"/>
      <w:lvlJc w:val="left"/>
      <w:pPr>
        <w:ind w:left="6114" w:hanging="360"/>
      </w:pPr>
      <w:rPr>
        <w:rFonts w:hint="default"/>
        <w:lang w:val="es-mx" w:eastAsia="es-mx" w:bidi="es-mx"/>
      </w:rPr>
    </w:lvl>
    <w:lvl w:ilvl="8">
      <w:start w:val="0"/>
      <w:numFmt w:val="bullet"/>
      <w:lvlText w:val="•"/>
      <w:lvlJc w:val="left"/>
      <w:pPr>
        <w:ind w:left="6745" w:hanging="360"/>
      </w:pPr>
      <w:rPr>
        <w:rFonts w:hint="default"/>
        <w:lang w:val="es-mx" w:eastAsia="es-mx" w:bidi="es-mx"/>
      </w:rPr>
    </w:lvl>
  </w:abstractNum>
  <w:abstractNum w:abstractNumId="30">
    <w:multiLevelType w:val="hybridMultilevel"/>
    <w:lvl w:ilvl="0">
      <w:start w:val="1"/>
      <w:numFmt w:val="lowerLetter"/>
      <w:lvlText w:val="%1)"/>
      <w:lvlJc w:val="left"/>
      <w:pPr>
        <w:ind w:left="1706" w:hanging="360"/>
        <w:jc w:val="left"/>
      </w:pPr>
      <w:rPr>
        <w:rFonts w:hint="default" w:ascii="Arial" w:hAnsi="Arial" w:eastAsia="Arial" w:cs="Arial"/>
        <w:w w:val="99"/>
        <w:sz w:val="24"/>
        <w:szCs w:val="24"/>
        <w:lang w:val="es-mx" w:eastAsia="es-mx" w:bidi="es-mx"/>
      </w:rPr>
    </w:lvl>
    <w:lvl w:ilvl="1">
      <w:start w:val="0"/>
      <w:numFmt w:val="bullet"/>
      <w:lvlText w:val="•"/>
      <w:lvlJc w:val="left"/>
      <w:pPr>
        <w:ind w:left="2327" w:hanging="360"/>
      </w:pPr>
      <w:rPr>
        <w:rFonts w:hint="default"/>
        <w:lang w:val="es-mx" w:eastAsia="es-mx" w:bidi="es-mx"/>
      </w:rPr>
    </w:lvl>
    <w:lvl w:ilvl="2">
      <w:start w:val="0"/>
      <w:numFmt w:val="bullet"/>
      <w:lvlText w:val="•"/>
      <w:lvlJc w:val="left"/>
      <w:pPr>
        <w:ind w:left="2954" w:hanging="360"/>
      </w:pPr>
      <w:rPr>
        <w:rFonts w:hint="default"/>
        <w:lang w:val="es-mx" w:eastAsia="es-mx" w:bidi="es-mx"/>
      </w:rPr>
    </w:lvl>
    <w:lvl w:ilvl="3">
      <w:start w:val="0"/>
      <w:numFmt w:val="bullet"/>
      <w:lvlText w:val="•"/>
      <w:lvlJc w:val="left"/>
      <w:pPr>
        <w:ind w:left="3581" w:hanging="360"/>
      </w:pPr>
      <w:rPr>
        <w:rFonts w:hint="default"/>
        <w:lang w:val="es-mx" w:eastAsia="es-mx" w:bidi="es-mx"/>
      </w:rPr>
    </w:lvl>
    <w:lvl w:ilvl="4">
      <w:start w:val="0"/>
      <w:numFmt w:val="bullet"/>
      <w:lvlText w:val="•"/>
      <w:lvlJc w:val="left"/>
      <w:pPr>
        <w:ind w:left="4208" w:hanging="360"/>
      </w:pPr>
      <w:rPr>
        <w:rFonts w:hint="default"/>
        <w:lang w:val="es-mx" w:eastAsia="es-mx" w:bidi="es-mx"/>
      </w:rPr>
    </w:lvl>
    <w:lvl w:ilvl="5">
      <w:start w:val="0"/>
      <w:numFmt w:val="bullet"/>
      <w:lvlText w:val="•"/>
      <w:lvlJc w:val="left"/>
      <w:pPr>
        <w:ind w:left="4835" w:hanging="360"/>
      </w:pPr>
      <w:rPr>
        <w:rFonts w:hint="default"/>
        <w:lang w:val="es-mx" w:eastAsia="es-mx" w:bidi="es-mx"/>
      </w:rPr>
    </w:lvl>
    <w:lvl w:ilvl="6">
      <w:start w:val="0"/>
      <w:numFmt w:val="bullet"/>
      <w:lvlText w:val="•"/>
      <w:lvlJc w:val="left"/>
      <w:pPr>
        <w:ind w:left="5462" w:hanging="360"/>
      </w:pPr>
      <w:rPr>
        <w:rFonts w:hint="default"/>
        <w:lang w:val="es-mx" w:eastAsia="es-mx" w:bidi="es-mx"/>
      </w:rPr>
    </w:lvl>
    <w:lvl w:ilvl="7">
      <w:start w:val="0"/>
      <w:numFmt w:val="bullet"/>
      <w:lvlText w:val="•"/>
      <w:lvlJc w:val="left"/>
      <w:pPr>
        <w:ind w:left="6090" w:hanging="360"/>
      </w:pPr>
      <w:rPr>
        <w:rFonts w:hint="default"/>
        <w:lang w:val="es-mx" w:eastAsia="es-mx" w:bidi="es-mx"/>
      </w:rPr>
    </w:lvl>
    <w:lvl w:ilvl="8">
      <w:start w:val="0"/>
      <w:numFmt w:val="bullet"/>
      <w:lvlText w:val="•"/>
      <w:lvlJc w:val="left"/>
      <w:pPr>
        <w:ind w:left="6717" w:hanging="360"/>
      </w:pPr>
      <w:rPr>
        <w:rFonts w:hint="default"/>
        <w:lang w:val="es-mx" w:eastAsia="es-mx" w:bidi="es-mx"/>
      </w:rPr>
    </w:lvl>
  </w:abstractNum>
  <w:abstractNum w:abstractNumId="29">
    <w:multiLevelType w:val="hybridMultilevel"/>
    <w:lvl w:ilvl="0">
      <w:start w:val="1"/>
      <w:numFmt w:val="decimal"/>
      <w:lvlText w:val="%1)"/>
      <w:lvlJc w:val="left"/>
      <w:pPr>
        <w:ind w:left="935" w:hanging="358"/>
        <w:jc w:val="left"/>
      </w:pPr>
      <w:rPr>
        <w:rFonts w:hint="default" w:ascii="Arial" w:hAnsi="Arial" w:eastAsia="Arial" w:cs="Arial"/>
        <w:w w:val="99"/>
        <w:sz w:val="24"/>
        <w:szCs w:val="24"/>
        <w:lang w:val="es-mx" w:eastAsia="es-mx" w:bidi="es-mx"/>
      </w:rPr>
    </w:lvl>
    <w:lvl w:ilvl="1">
      <w:start w:val="0"/>
      <w:numFmt w:val="bullet"/>
      <w:lvlText w:val="•"/>
      <w:lvlJc w:val="left"/>
      <w:pPr>
        <w:ind w:left="1558" w:hanging="358"/>
      </w:pPr>
      <w:rPr>
        <w:rFonts w:hint="default"/>
        <w:lang w:val="es-mx" w:eastAsia="es-mx" w:bidi="es-mx"/>
      </w:rPr>
    </w:lvl>
    <w:lvl w:ilvl="2">
      <w:start w:val="0"/>
      <w:numFmt w:val="bullet"/>
      <w:lvlText w:val="•"/>
      <w:lvlJc w:val="left"/>
      <w:pPr>
        <w:ind w:left="2177" w:hanging="358"/>
      </w:pPr>
      <w:rPr>
        <w:rFonts w:hint="default"/>
        <w:lang w:val="es-mx" w:eastAsia="es-mx" w:bidi="es-mx"/>
      </w:rPr>
    </w:lvl>
    <w:lvl w:ilvl="3">
      <w:start w:val="0"/>
      <w:numFmt w:val="bullet"/>
      <w:lvlText w:val="•"/>
      <w:lvlJc w:val="left"/>
      <w:pPr>
        <w:ind w:left="2795" w:hanging="358"/>
      </w:pPr>
      <w:rPr>
        <w:rFonts w:hint="default"/>
        <w:lang w:val="es-mx" w:eastAsia="es-mx" w:bidi="es-mx"/>
      </w:rPr>
    </w:lvl>
    <w:lvl w:ilvl="4">
      <w:start w:val="0"/>
      <w:numFmt w:val="bullet"/>
      <w:lvlText w:val="•"/>
      <w:lvlJc w:val="left"/>
      <w:pPr>
        <w:ind w:left="3414" w:hanging="358"/>
      </w:pPr>
      <w:rPr>
        <w:rFonts w:hint="default"/>
        <w:lang w:val="es-mx" w:eastAsia="es-mx" w:bidi="es-mx"/>
      </w:rPr>
    </w:lvl>
    <w:lvl w:ilvl="5">
      <w:start w:val="0"/>
      <w:numFmt w:val="bullet"/>
      <w:lvlText w:val="•"/>
      <w:lvlJc w:val="left"/>
      <w:pPr>
        <w:ind w:left="4032" w:hanging="358"/>
      </w:pPr>
      <w:rPr>
        <w:rFonts w:hint="default"/>
        <w:lang w:val="es-mx" w:eastAsia="es-mx" w:bidi="es-mx"/>
      </w:rPr>
    </w:lvl>
    <w:lvl w:ilvl="6">
      <w:start w:val="0"/>
      <w:numFmt w:val="bullet"/>
      <w:lvlText w:val="•"/>
      <w:lvlJc w:val="left"/>
      <w:pPr>
        <w:ind w:left="4651" w:hanging="358"/>
      </w:pPr>
      <w:rPr>
        <w:rFonts w:hint="default"/>
        <w:lang w:val="es-mx" w:eastAsia="es-mx" w:bidi="es-mx"/>
      </w:rPr>
    </w:lvl>
    <w:lvl w:ilvl="7">
      <w:start w:val="0"/>
      <w:numFmt w:val="bullet"/>
      <w:lvlText w:val="•"/>
      <w:lvlJc w:val="left"/>
      <w:pPr>
        <w:ind w:left="5269" w:hanging="358"/>
      </w:pPr>
      <w:rPr>
        <w:rFonts w:hint="default"/>
        <w:lang w:val="es-mx" w:eastAsia="es-mx" w:bidi="es-mx"/>
      </w:rPr>
    </w:lvl>
    <w:lvl w:ilvl="8">
      <w:start w:val="0"/>
      <w:numFmt w:val="bullet"/>
      <w:lvlText w:val="•"/>
      <w:lvlJc w:val="left"/>
      <w:pPr>
        <w:ind w:left="5888" w:hanging="358"/>
      </w:pPr>
      <w:rPr>
        <w:rFonts w:hint="default"/>
        <w:lang w:val="es-mx" w:eastAsia="es-mx" w:bidi="es-mx"/>
      </w:rPr>
    </w:lvl>
  </w:abstractNum>
  <w:abstractNum w:abstractNumId="28">
    <w:multiLevelType w:val="hybridMultilevel"/>
    <w:lvl w:ilvl="0">
      <w:start w:val="1"/>
      <w:numFmt w:val="decimal"/>
      <w:lvlText w:val="%1)"/>
      <w:lvlJc w:val="left"/>
      <w:pPr>
        <w:ind w:left="738" w:hanging="406"/>
        <w:jc w:val="left"/>
      </w:pPr>
      <w:rPr>
        <w:rFonts w:hint="default" w:ascii="Arial" w:hAnsi="Arial" w:eastAsia="Arial" w:cs="Arial"/>
        <w:spacing w:val="-11"/>
        <w:w w:val="99"/>
        <w:sz w:val="24"/>
        <w:szCs w:val="24"/>
        <w:lang w:val="es-mx" w:eastAsia="es-mx" w:bidi="es-mx"/>
      </w:rPr>
    </w:lvl>
    <w:lvl w:ilvl="1">
      <w:start w:val="0"/>
      <w:numFmt w:val="bullet"/>
      <w:lvlText w:val="•"/>
      <w:lvlJc w:val="left"/>
      <w:pPr>
        <w:ind w:left="1350" w:hanging="406"/>
      </w:pPr>
      <w:rPr>
        <w:rFonts w:hint="default"/>
        <w:lang w:val="es-mx" w:eastAsia="es-mx" w:bidi="es-mx"/>
      </w:rPr>
    </w:lvl>
    <w:lvl w:ilvl="2">
      <w:start w:val="0"/>
      <w:numFmt w:val="bullet"/>
      <w:lvlText w:val="•"/>
      <w:lvlJc w:val="left"/>
      <w:pPr>
        <w:ind w:left="1961" w:hanging="406"/>
      </w:pPr>
      <w:rPr>
        <w:rFonts w:hint="default"/>
        <w:lang w:val="es-mx" w:eastAsia="es-mx" w:bidi="es-mx"/>
      </w:rPr>
    </w:lvl>
    <w:lvl w:ilvl="3">
      <w:start w:val="0"/>
      <w:numFmt w:val="bullet"/>
      <w:lvlText w:val="•"/>
      <w:lvlJc w:val="left"/>
      <w:pPr>
        <w:ind w:left="2572" w:hanging="406"/>
      </w:pPr>
      <w:rPr>
        <w:rFonts w:hint="default"/>
        <w:lang w:val="es-mx" w:eastAsia="es-mx" w:bidi="es-mx"/>
      </w:rPr>
    </w:lvl>
    <w:lvl w:ilvl="4">
      <w:start w:val="0"/>
      <w:numFmt w:val="bullet"/>
      <w:lvlText w:val="•"/>
      <w:lvlJc w:val="left"/>
      <w:pPr>
        <w:ind w:left="3183" w:hanging="406"/>
      </w:pPr>
      <w:rPr>
        <w:rFonts w:hint="default"/>
        <w:lang w:val="es-mx" w:eastAsia="es-mx" w:bidi="es-mx"/>
      </w:rPr>
    </w:lvl>
    <w:lvl w:ilvl="5">
      <w:start w:val="0"/>
      <w:numFmt w:val="bullet"/>
      <w:lvlText w:val="•"/>
      <w:lvlJc w:val="left"/>
      <w:pPr>
        <w:ind w:left="3794" w:hanging="406"/>
      </w:pPr>
      <w:rPr>
        <w:rFonts w:hint="default"/>
        <w:lang w:val="es-mx" w:eastAsia="es-mx" w:bidi="es-mx"/>
      </w:rPr>
    </w:lvl>
    <w:lvl w:ilvl="6">
      <w:start w:val="0"/>
      <w:numFmt w:val="bullet"/>
      <w:lvlText w:val="•"/>
      <w:lvlJc w:val="left"/>
      <w:pPr>
        <w:ind w:left="4405" w:hanging="406"/>
      </w:pPr>
      <w:rPr>
        <w:rFonts w:hint="default"/>
        <w:lang w:val="es-mx" w:eastAsia="es-mx" w:bidi="es-mx"/>
      </w:rPr>
    </w:lvl>
    <w:lvl w:ilvl="7">
      <w:start w:val="0"/>
      <w:numFmt w:val="bullet"/>
      <w:lvlText w:val="•"/>
      <w:lvlJc w:val="left"/>
      <w:pPr>
        <w:ind w:left="5016" w:hanging="406"/>
      </w:pPr>
      <w:rPr>
        <w:rFonts w:hint="default"/>
        <w:lang w:val="es-mx" w:eastAsia="es-mx" w:bidi="es-mx"/>
      </w:rPr>
    </w:lvl>
    <w:lvl w:ilvl="8">
      <w:start w:val="0"/>
      <w:numFmt w:val="bullet"/>
      <w:lvlText w:val="•"/>
      <w:lvlJc w:val="left"/>
      <w:pPr>
        <w:ind w:left="5627" w:hanging="406"/>
      </w:pPr>
      <w:rPr>
        <w:rFonts w:hint="default"/>
        <w:lang w:val="es-mx" w:eastAsia="es-mx" w:bidi="es-mx"/>
      </w:rPr>
    </w:lvl>
  </w:abstractNum>
  <w:abstractNum w:abstractNumId="27">
    <w:multiLevelType w:val="hybridMultilevel"/>
    <w:lvl w:ilvl="0">
      <w:start w:val="1"/>
      <w:numFmt w:val="upperRoman"/>
      <w:lvlText w:val="%1."/>
      <w:lvlJc w:val="left"/>
      <w:pPr>
        <w:ind w:left="1485" w:hanging="413"/>
        <w:jc w:val="right"/>
      </w:pPr>
      <w:rPr>
        <w:rFonts w:hint="default" w:ascii="Arial" w:hAnsi="Arial" w:eastAsia="Arial" w:cs="Arial"/>
        <w:b/>
        <w:bCs/>
        <w:w w:val="100"/>
        <w:sz w:val="24"/>
        <w:szCs w:val="24"/>
        <w:lang w:val="es-mx" w:eastAsia="es-mx" w:bidi="es-mx"/>
      </w:rPr>
    </w:lvl>
    <w:lvl w:ilvl="1">
      <w:start w:val="1"/>
      <w:numFmt w:val="lowerLetter"/>
      <w:lvlText w:val="%2)"/>
      <w:lvlJc w:val="left"/>
      <w:pPr>
        <w:ind w:left="1120" w:hanging="360"/>
        <w:jc w:val="left"/>
      </w:pPr>
      <w:rPr>
        <w:rFonts w:hint="default" w:ascii="Arial" w:hAnsi="Arial" w:eastAsia="Arial" w:cs="Arial"/>
        <w:w w:val="99"/>
        <w:sz w:val="24"/>
        <w:szCs w:val="24"/>
        <w:lang w:val="es-mx" w:eastAsia="es-mx" w:bidi="es-mx"/>
      </w:rPr>
    </w:lvl>
    <w:lvl w:ilvl="2">
      <w:start w:val="1"/>
      <w:numFmt w:val="decimal"/>
      <w:lvlText w:val="%3)"/>
      <w:lvlJc w:val="left"/>
      <w:pPr>
        <w:ind w:left="1818" w:hanging="360"/>
        <w:jc w:val="left"/>
      </w:pPr>
      <w:rPr>
        <w:rFonts w:hint="default" w:ascii="Arial" w:hAnsi="Arial" w:eastAsia="Arial" w:cs="Arial"/>
        <w:w w:val="99"/>
        <w:sz w:val="24"/>
        <w:szCs w:val="24"/>
        <w:lang w:val="es-mx" w:eastAsia="es-mx" w:bidi="es-mx"/>
      </w:rPr>
    </w:lvl>
    <w:lvl w:ilvl="3">
      <w:start w:val="1"/>
      <w:numFmt w:val="lowerLetter"/>
      <w:lvlText w:val="%4)"/>
      <w:lvlJc w:val="left"/>
      <w:pPr>
        <w:ind w:left="1600" w:hanging="360"/>
        <w:jc w:val="left"/>
      </w:pPr>
      <w:rPr>
        <w:rFonts w:hint="default" w:ascii="Arial" w:hAnsi="Arial" w:eastAsia="Arial" w:cs="Arial"/>
        <w:w w:val="99"/>
        <w:sz w:val="24"/>
        <w:szCs w:val="24"/>
        <w:lang w:val="es-mx" w:eastAsia="es-mx" w:bidi="es-mx"/>
      </w:rPr>
    </w:lvl>
    <w:lvl w:ilvl="4">
      <w:start w:val="10"/>
      <w:numFmt w:val="lowerLetter"/>
      <w:lvlText w:val="%5)"/>
      <w:lvlJc w:val="left"/>
      <w:pPr>
        <w:ind w:left="1480" w:hanging="360"/>
        <w:jc w:val="right"/>
      </w:pPr>
      <w:rPr>
        <w:rFonts w:hint="default" w:ascii="Arial" w:hAnsi="Arial" w:eastAsia="Arial" w:cs="Arial"/>
        <w:spacing w:val="-1"/>
        <w:w w:val="99"/>
        <w:sz w:val="24"/>
        <w:szCs w:val="24"/>
        <w:lang w:val="es-mx" w:eastAsia="es-mx" w:bidi="es-mx"/>
      </w:rPr>
    </w:lvl>
    <w:lvl w:ilvl="5">
      <w:start w:val="1"/>
      <w:numFmt w:val="decimal"/>
      <w:lvlText w:val="%6)"/>
      <w:lvlJc w:val="left"/>
      <w:pPr>
        <w:ind w:left="3000" w:hanging="361"/>
        <w:jc w:val="left"/>
      </w:pPr>
      <w:rPr>
        <w:rFonts w:hint="default" w:ascii="Arial" w:hAnsi="Arial" w:eastAsia="Arial" w:cs="Arial"/>
        <w:w w:val="99"/>
        <w:sz w:val="24"/>
        <w:szCs w:val="24"/>
        <w:lang w:val="es-mx" w:eastAsia="es-mx" w:bidi="es-mx"/>
      </w:rPr>
    </w:lvl>
    <w:lvl w:ilvl="6">
      <w:start w:val="1"/>
      <w:numFmt w:val="lowerLetter"/>
      <w:lvlText w:val="%7."/>
      <w:lvlJc w:val="left"/>
      <w:pPr>
        <w:ind w:left="3720" w:hanging="360"/>
        <w:jc w:val="left"/>
      </w:pPr>
      <w:rPr>
        <w:rFonts w:hint="default" w:ascii="Arial" w:hAnsi="Arial" w:eastAsia="Arial" w:cs="Arial"/>
        <w:spacing w:val="-3"/>
        <w:w w:val="99"/>
        <w:sz w:val="24"/>
        <w:szCs w:val="24"/>
        <w:lang w:val="es-mx" w:eastAsia="es-mx" w:bidi="es-mx"/>
      </w:rPr>
    </w:lvl>
    <w:lvl w:ilvl="7">
      <w:start w:val="0"/>
      <w:numFmt w:val="bullet"/>
      <w:lvlText w:val="•"/>
      <w:lvlJc w:val="left"/>
      <w:pPr>
        <w:ind w:left="3000" w:hanging="360"/>
      </w:pPr>
      <w:rPr>
        <w:rFonts w:hint="default"/>
        <w:lang w:val="es-mx" w:eastAsia="es-mx" w:bidi="es-mx"/>
      </w:rPr>
    </w:lvl>
    <w:lvl w:ilvl="8">
      <w:start w:val="0"/>
      <w:numFmt w:val="bullet"/>
      <w:lvlText w:val="•"/>
      <w:lvlJc w:val="left"/>
      <w:pPr>
        <w:ind w:left="3500" w:hanging="360"/>
      </w:pPr>
      <w:rPr>
        <w:rFonts w:hint="default"/>
        <w:lang w:val="es-mx" w:eastAsia="es-mx" w:bidi="es-mx"/>
      </w:rPr>
    </w:lvl>
  </w:abstractNum>
  <w:abstractNum w:abstractNumId="26">
    <w:multiLevelType w:val="hybridMultilevel"/>
    <w:lvl w:ilvl="0">
      <w:start w:val="1"/>
      <w:numFmt w:val="decimal"/>
      <w:lvlText w:val="%1)"/>
      <w:lvlJc w:val="left"/>
      <w:pPr>
        <w:ind w:left="1094" w:hanging="281"/>
        <w:jc w:val="right"/>
      </w:pPr>
      <w:rPr>
        <w:rFonts w:hint="default" w:ascii="Arial" w:hAnsi="Arial" w:eastAsia="Arial" w:cs="Arial"/>
        <w:spacing w:val="-2"/>
        <w:w w:val="99"/>
        <w:sz w:val="24"/>
        <w:szCs w:val="24"/>
        <w:lang w:val="es-mx" w:eastAsia="es-mx" w:bidi="es-mx"/>
      </w:rPr>
    </w:lvl>
    <w:lvl w:ilvl="1">
      <w:start w:val="0"/>
      <w:numFmt w:val="bullet"/>
      <w:lvlText w:val="•"/>
      <w:lvlJc w:val="left"/>
      <w:pPr>
        <w:ind w:left="2046" w:hanging="281"/>
      </w:pPr>
      <w:rPr>
        <w:rFonts w:hint="default"/>
        <w:lang w:val="es-mx" w:eastAsia="es-mx" w:bidi="es-mx"/>
      </w:rPr>
    </w:lvl>
    <w:lvl w:ilvl="2">
      <w:start w:val="0"/>
      <w:numFmt w:val="bullet"/>
      <w:lvlText w:val="•"/>
      <w:lvlJc w:val="left"/>
      <w:pPr>
        <w:ind w:left="2992" w:hanging="281"/>
      </w:pPr>
      <w:rPr>
        <w:rFonts w:hint="default"/>
        <w:lang w:val="es-mx" w:eastAsia="es-mx" w:bidi="es-mx"/>
      </w:rPr>
    </w:lvl>
    <w:lvl w:ilvl="3">
      <w:start w:val="0"/>
      <w:numFmt w:val="bullet"/>
      <w:lvlText w:val="•"/>
      <w:lvlJc w:val="left"/>
      <w:pPr>
        <w:ind w:left="3938" w:hanging="281"/>
      </w:pPr>
      <w:rPr>
        <w:rFonts w:hint="default"/>
        <w:lang w:val="es-mx" w:eastAsia="es-mx" w:bidi="es-mx"/>
      </w:rPr>
    </w:lvl>
    <w:lvl w:ilvl="4">
      <w:start w:val="0"/>
      <w:numFmt w:val="bullet"/>
      <w:lvlText w:val="•"/>
      <w:lvlJc w:val="left"/>
      <w:pPr>
        <w:ind w:left="4884" w:hanging="281"/>
      </w:pPr>
      <w:rPr>
        <w:rFonts w:hint="default"/>
        <w:lang w:val="es-mx" w:eastAsia="es-mx" w:bidi="es-mx"/>
      </w:rPr>
    </w:lvl>
    <w:lvl w:ilvl="5">
      <w:start w:val="0"/>
      <w:numFmt w:val="bullet"/>
      <w:lvlText w:val="•"/>
      <w:lvlJc w:val="left"/>
      <w:pPr>
        <w:ind w:left="5831" w:hanging="281"/>
      </w:pPr>
      <w:rPr>
        <w:rFonts w:hint="default"/>
        <w:lang w:val="es-mx" w:eastAsia="es-mx" w:bidi="es-mx"/>
      </w:rPr>
    </w:lvl>
    <w:lvl w:ilvl="6">
      <w:start w:val="0"/>
      <w:numFmt w:val="bullet"/>
      <w:lvlText w:val="•"/>
      <w:lvlJc w:val="left"/>
      <w:pPr>
        <w:ind w:left="6777" w:hanging="281"/>
      </w:pPr>
      <w:rPr>
        <w:rFonts w:hint="default"/>
        <w:lang w:val="es-mx" w:eastAsia="es-mx" w:bidi="es-mx"/>
      </w:rPr>
    </w:lvl>
    <w:lvl w:ilvl="7">
      <w:start w:val="0"/>
      <w:numFmt w:val="bullet"/>
      <w:lvlText w:val="•"/>
      <w:lvlJc w:val="left"/>
      <w:pPr>
        <w:ind w:left="7723" w:hanging="281"/>
      </w:pPr>
      <w:rPr>
        <w:rFonts w:hint="default"/>
        <w:lang w:val="es-mx" w:eastAsia="es-mx" w:bidi="es-mx"/>
      </w:rPr>
    </w:lvl>
    <w:lvl w:ilvl="8">
      <w:start w:val="0"/>
      <w:numFmt w:val="bullet"/>
      <w:lvlText w:val="•"/>
      <w:lvlJc w:val="left"/>
      <w:pPr>
        <w:ind w:left="8669" w:hanging="281"/>
      </w:pPr>
      <w:rPr>
        <w:rFonts w:hint="default"/>
        <w:lang w:val="es-mx" w:eastAsia="es-mx" w:bidi="es-mx"/>
      </w:rPr>
    </w:lvl>
  </w:abstractNum>
  <w:abstractNum w:abstractNumId="25">
    <w:multiLevelType w:val="hybridMultilevel"/>
    <w:lvl w:ilvl="0">
      <w:start w:val="10"/>
      <w:numFmt w:val="lowerLetter"/>
      <w:lvlText w:val="%1)"/>
      <w:lvlJc w:val="left"/>
      <w:pPr>
        <w:ind w:left="1533" w:hanging="360"/>
        <w:jc w:val="left"/>
      </w:pPr>
      <w:rPr>
        <w:rFonts w:hint="default" w:ascii="Arial" w:hAnsi="Arial" w:eastAsia="Arial" w:cs="Arial"/>
        <w:spacing w:val="-1"/>
        <w:w w:val="99"/>
        <w:sz w:val="24"/>
        <w:szCs w:val="24"/>
        <w:lang w:val="es-mx" w:eastAsia="es-mx" w:bidi="es-mx"/>
      </w:rPr>
    </w:lvl>
    <w:lvl w:ilvl="1">
      <w:start w:val="1"/>
      <w:numFmt w:val="decimal"/>
      <w:lvlText w:val="%2."/>
      <w:lvlJc w:val="left"/>
      <w:pPr>
        <w:ind w:left="3693" w:hanging="360"/>
        <w:jc w:val="left"/>
      </w:pPr>
      <w:rPr>
        <w:rFonts w:hint="default" w:ascii="Arial" w:hAnsi="Arial" w:eastAsia="Arial" w:cs="Arial"/>
        <w:spacing w:val="-2"/>
        <w:w w:val="99"/>
        <w:sz w:val="24"/>
        <w:szCs w:val="24"/>
        <w:lang w:val="es-mx" w:eastAsia="es-mx" w:bidi="es-mx"/>
      </w:rPr>
    </w:lvl>
    <w:lvl w:ilvl="2">
      <w:start w:val="0"/>
      <w:numFmt w:val="bullet"/>
      <w:lvlText w:val="•"/>
      <w:lvlJc w:val="left"/>
      <w:pPr>
        <w:ind w:left="4462" w:hanging="360"/>
      </w:pPr>
      <w:rPr>
        <w:rFonts w:hint="default"/>
        <w:lang w:val="es-mx" w:eastAsia="es-mx" w:bidi="es-mx"/>
      </w:rPr>
    </w:lvl>
    <w:lvl w:ilvl="3">
      <w:start w:val="0"/>
      <w:numFmt w:val="bullet"/>
      <w:lvlText w:val="•"/>
      <w:lvlJc w:val="left"/>
      <w:pPr>
        <w:ind w:left="5224" w:hanging="360"/>
      </w:pPr>
      <w:rPr>
        <w:rFonts w:hint="default"/>
        <w:lang w:val="es-mx" w:eastAsia="es-mx" w:bidi="es-mx"/>
      </w:rPr>
    </w:lvl>
    <w:lvl w:ilvl="4">
      <w:start w:val="0"/>
      <w:numFmt w:val="bullet"/>
      <w:lvlText w:val="•"/>
      <w:lvlJc w:val="left"/>
      <w:pPr>
        <w:ind w:left="5987" w:hanging="360"/>
      </w:pPr>
      <w:rPr>
        <w:rFonts w:hint="default"/>
        <w:lang w:val="es-mx" w:eastAsia="es-mx" w:bidi="es-mx"/>
      </w:rPr>
    </w:lvl>
    <w:lvl w:ilvl="5">
      <w:start w:val="0"/>
      <w:numFmt w:val="bullet"/>
      <w:lvlText w:val="•"/>
      <w:lvlJc w:val="left"/>
      <w:pPr>
        <w:ind w:left="6749" w:hanging="360"/>
      </w:pPr>
      <w:rPr>
        <w:rFonts w:hint="default"/>
        <w:lang w:val="es-mx" w:eastAsia="es-mx" w:bidi="es-mx"/>
      </w:rPr>
    </w:lvl>
    <w:lvl w:ilvl="6">
      <w:start w:val="0"/>
      <w:numFmt w:val="bullet"/>
      <w:lvlText w:val="•"/>
      <w:lvlJc w:val="left"/>
      <w:pPr>
        <w:ind w:left="7512" w:hanging="360"/>
      </w:pPr>
      <w:rPr>
        <w:rFonts w:hint="default"/>
        <w:lang w:val="es-mx" w:eastAsia="es-mx" w:bidi="es-mx"/>
      </w:rPr>
    </w:lvl>
    <w:lvl w:ilvl="7">
      <w:start w:val="0"/>
      <w:numFmt w:val="bullet"/>
      <w:lvlText w:val="•"/>
      <w:lvlJc w:val="left"/>
      <w:pPr>
        <w:ind w:left="8274" w:hanging="360"/>
      </w:pPr>
      <w:rPr>
        <w:rFonts w:hint="default"/>
        <w:lang w:val="es-mx" w:eastAsia="es-mx" w:bidi="es-mx"/>
      </w:rPr>
    </w:lvl>
    <w:lvl w:ilvl="8">
      <w:start w:val="0"/>
      <w:numFmt w:val="bullet"/>
      <w:lvlText w:val="•"/>
      <w:lvlJc w:val="left"/>
      <w:pPr>
        <w:ind w:left="9037" w:hanging="360"/>
      </w:pPr>
      <w:rPr>
        <w:rFonts w:hint="default"/>
        <w:lang w:val="es-mx" w:eastAsia="es-mx" w:bidi="es-mx"/>
      </w:rPr>
    </w:lvl>
  </w:abstractNum>
  <w:abstractNum w:abstractNumId="24">
    <w:multiLevelType w:val="hybridMultilevel"/>
    <w:lvl w:ilvl="0">
      <w:start w:val="1"/>
      <w:numFmt w:val="decimal"/>
      <w:lvlText w:val="%1."/>
      <w:lvlJc w:val="left"/>
      <w:pPr>
        <w:ind w:left="1148" w:hanging="336"/>
        <w:jc w:val="left"/>
      </w:pPr>
      <w:rPr>
        <w:rFonts w:hint="default" w:ascii="Arial" w:hAnsi="Arial" w:eastAsia="Arial" w:cs="Arial"/>
        <w:w w:val="99"/>
        <w:sz w:val="24"/>
        <w:szCs w:val="24"/>
        <w:lang w:val="es-mx" w:eastAsia="es-mx" w:bidi="es-mx"/>
      </w:rPr>
    </w:lvl>
    <w:lvl w:ilvl="1">
      <w:start w:val="0"/>
      <w:numFmt w:val="bullet"/>
      <w:lvlText w:val="•"/>
      <w:lvlJc w:val="left"/>
      <w:pPr>
        <w:ind w:left="2082" w:hanging="336"/>
      </w:pPr>
      <w:rPr>
        <w:rFonts w:hint="default"/>
        <w:lang w:val="es-mx" w:eastAsia="es-mx" w:bidi="es-mx"/>
      </w:rPr>
    </w:lvl>
    <w:lvl w:ilvl="2">
      <w:start w:val="0"/>
      <w:numFmt w:val="bullet"/>
      <w:lvlText w:val="•"/>
      <w:lvlJc w:val="left"/>
      <w:pPr>
        <w:ind w:left="3024" w:hanging="336"/>
      </w:pPr>
      <w:rPr>
        <w:rFonts w:hint="default"/>
        <w:lang w:val="es-mx" w:eastAsia="es-mx" w:bidi="es-mx"/>
      </w:rPr>
    </w:lvl>
    <w:lvl w:ilvl="3">
      <w:start w:val="0"/>
      <w:numFmt w:val="bullet"/>
      <w:lvlText w:val="•"/>
      <w:lvlJc w:val="left"/>
      <w:pPr>
        <w:ind w:left="3966" w:hanging="336"/>
      </w:pPr>
      <w:rPr>
        <w:rFonts w:hint="default"/>
        <w:lang w:val="es-mx" w:eastAsia="es-mx" w:bidi="es-mx"/>
      </w:rPr>
    </w:lvl>
    <w:lvl w:ilvl="4">
      <w:start w:val="0"/>
      <w:numFmt w:val="bullet"/>
      <w:lvlText w:val="•"/>
      <w:lvlJc w:val="left"/>
      <w:pPr>
        <w:ind w:left="4908" w:hanging="336"/>
      </w:pPr>
      <w:rPr>
        <w:rFonts w:hint="default"/>
        <w:lang w:val="es-mx" w:eastAsia="es-mx" w:bidi="es-mx"/>
      </w:rPr>
    </w:lvl>
    <w:lvl w:ilvl="5">
      <w:start w:val="0"/>
      <w:numFmt w:val="bullet"/>
      <w:lvlText w:val="•"/>
      <w:lvlJc w:val="left"/>
      <w:pPr>
        <w:ind w:left="5851" w:hanging="336"/>
      </w:pPr>
      <w:rPr>
        <w:rFonts w:hint="default"/>
        <w:lang w:val="es-mx" w:eastAsia="es-mx" w:bidi="es-mx"/>
      </w:rPr>
    </w:lvl>
    <w:lvl w:ilvl="6">
      <w:start w:val="0"/>
      <w:numFmt w:val="bullet"/>
      <w:lvlText w:val="•"/>
      <w:lvlJc w:val="left"/>
      <w:pPr>
        <w:ind w:left="6793" w:hanging="336"/>
      </w:pPr>
      <w:rPr>
        <w:rFonts w:hint="default"/>
        <w:lang w:val="es-mx" w:eastAsia="es-mx" w:bidi="es-mx"/>
      </w:rPr>
    </w:lvl>
    <w:lvl w:ilvl="7">
      <w:start w:val="0"/>
      <w:numFmt w:val="bullet"/>
      <w:lvlText w:val="•"/>
      <w:lvlJc w:val="left"/>
      <w:pPr>
        <w:ind w:left="7735" w:hanging="336"/>
      </w:pPr>
      <w:rPr>
        <w:rFonts w:hint="default"/>
        <w:lang w:val="es-mx" w:eastAsia="es-mx" w:bidi="es-mx"/>
      </w:rPr>
    </w:lvl>
    <w:lvl w:ilvl="8">
      <w:start w:val="0"/>
      <w:numFmt w:val="bullet"/>
      <w:lvlText w:val="•"/>
      <w:lvlJc w:val="left"/>
      <w:pPr>
        <w:ind w:left="8677" w:hanging="336"/>
      </w:pPr>
      <w:rPr>
        <w:rFonts w:hint="default"/>
        <w:lang w:val="es-mx" w:eastAsia="es-mx" w:bidi="es-mx"/>
      </w:rPr>
    </w:lvl>
  </w:abstractNum>
  <w:abstractNum w:abstractNumId="23">
    <w:multiLevelType w:val="hybridMultilevel"/>
    <w:lvl w:ilvl="0">
      <w:start w:val="1"/>
      <w:numFmt w:val="decimal"/>
      <w:lvlText w:val="%1)"/>
      <w:lvlJc w:val="left"/>
      <w:pPr>
        <w:ind w:left="1216" w:hanging="360"/>
        <w:jc w:val="left"/>
      </w:pPr>
      <w:rPr>
        <w:rFonts w:hint="default" w:ascii="Arial" w:hAnsi="Arial" w:eastAsia="Arial" w:cs="Arial"/>
        <w:w w:val="99"/>
        <w:sz w:val="24"/>
        <w:szCs w:val="24"/>
        <w:lang w:val="es-mx" w:eastAsia="es-mx" w:bidi="es-mx"/>
      </w:rPr>
    </w:lvl>
    <w:lvl w:ilvl="1">
      <w:start w:val="1"/>
      <w:numFmt w:val="lowerLetter"/>
      <w:lvlText w:val="%2)"/>
      <w:lvlJc w:val="left"/>
      <w:pPr>
        <w:ind w:left="1576" w:hanging="360"/>
        <w:jc w:val="left"/>
      </w:pPr>
      <w:rPr>
        <w:rFonts w:hint="default" w:ascii="Arial" w:hAnsi="Arial" w:eastAsia="Arial" w:cs="Arial"/>
        <w:w w:val="99"/>
        <w:sz w:val="24"/>
        <w:szCs w:val="24"/>
        <w:lang w:val="es-mx" w:eastAsia="es-mx" w:bidi="es-mx"/>
      </w:rPr>
    </w:lvl>
    <w:lvl w:ilvl="2">
      <w:start w:val="0"/>
      <w:numFmt w:val="bullet"/>
      <w:lvlText w:val="•"/>
      <w:lvlJc w:val="left"/>
      <w:pPr>
        <w:ind w:left="2578" w:hanging="360"/>
      </w:pPr>
      <w:rPr>
        <w:rFonts w:hint="default"/>
        <w:lang w:val="es-mx" w:eastAsia="es-mx" w:bidi="es-mx"/>
      </w:rPr>
    </w:lvl>
    <w:lvl w:ilvl="3">
      <w:start w:val="0"/>
      <w:numFmt w:val="bullet"/>
      <w:lvlText w:val="•"/>
      <w:lvlJc w:val="left"/>
      <w:pPr>
        <w:ind w:left="3576" w:hanging="360"/>
      </w:pPr>
      <w:rPr>
        <w:rFonts w:hint="default"/>
        <w:lang w:val="es-mx" w:eastAsia="es-mx" w:bidi="es-mx"/>
      </w:rPr>
    </w:lvl>
    <w:lvl w:ilvl="4">
      <w:start w:val="0"/>
      <w:numFmt w:val="bullet"/>
      <w:lvlText w:val="•"/>
      <w:lvlJc w:val="left"/>
      <w:pPr>
        <w:ind w:left="4574" w:hanging="360"/>
      </w:pPr>
      <w:rPr>
        <w:rFonts w:hint="default"/>
        <w:lang w:val="es-mx" w:eastAsia="es-mx" w:bidi="es-mx"/>
      </w:rPr>
    </w:lvl>
    <w:lvl w:ilvl="5">
      <w:start w:val="0"/>
      <w:numFmt w:val="bullet"/>
      <w:lvlText w:val="•"/>
      <w:lvlJc w:val="left"/>
      <w:pPr>
        <w:ind w:left="5572" w:hanging="360"/>
      </w:pPr>
      <w:rPr>
        <w:rFonts w:hint="default"/>
        <w:lang w:val="es-mx" w:eastAsia="es-mx" w:bidi="es-mx"/>
      </w:rPr>
    </w:lvl>
    <w:lvl w:ilvl="6">
      <w:start w:val="0"/>
      <w:numFmt w:val="bullet"/>
      <w:lvlText w:val="•"/>
      <w:lvlJc w:val="left"/>
      <w:pPr>
        <w:ind w:left="6570" w:hanging="360"/>
      </w:pPr>
      <w:rPr>
        <w:rFonts w:hint="default"/>
        <w:lang w:val="es-mx" w:eastAsia="es-mx" w:bidi="es-mx"/>
      </w:rPr>
    </w:lvl>
    <w:lvl w:ilvl="7">
      <w:start w:val="0"/>
      <w:numFmt w:val="bullet"/>
      <w:lvlText w:val="•"/>
      <w:lvlJc w:val="left"/>
      <w:pPr>
        <w:ind w:left="7568" w:hanging="360"/>
      </w:pPr>
      <w:rPr>
        <w:rFonts w:hint="default"/>
        <w:lang w:val="es-mx" w:eastAsia="es-mx" w:bidi="es-mx"/>
      </w:rPr>
    </w:lvl>
    <w:lvl w:ilvl="8">
      <w:start w:val="0"/>
      <w:numFmt w:val="bullet"/>
      <w:lvlText w:val="•"/>
      <w:lvlJc w:val="left"/>
      <w:pPr>
        <w:ind w:left="8566" w:hanging="360"/>
      </w:pPr>
      <w:rPr>
        <w:rFonts w:hint="default"/>
        <w:lang w:val="es-mx" w:eastAsia="es-mx" w:bidi="es-mx"/>
      </w:rPr>
    </w:lvl>
  </w:abstractNum>
  <w:abstractNum w:abstractNumId="22">
    <w:multiLevelType w:val="hybridMultilevel"/>
    <w:lvl w:ilvl="0">
      <w:start w:val="1"/>
      <w:numFmt w:val="upperRoman"/>
      <w:lvlText w:val="%1."/>
      <w:lvlJc w:val="left"/>
      <w:pPr>
        <w:ind w:left="602" w:hanging="202"/>
        <w:jc w:val="left"/>
      </w:pPr>
      <w:rPr>
        <w:rFonts w:hint="default" w:ascii="Arial" w:hAnsi="Arial" w:eastAsia="Arial" w:cs="Arial"/>
        <w:w w:val="100"/>
        <w:sz w:val="24"/>
        <w:szCs w:val="24"/>
        <w:lang w:val="es-mx" w:eastAsia="es-mx" w:bidi="es-mx"/>
      </w:rPr>
    </w:lvl>
    <w:lvl w:ilvl="1">
      <w:start w:val="1"/>
      <w:numFmt w:val="upperRoman"/>
      <w:lvlText w:val="%2."/>
      <w:lvlJc w:val="left"/>
      <w:pPr>
        <w:ind w:left="1216" w:hanging="495"/>
        <w:jc w:val="left"/>
      </w:pPr>
      <w:rPr>
        <w:rFonts w:hint="default" w:ascii="Arial" w:hAnsi="Arial" w:eastAsia="Arial" w:cs="Arial"/>
        <w:b/>
        <w:bCs/>
        <w:w w:val="100"/>
        <w:sz w:val="24"/>
        <w:szCs w:val="24"/>
        <w:lang w:val="es-mx" w:eastAsia="es-mx" w:bidi="es-mx"/>
      </w:rPr>
    </w:lvl>
    <w:lvl w:ilvl="2">
      <w:start w:val="1"/>
      <w:numFmt w:val="lowerLetter"/>
      <w:lvlText w:val="%3)"/>
      <w:lvlJc w:val="left"/>
      <w:pPr>
        <w:ind w:left="1216" w:hanging="360"/>
        <w:jc w:val="right"/>
      </w:pPr>
      <w:rPr>
        <w:rFonts w:hint="default" w:ascii="Arial" w:hAnsi="Arial" w:eastAsia="Arial" w:cs="Arial"/>
        <w:w w:val="99"/>
        <w:sz w:val="24"/>
        <w:szCs w:val="24"/>
        <w:lang w:val="es-mx" w:eastAsia="es-mx" w:bidi="es-mx"/>
      </w:rPr>
    </w:lvl>
    <w:lvl w:ilvl="3">
      <w:start w:val="1"/>
      <w:numFmt w:val="decimal"/>
      <w:lvlText w:val="%4)"/>
      <w:lvlJc w:val="left"/>
      <w:pPr>
        <w:ind w:left="1216" w:hanging="360"/>
        <w:jc w:val="left"/>
      </w:pPr>
      <w:rPr>
        <w:rFonts w:hint="default" w:ascii="Arial" w:hAnsi="Arial" w:eastAsia="Arial" w:cs="Arial"/>
        <w:w w:val="99"/>
        <w:sz w:val="24"/>
        <w:szCs w:val="24"/>
        <w:lang w:val="es-mx" w:eastAsia="es-mx" w:bidi="es-mx"/>
      </w:rPr>
    </w:lvl>
    <w:lvl w:ilvl="4">
      <w:start w:val="0"/>
      <w:numFmt w:val="bullet"/>
      <w:lvlText w:val="•"/>
      <w:lvlJc w:val="left"/>
      <w:pPr>
        <w:ind w:left="4334" w:hanging="360"/>
      </w:pPr>
      <w:rPr>
        <w:rFonts w:hint="default"/>
        <w:lang w:val="es-mx" w:eastAsia="es-mx" w:bidi="es-mx"/>
      </w:rPr>
    </w:lvl>
    <w:lvl w:ilvl="5">
      <w:start w:val="0"/>
      <w:numFmt w:val="bullet"/>
      <w:lvlText w:val="•"/>
      <w:lvlJc w:val="left"/>
      <w:pPr>
        <w:ind w:left="5372" w:hanging="360"/>
      </w:pPr>
      <w:rPr>
        <w:rFonts w:hint="default"/>
        <w:lang w:val="es-mx" w:eastAsia="es-mx" w:bidi="es-mx"/>
      </w:rPr>
    </w:lvl>
    <w:lvl w:ilvl="6">
      <w:start w:val="0"/>
      <w:numFmt w:val="bullet"/>
      <w:lvlText w:val="•"/>
      <w:lvlJc w:val="left"/>
      <w:pPr>
        <w:ind w:left="6410" w:hanging="360"/>
      </w:pPr>
      <w:rPr>
        <w:rFonts w:hint="default"/>
        <w:lang w:val="es-mx" w:eastAsia="es-mx" w:bidi="es-mx"/>
      </w:rPr>
    </w:lvl>
    <w:lvl w:ilvl="7">
      <w:start w:val="0"/>
      <w:numFmt w:val="bullet"/>
      <w:lvlText w:val="•"/>
      <w:lvlJc w:val="left"/>
      <w:pPr>
        <w:ind w:left="7448" w:hanging="360"/>
      </w:pPr>
      <w:rPr>
        <w:rFonts w:hint="default"/>
        <w:lang w:val="es-mx" w:eastAsia="es-mx" w:bidi="es-mx"/>
      </w:rPr>
    </w:lvl>
    <w:lvl w:ilvl="8">
      <w:start w:val="0"/>
      <w:numFmt w:val="bullet"/>
      <w:lvlText w:val="•"/>
      <w:lvlJc w:val="left"/>
      <w:pPr>
        <w:ind w:left="8486" w:hanging="360"/>
      </w:pPr>
      <w:rPr>
        <w:rFonts w:hint="default"/>
        <w:lang w:val="es-mx" w:eastAsia="es-mx" w:bidi="es-mx"/>
      </w:rPr>
    </w:lvl>
  </w:abstractNum>
  <w:abstractNum w:abstractNumId="21">
    <w:multiLevelType w:val="hybridMultilevel"/>
    <w:lvl w:ilvl="0">
      <w:start w:val="1"/>
      <w:numFmt w:val="decimal"/>
      <w:lvlText w:val="%1."/>
      <w:lvlJc w:val="left"/>
      <w:pPr>
        <w:ind w:left="1588" w:hanging="346"/>
        <w:jc w:val="left"/>
      </w:pPr>
      <w:rPr>
        <w:rFonts w:hint="default" w:ascii="Arial" w:hAnsi="Arial" w:eastAsia="Arial" w:cs="Arial"/>
        <w:spacing w:val="-4"/>
        <w:w w:val="99"/>
        <w:sz w:val="24"/>
        <w:szCs w:val="24"/>
        <w:lang w:val="es-mx" w:eastAsia="es-mx" w:bidi="es-mx"/>
      </w:rPr>
    </w:lvl>
    <w:lvl w:ilvl="1">
      <w:start w:val="1"/>
      <w:numFmt w:val="lowerLetter"/>
      <w:lvlText w:val="%2)"/>
      <w:lvlJc w:val="left"/>
      <w:pPr>
        <w:ind w:left="2298" w:hanging="336"/>
        <w:jc w:val="left"/>
      </w:pPr>
      <w:rPr>
        <w:rFonts w:hint="default" w:ascii="Arial" w:hAnsi="Arial" w:eastAsia="Arial" w:cs="Arial"/>
        <w:spacing w:val="-12"/>
        <w:w w:val="99"/>
        <w:sz w:val="24"/>
        <w:szCs w:val="24"/>
        <w:lang w:val="es-mx" w:eastAsia="es-mx" w:bidi="es-mx"/>
      </w:rPr>
    </w:lvl>
    <w:lvl w:ilvl="2">
      <w:start w:val="0"/>
      <w:numFmt w:val="bullet"/>
      <w:lvlText w:val="•"/>
      <w:lvlJc w:val="left"/>
      <w:pPr>
        <w:ind w:left="3218" w:hanging="336"/>
      </w:pPr>
      <w:rPr>
        <w:rFonts w:hint="default"/>
        <w:lang w:val="es-mx" w:eastAsia="es-mx" w:bidi="es-mx"/>
      </w:rPr>
    </w:lvl>
    <w:lvl w:ilvl="3">
      <w:start w:val="0"/>
      <w:numFmt w:val="bullet"/>
      <w:lvlText w:val="•"/>
      <w:lvlJc w:val="left"/>
      <w:pPr>
        <w:ind w:left="4136" w:hanging="336"/>
      </w:pPr>
      <w:rPr>
        <w:rFonts w:hint="default"/>
        <w:lang w:val="es-mx" w:eastAsia="es-mx" w:bidi="es-mx"/>
      </w:rPr>
    </w:lvl>
    <w:lvl w:ilvl="4">
      <w:start w:val="0"/>
      <w:numFmt w:val="bullet"/>
      <w:lvlText w:val="•"/>
      <w:lvlJc w:val="left"/>
      <w:pPr>
        <w:ind w:left="5054" w:hanging="336"/>
      </w:pPr>
      <w:rPr>
        <w:rFonts w:hint="default"/>
        <w:lang w:val="es-mx" w:eastAsia="es-mx" w:bidi="es-mx"/>
      </w:rPr>
    </w:lvl>
    <w:lvl w:ilvl="5">
      <w:start w:val="0"/>
      <w:numFmt w:val="bullet"/>
      <w:lvlText w:val="•"/>
      <w:lvlJc w:val="left"/>
      <w:pPr>
        <w:ind w:left="5972" w:hanging="336"/>
      </w:pPr>
      <w:rPr>
        <w:rFonts w:hint="default"/>
        <w:lang w:val="es-mx" w:eastAsia="es-mx" w:bidi="es-mx"/>
      </w:rPr>
    </w:lvl>
    <w:lvl w:ilvl="6">
      <w:start w:val="0"/>
      <w:numFmt w:val="bullet"/>
      <w:lvlText w:val="•"/>
      <w:lvlJc w:val="left"/>
      <w:pPr>
        <w:ind w:left="6890" w:hanging="336"/>
      </w:pPr>
      <w:rPr>
        <w:rFonts w:hint="default"/>
        <w:lang w:val="es-mx" w:eastAsia="es-mx" w:bidi="es-mx"/>
      </w:rPr>
    </w:lvl>
    <w:lvl w:ilvl="7">
      <w:start w:val="0"/>
      <w:numFmt w:val="bullet"/>
      <w:lvlText w:val="•"/>
      <w:lvlJc w:val="left"/>
      <w:pPr>
        <w:ind w:left="7808" w:hanging="336"/>
      </w:pPr>
      <w:rPr>
        <w:rFonts w:hint="default"/>
        <w:lang w:val="es-mx" w:eastAsia="es-mx" w:bidi="es-mx"/>
      </w:rPr>
    </w:lvl>
    <w:lvl w:ilvl="8">
      <w:start w:val="0"/>
      <w:numFmt w:val="bullet"/>
      <w:lvlText w:val="•"/>
      <w:lvlJc w:val="left"/>
      <w:pPr>
        <w:ind w:left="8726" w:hanging="336"/>
      </w:pPr>
      <w:rPr>
        <w:rFonts w:hint="default"/>
        <w:lang w:val="es-mx" w:eastAsia="es-mx" w:bidi="es-mx"/>
      </w:rPr>
    </w:lvl>
  </w:abstractNum>
  <w:abstractNum w:abstractNumId="20">
    <w:multiLevelType w:val="hybridMultilevel"/>
    <w:lvl w:ilvl="0">
      <w:start w:val="1"/>
      <w:numFmt w:val="lowerLetter"/>
      <w:lvlText w:val="%1)"/>
      <w:lvlJc w:val="left"/>
      <w:pPr>
        <w:ind w:left="2056" w:hanging="701"/>
        <w:jc w:val="left"/>
      </w:pPr>
      <w:rPr>
        <w:rFonts w:hint="default" w:ascii="Arial" w:hAnsi="Arial" w:eastAsia="Arial" w:cs="Arial"/>
        <w:spacing w:val="-4"/>
        <w:w w:val="99"/>
        <w:sz w:val="24"/>
        <w:szCs w:val="24"/>
        <w:lang w:val="es-mx" w:eastAsia="es-mx" w:bidi="es-mx"/>
      </w:rPr>
    </w:lvl>
    <w:lvl w:ilvl="1">
      <w:start w:val="0"/>
      <w:numFmt w:val="bullet"/>
      <w:lvlText w:val="•"/>
      <w:lvlJc w:val="left"/>
      <w:pPr>
        <w:ind w:left="2910" w:hanging="701"/>
      </w:pPr>
      <w:rPr>
        <w:rFonts w:hint="default"/>
        <w:lang w:val="es-mx" w:eastAsia="es-mx" w:bidi="es-mx"/>
      </w:rPr>
    </w:lvl>
    <w:lvl w:ilvl="2">
      <w:start w:val="0"/>
      <w:numFmt w:val="bullet"/>
      <w:lvlText w:val="•"/>
      <w:lvlJc w:val="left"/>
      <w:pPr>
        <w:ind w:left="3760" w:hanging="701"/>
      </w:pPr>
      <w:rPr>
        <w:rFonts w:hint="default"/>
        <w:lang w:val="es-mx" w:eastAsia="es-mx" w:bidi="es-mx"/>
      </w:rPr>
    </w:lvl>
    <w:lvl w:ilvl="3">
      <w:start w:val="0"/>
      <w:numFmt w:val="bullet"/>
      <w:lvlText w:val="•"/>
      <w:lvlJc w:val="left"/>
      <w:pPr>
        <w:ind w:left="4610" w:hanging="701"/>
      </w:pPr>
      <w:rPr>
        <w:rFonts w:hint="default"/>
        <w:lang w:val="es-mx" w:eastAsia="es-mx" w:bidi="es-mx"/>
      </w:rPr>
    </w:lvl>
    <w:lvl w:ilvl="4">
      <w:start w:val="0"/>
      <w:numFmt w:val="bullet"/>
      <w:lvlText w:val="•"/>
      <w:lvlJc w:val="left"/>
      <w:pPr>
        <w:ind w:left="5460" w:hanging="701"/>
      </w:pPr>
      <w:rPr>
        <w:rFonts w:hint="default"/>
        <w:lang w:val="es-mx" w:eastAsia="es-mx" w:bidi="es-mx"/>
      </w:rPr>
    </w:lvl>
    <w:lvl w:ilvl="5">
      <w:start w:val="0"/>
      <w:numFmt w:val="bullet"/>
      <w:lvlText w:val="•"/>
      <w:lvlJc w:val="left"/>
      <w:pPr>
        <w:ind w:left="6311" w:hanging="701"/>
      </w:pPr>
      <w:rPr>
        <w:rFonts w:hint="default"/>
        <w:lang w:val="es-mx" w:eastAsia="es-mx" w:bidi="es-mx"/>
      </w:rPr>
    </w:lvl>
    <w:lvl w:ilvl="6">
      <w:start w:val="0"/>
      <w:numFmt w:val="bullet"/>
      <w:lvlText w:val="•"/>
      <w:lvlJc w:val="left"/>
      <w:pPr>
        <w:ind w:left="7161" w:hanging="701"/>
      </w:pPr>
      <w:rPr>
        <w:rFonts w:hint="default"/>
        <w:lang w:val="es-mx" w:eastAsia="es-mx" w:bidi="es-mx"/>
      </w:rPr>
    </w:lvl>
    <w:lvl w:ilvl="7">
      <w:start w:val="0"/>
      <w:numFmt w:val="bullet"/>
      <w:lvlText w:val="•"/>
      <w:lvlJc w:val="left"/>
      <w:pPr>
        <w:ind w:left="8011" w:hanging="701"/>
      </w:pPr>
      <w:rPr>
        <w:rFonts w:hint="default"/>
        <w:lang w:val="es-mx" w:eastAsia="es-mx" w:bidi="es-mx"/>
      </w:rPr>
    </w:lvl>
    <w:lvl w:ilvl="8">
      <w:start w:val="0"/>
      <w:numFmt w:val="bullet"/>
      <w:lvlText w:val="•"/>
      <w:lvlJc w:val="left"/>
      <w:pPr>
        <w:ind w:left="8861" w:hanging="701"/>
      </w:pPr>
      <w:rPr>
        <w:rFonts w:hint="default"/>
        <w:lang w:val="es-mx" w:eastAsia="es-mx" w:bidi="es-mx"/>
      </w:rPr>
    </w:lvl>
  </w:abstractNum>
  <w:abstractNum w:abstractNumId="19">
    <w:multiLevelType w:val="hybridMultilevel"/>
    <w:lvl w:ilvl="0">
      <w:start w:val="1"/>
      <w:numFmt w:val="lowerLetter"/>
      <w:lvlText w:val="%1)"/>
      <w:lvlJc w:val="left"/>
      <w:pPr>
        <w:ind w:left="1252" w:hanging="569"/>
        <w:jc w:val="right"/>
      </w:pPr>
      <w:rPr>
        <w:rFonts w:hint="default" w:ascii="Arial" w:hAnsi="Arial" w:eastAsia="Arial" w:cs="Arial"/>
        <w:spacing w:val="-4"/>
        <w:w w:val="99"/>
        <w:sz w:val="24"/>
        <w:szCs w:val="24"/>
        <w:lang w:val="es-mx" w:eastAsia="es-mx" w:bidi="es-mx"/>
      </w:rPr>
    </w:lvl>
    <w:lvl w:ilvl="1">
      <w:start w:val="1"/>
      <w:numFmt w:val="decimal"/>
      <w:lvlText w:val="%2."/>
      <w:lvlJc w:val="left"/>
      <w:pPr>
        <w:ind w:left="1821" w:hanging="344"/>
        <w:jc w:val="left"/>
      </w:pPr>
      <w:rPr>
        <w:rFonts w:hint="default" w:ascii="Arial" w:hAnsi="Arial" w:eastAsia="Arial" w:cs="Arial"/>
        <w:spacing w:val="-2"/>
        <w:w w:val="99"/>
        <w:sz w:val="24"/>
        <w:szCs w:val="24"/>
        <w:lang w:val="es-mx" w:eastAsia="es-mx" w:bidi="es-mx"/>
      </w:rPr>
    </w:lvl>
    <w:lvl w:ilvl="2">
      <w:start w:val="0"/>
      <w:numFmt w:val="bullet"/>
      <w:lvlText w:val="•"/>
      <w:lvlJc w:val="left"/>
      <w:pPr>
        <w:ind w:left="2791" w:hanging="344"/>
      </w:pPr>
      <w:rPr>
        <w:rFonts w:hint="default"/>
        <w:lang w:val="es-mx" w:eastAsia="es-mx" w:bidi="es-mx"/>
      </w:rPr>
    </w:lvl>
    <w:lvl w:ilvl="3">
      <w:start w:val="0"/>
      <w:numFmt w:val="bullet"/>
      <w:lvlText w:val="•"/>
      <w:lvlJc w:val="left"/>
      <w:pPr>
        <w:ind w:left="3762" w:hanging="344"/>
      </w:pPr>
      <w:rPr>
        <w:rFonts w:hint="default"/>
        <w:lang w:val="es-mx" w:eastAsia="es-mx" w:bidi="es-mx"/>
      </w:rPr>
    </w:lvl>
    <w:lvl w:ilvl="4">
      <w:start w:val="0"/>
      <w:numFmt w:val="bullet"/>
      <w:lvlText w:val="•"/>
      <w:lvlJc w:val="left"/>
      <w:pPr>
        <w:ind w:left="4734" w:hanging="344"/>
      </w:pPr>
      <w:rPr>
        <w:rFonts w:hint="default"/>
        <w:lang w:val="es-mx" w:eastAsia="es-mx" w:bidi="es-mx"/>
      </w:rPr>
    </w:lvl>
    <w:lvl w:ilvl="5">
      <w:start w:val="0"/>
      <w:numFmt w:val="bullet"/>
      <w:lvlText w:val="•"/>
      <w:lvlJc w:val="left"/>
      <w:pPr>
        <w:ind w:left="5705" w:hanging="344"/>
      </w:pPr>
      <w:rPr>
        <w:rFonts w:hint="default"/>
        <w:lang w:val="es-mx" w:eastAsia="es-mx" w:bidi="es-mx"/>
      </w:rPr>
    </w:lvl>
    <w:lvl w:ilvl="6">
      <w:start w:val="0"/>
      <w:numFmt w:val="bullet"/>
      <w:lvlText w:val="•"/>
      <w:lvlJc w:val="left"/>
      <w:pPr>
        <w:ind w:left="6676" w:hanging="344"/>
      </w:pPr>
      <w:rPr>
        <w:rFonts w:hint="default"/>
        <w:lang w:val="es-mx" w:eastAsia="es-mx" w:bidi="es-mx"/>
      </w:rPr>
    </w:lvl>
    <w:lvl w:ilvl="7">
      <w:start w:val="0"/>
      <w:numFmt w:val="bullet"/>
      <w:lvlText w:val="•"/>
      <w:lvlJc w:val="left"/>
      <w:pPr>
        <w:ind w:left="7648" w:hanging="344"/>
      </w:pPr>
      <w:rPr>
        <w:rFonts w:hint="default"/>
        <w:lang w:val="es-mx" w:eastAsia="es-mx" w:bidi="es-mx"/>
      </w:rPr>
    </w:lvl>
    <w:lvl w:ilvl="8">
      <w:start w:val="0"/>
      <w:numFmt w:val="bullet"/>
      <w:lvlText w:val="•"/>
      <w:lvlJc w:val="left"/>
      <w:pPr>
        <w:ind w:left="8619" w:hanging="344"/>
      </w:pPr>
      <w:rPr>
        <w:rFonts w:hint="default"/>
        <w:lang w:val="es-mx" w:eastAsia="es-mx" w:bidi="es-mx"/>
      </w:rPr>
    </w:lvl>
  </w:abstractNum>
  <w:abstractNum w:abstractNumId="18">
    <w:multiLevelType w:val="hybridMultilevel"/>
    <w:lvl w:ilvl="0">
      <w:start w:val="1"/>
      <w:numFmt w:val="upperRoman"/>
      <w:lvlText w:val="%1."/>
      <w:lvlJc w:val="left"/>
      <w:pPr>
        <w:ind w:left="1252" w:hanging="569"/>
        <w:jc w:val="right"/>
      </w:pPr>
      <w:rPr>
        <w:rFonts w:hint="default" w:ascii="Arial" w:hAnsi="Arial" w:eastAsia="Arial" w:cs="Arial"/>
        <w:w w:val="100"/>
        <w:sz w:val="24"/>
        <w:szCs w:val="24"/>
        <w:lang w:val="es-mx" w:eastAsia="es-mx" w:bidi="es-mx"/>
      </w:rPr>
    </w:lvl>
    <w:lvl w:ilvl="1">
      <w:start w:val="1"/>
      <w:numFmt w:val="lowerLetter"/>
      <w:lvlText w:val="%2."/>
      <w:lvlJc w:val="left"/>
      <w:pPr>
        <w:ind w:left="1717" w:hanging="269"/>
        <w:jc w:val="left"/>
      </w:pPr>
      <w:rPr>
        <w:rFonts w:hint="default" w:ascii="Arial" w:hAnsi="Arial" w:eastAsia="Arial" w:cs="Arial"/>
        <w:w w:val="99"/>
        <w:sz w:val="24"/>
        <w:szCs w:val="24"/>
        <w:lang w:val="es-mx" w:eastAsia="es-mx" w:bidi="es-mx"/>
      </w:rPr>
    </w:lvl>
    <w:lvl w:ilvl="2">
      <w:start w:val="0"/>
      <w:numFmt w:val="bullet"/>
      <w:lvlText w:val="•"/>
      <w:lvlJc w:val="left"/>
      <w:pPr>
        <w:ind w:left="2320" w:hanging="269"/>
      </w:pPr>
      <w:rPr>
        <w:rFonts w:hint="default"/>
        <w:lang w:val="es-mx" w:eastAsia="es-mx" w:bidi="es-mx"/>
      </w:rPr>
    </w:lvl>
    <w:lvl w:ilvl="3">
      <w:start w:val="0"/>
      <w:numFmt w:val="bullet"/>
      <w:lvlText w:val="•"/>
      <w:lvlJc w:val="left"/>
      <w:pPr>
        <w:ind w:left="3350" w:hanging="269"/>
      </w:pPr>
      <w:rPr>
        <w:rFonts w:hint="default"/>
        <w:lang w:val="es-mx" w:eastAsia="es-mx" w:bidi="es-mx"/>
      </w:rPr>
    </w:lvl>
    <w:lvl w:ilvl="4">
      <w:start w:val="0"/>
      <w:numFmt w:val="bullet"/>
      <w:lvlText w:val="•"/>
      <w:lvlJc w:val="left"/>
      <w:pPr>
        <w:ind w:left="4380" w:hanging="269"/>
      </w:pPr>
      <w:rPr>
        <w:rFonts w:hint="default"/>
        <w:lang w:val="es-mx" w:eastAsia="es-mx" w:bidi="es-mx"/>
      </w:rPr>
    </w:lvl>
    <w:lvl w:ilvl="5">
      <w:start w:val="0"/>
      <w:numFmt w:val="bullet"/>
      <w:lvlText w:val="•"/>
      <w:lvlJc w:val="left"/>
      <w:pPr>
        <w:ind w:left="5410" w:hanging="269"/>
      </w:pPr>
      <w:rPr>
        <w:rFonts w:hint="default"/>
        <w:lang w:val="es-mx" w:eastAsia="es-mx" w:bidi="es-mx"/>
      </w:rPr>
    </w:lvl>
    <w:lvl w:ilvl="6">
      <w:start w:val="0"/>
      <w:numFmt w:val="bullet"/>
      <w:lvlText w:val="•"/>
      <w:lvlJc w:val="left"/>
      <w:pPr>
        <w:ind w:left="6441" w:hanging="269"/>
      </w:pPr>
      <w:rPr>
        <w:rFonts w:hint="default"/>
        <w:lang w:val="es-mx" w:eastAsia="es-mx" w:bidi="es-mx"/>
      </w:rPr>
    </w:lvl>
    <w:lvl w:ilvl="7">
      <w:start w:val="0"/>
      <w:numFmt w:val="bullet"/>
      <w:lvlText w:val="•"/>
      <w:lvlJc w:val="left"/>
      <w:pPr>
        <w:ind w:left="7471" w:hanging="269"/>
      </w:pPr>
      <w:rPr>
        <w:rFonts w:hint="default"/>
        <w:lang w:val="es-mx" w:eastAsia="es-mx" w:bidi="es-mx"/>
      </w:rPr>
    </w:lvl>
    <w:lvl w:ilvl="8">
      <w:start w:val="0"/>
      <w:numFmt w:val="bullet"/>
      <w:lvlText w:val="•"/>
      <w:lvlJc w:val="left"/>
      <w:pPr>
        <w:ind w:left="8501" w:hanging="269"/>
      </w:pPr>
      <w:rPr>
        <w:rFonts w:hint="default"/>
        <w:lang w:val="es-mx" w:eastAsia="es-mx" w:bidi="es-mx"/>
      </w:rPr>
    </w:lvl>
  </w:abstractNum>
  <w:abstractNum w:abstractNumId="17">
    <w:multiLevelType w:val="hybridMultilevel"/>
    <w:lvl w:ilvl="0">
      <w:start w:val="1"/>
      <w:numFmt w:val="upperRoman"/>
      <w:lvlText w:val="%1."/>
      <w:lvlJc w:val="left"/>
      <w:pPr>
        <w:ind w:left="1245" w:hanging="624"/>
        <w:jc w:val="right"/>
      </w:pPr>
      <w:rPr>
        <w:rFonts w:hint="default" w:ascii="Arial" w:hAnsi="Arial" w:eastAsia="Arial" w:cs="Arial"/>
        <w:b/>
        <w:bCs/>
        <w:spacing w:val="-2"/>
        <w:w w:val="100"/>
        <w:sz w:val="24"/>
        <w:szCs w:val="24"/>
        <w:lang w:val="es-mx" w:eastAsia="es-mx" w:bidi="es-mx"/>
      </w:rPr>
    </w:lvl>
    <w:lvl w:ilvl="1">
      <w:start w:val="0"/>
      <w:numFmt w:val="bullet"/>
      <w:lvlText w:val="•"/>
      <w:lvlJc w:val="left"/>
      <w:pPr>
        <w:ind w:left="2172" w:hanging="624"/>
      </w:pPr>
      <w:rPr>
        <w:rFonts w:hint="default"/>
        <w:lang w:val="es-mx" w:eastAsia="es-mx" w:bidi="es-mx"/>
      </w:rPr>
    </w:lvl>
    <w:lvl w:ilvl="2">
      <w:start w:val="0"/>
      <w:numFmt w:val="bullet"/>
      <w:lvlText w:val="•"/>
      <w:lvlJc w:val="left"/>
      <w:pPr>
        <w:ind w:left="3104" w:hanging="624"/>
      </w:pPr>
      <w:rPr>
        <w:rFonts w:hint="default"/>
        <w:lang w:val="es-mx" w:eastAsia="es-mx" w:bidi="es-mx"/>
      </w:rPr>
    </w:lvl>
    <w:lvl w:ilvl="3">
      <w:start w:val="0"/>
      <w:numFmt w:val="bullet"/>
      <w:lvlText w:val="•"/>
      <w:lvlJc w:val="left"/>
      <w:pPr>
        <w:ind w:left="4036" w:hanging="624"/>
      </w:pPr>
      <w:rPr>
        <w:rFonts w:hint="default"/>
        <w:lang w:val="es-mx" w:eastAsia="es-mx" w:bidi="es-mx"/>
      </w:rPr>
    </w:lvl>
    <w:lvl w:ilvl="4">
      <w:start w:val="0"/>
      <w:numFmt w:val="bullet"/>
      <w:lvlText w:val="•"/>
      <w:lvlJc w:val="left"/>
      <w:pPr>
        <w:ind w:left="4968" w:hanging="624"/>
      </w:pPr>
      <w:rPr>
        <w:rFonts w:hint="default"/>
        <w:lang w:val="es-mx" w:eastAsia="es-mx" w:bidi="es-mx"/>
      </w:rPr>
    </w:lvl>
    <w:lvl w:ilvl="5">
      <w:start w:val="0"/>
      <w:numFmt w:val="bullet"/>
      <w:lvlText w:val="•"/>
      <w:lvlJc w:val="left"/>
      <w:pPr>
        <w:ind w:left="5901" w:hanging="624"/>
      </w:pPr>
      <w:rPr>
        <w:rFonts w:hint="default"/>
        <w:lang w:val="es-mx" w:eastAsia="es-mx" w:bidi="es-mx"/>
      </w:rPr>
    </w:lvl>
    <w:lvl w:ilvl="6">
      <w:start w:val="0"/>
      <w:numFmt w:val="bullet"/>
      <w:lvlText w:val="•"/>
      <w:lvlJc w:val="left"/>
      <w:pPr>
        <w:ind w:left="6833" w:hanging="624"/>
      </w:pPr>
      <w:rPr>
        <w:rFonts w:hint="default"/>
        <w:lang w:val="es-mx" w:eastAsia="es-mx" w:bidi="es-mx"/>
      </w:rPr>
    </w:lvl>
    <w:lvl w:ilvl="7">
      <w:start w:val="0"/>
      <w:numFmt w:val="bullet"/>
      <w:lvlText w:val="•"/>
      <w:lvlJc w:val="left"/>
      <w:pPr>
        <w:ind w:left="7765" w:hanging="624"/>
      </w:pPr>
      <w:rPr>
        <w:rFonts w:hint="default"/>
        <w:lang w:val="es-mx" w:eastAsia="es-mx" w:bidi="es-mx"/>
      </w:rPr>
    </w:lvl>
    <w:lvl w:ilvl="8">
      <w:start w:val="0"/>
      <w:numFmt w:val="bullet"/>
      <w:lvlText w:val="•"/>
      <w:lvlJc w:val="left"/>
      <w:pPr>
        <w:ind w:left="8697" w:hanging="624"/>
      </w:pPr>
      <w:rPr>
        <w:rFonts w:hint="default"/>
        <w:lang w:val="es-mx" w:eastAsia="es-mx" w:bidi="es-mx"/>
      </w:rPr>
    </w:lvl>
  </w:abstractNum>
  <w:abstractNum w:abstractNumId="16">
    <w:multiLevelType w:val="hybridMultilevel"/>
    <w:lvl w:ilvl="0">
      <w:start w:val="1"/>
      <w:numFmt w:val="lowerLetter"/>
      <w:lvlText w:val="%1."/>
      <w:lvlJc w:val="left"/>
      <w:pPr>
        <w:ind w:left="1718" w:hanging="360"/>
        <w:jc w:val="left"/>
      </w:pPr>
      <w:rPr>
        <w:rFonts w:hint="default" w:ascii="Arial" w:hAnsi="Arial" w:eastAsia="Arial" w:cs="Arial"/>
        <w:spacing w:val="-4"/>
        <w:w w:val="99"/>
        <w:sz w:val="24"/>
        <w:szCs w:val="24"/>
        <w:lang w:val="es-mx" w:eastAsia="es-mx" w:bidi="es-mx"/>
      </w:rPr>
    </w:lvl>
    <w:lvl w:ilvl="1">
      <w:start w:val="0"/>
      <w:numFmt w:val="bullet"/>
      <w:lvlText w:val="•"/>
      <w:lvlJc w:val="left"/>
      <w:pPr>
        <w:ind w:left="2287" w:hanging="360"/>
      </w:pPr>
      <w:rPr>
        <w:rFonts w:hint="default"/>
        <w:lang w:val="es-mx" w:eastAsia="es-mx" w:bidi="es-mx"/>
      </w:rPr>
    </w:lvl>
    <w:lvl w:ilvl="2">
      <w:start w:val="0"/>
      <w:numFmt w:val="bullet"/>
      <w:lvlText w:val="•"/>
      <w:lvlJc w:val="left"/>
      <w:pPr>
        <w:ind w:left="2854" w:hanging="360"/>
      </w:pPr>
      <w:rPr>
        <w:rFonts w:hint="default"/>
        <w:lang w:val="es-mx" w:eastAsia="es-mx" w:bidi="es-mx"/>
      </w:rPr>
    </w:lvl>
    <w:lvl w:ilvl="3">
      <w:start w:val="0"/>
      <w:numFmt w:val="bullet"/>
      <w:lvlText w:val="•"/>
      <w:lvlJc w:val="left"/>
      <w:pPr>
        <w:ind w:left="3421" w:hanging="360"/>
      </w:pPr>
      <w:rPr>
        <w:rFonts w:hint="default"/>
        <w:lang w:val="es-mx" w:eastAsia="es-mx" w:bidi="es-mx"/>
      </w:rPr>
    </w:lvl>
    <w:lvl w:ilvl="4">
      <w:start w:val="0"/>
      <w:numFmt w:val="bullet"/>
      <w:lvlText w:val="•"/>
      <w:lvlJc w:val="left"/>
      <w:pPr>
        <w:ind w:left="3989" w:hanging="360"/>
      </w:pPr>
      <w:rPr>
        <w:rFonts w:hint="default"/>
        <w:lang w:val="es-mx" w:eastAsia="es-mx" w:bidi="es-mx"/>
      </w:rPr>
    </w:lvl>
    <w:lvl w:ilvl="5">
      <w:start w:val="0"/>
      <w:numFmt w:val="bullet"/>
      <w:lvlText w:val="•"/>
      <w:lvlJc w:val="left"/>
      <w:pPr>
        <w:ind w:left="4556" w:hanging="360"/>
      </w:pPr>
      <w:rPr>
        <w:rFonts w:hint="default"/>
        <w:lang w:val="es-mx" w:eastAsia="es-mx" w:bidi="es-mx"/>
      </w:rPr>
    </w:lvl>
    <w:lvl w:ilvl="6">
      <w:start w:val="0"/>
      <w:numFmt w:val="bullet"/>
      <w:lvlText w:val="•"/>
      <w:lvlJc w:val="left"/>
      <w:pPr>
        <w:ind w:left="5123" w:hanging="360"/>
      </w:pPr>
      <w:rPr>
        <w:rFonts w:hint="default"/>
        <w:lang w:val="es-mx" w:eastAsia="es-mx" w:bidi="es-mx"/>
      </w:rPr>
    </w:lvl>
    <w:lvl w:ilvl="7">
      <w:start w:val="0"/>
      <w:numFmt w:val="bullet"/>
      <w:lvlText w:val="•"/>
      <w:lvlJc w:val="left"/>
      <w:pPr>
        <w:ind w:left="5690" w:hanging="360"/>
      </w:pPr>
      <w:rPr>
        <w:rFonts w:hint="default"/>
        <w:lang w:val="es-mx" w:eastAsia="es-mx" w:bidi="es-mx"/>
      </w:rPr>
    </w:lvl>
    <w:lvl w:ilvl="8">
      <w:start w:val="0"/>
      <w:numFmt w:val="bullet"/>
      <w:lvlText w:val="•"/>
      <w:lvlJc w:val="left"/>
      <w:pPr>
        <w:ind w:left="6258" w:hanging="360"/>
      </w:pPr>
      <w:rPr>
        <w:rFonts w:hint="default"/>
        <w:lang w:val="es-mx" w:eastAsia="es-mx" w:bidi="es-mx"/>
      </w:rPr>
    </w:lvl>
  </w:abstractNum>
  <w:abstractNum w:abstractNumId="15">
    <w:multiLevelType w:val="hybridMultilevel"/>
    <w:lvl w:ilvl="0">
      <w:start w:val="2"/>
      <w:numFmt w:val="upperRoman"/>
      <w:lvlText w:val="%1."/>
      <w:lvlJc w:val="left"/>
      <w:pPr>
        <w:ind w:left="1360" w:hanging="560"/>
        <w:jc w:val="right"/>
      </w:pPr>
      <w:rPr>
        <w:rFonts w:hint="default" w:ascii="Arial" w:hAnsi="Arial" w:eastAsia="Arial" w:cs="Arial"/>
        <w:w w:val="100"/>
        <w:sz w:val="24"/>
        <w:szCs w:val="24"/>
        <w:lang w:val="es-mx" w:eastAsia="es-mx" w:bidi="es-mx"/>
      </w:rPr>
    </w:lvl>
    <w:lvl w:ilvl="1">
      <w:start w:val="1"/>
      <w:numFmt w:val="lowerLetter"/>
      <w:lvlText w:val="%2)"/>
      <w:lvlJc w:val="left"/>
      <w:pPr>
        <w:ind w:left="1547" w:hanging="584"/>
        <w:jc w:val="left"/>
      </w:pPr>
      <w:rPr>
        <w:rFonts w:hint="default" w:ascii="Arial" w:hAnsi="Arial" w:eastAsia="Arial" w:cs="Arial"/>
        <w:spacing w:val="-2"/>
        <w:w w:val="99"/>
        <w:sz w:val="24"/>
        <w:szCs w:val="24"/>
        <w:lang w:val="es-mx" w:eastAsia="es-mx" w:bidi="es-mx"/>
      </w:rPr>
    </w:lvl>
    <w:lvl w:ilvl="2">
      <w:start w:val="0"/>
      <w:numFmt w:val="bullet"/>
      <w:lvlText w:val="•"/>
      <w:lvlJc w:val="left"/>
      <w:pPr>
        <w:ind w:left="1540" w:hanging="584"/>
      </w:pPr>
      <w:rPr>
        <w:rFonts w:hint="default"/>
        <w:lang w:val="es-mx" w:eastAsia="es-mx" w:bidi="es-mx"/>
      </w:rPr>
    </w:lvl>
    <w:lvl w:ilvl="3">
      <w:start w:val="0"/>
      <w:numFmt w:val="bullet"/>
      <w:lvlText w:val="•"/>
      <w:lvlJc w:val="left"/>
      <w:pPr>
        <w:ind w:left="2265" w:hanging="584"/>
      </w:pPr>
      <w:rPr>
        <w:rFonts w:hint="default"/>
        <w:lang w:val="es-mx" w:eastAsia="es-mx" w:bidi="es-mx"/>
      </w:rPr>
    </w:lvl>
    <w:lvl w:ilvl="4">
      <w:start w:val="0"/>
      <w:numFmt w:val="bullet"/>
      <w:lvlText w:val="•"/>
      <w:lvlJc w:val="left"/>
      <w:pPr>
        <w:ind w:left="2991" w:hanging="584"/>
      </w:pPr>
      <w:rPr>
        <w:rFonts w:hint="default"/>
        <w:lang w:val="es-mx" w:eastAsia="es-mx" w:bidi="es-mx"/>
      </w:rPr>
    </w:lvl>
    <w:lvl w:ilvl="5">
      <w:start w:val="0"/>
      <w:numFmt w:val="bullet"/>
      <w:lvlText w:val="•"/>
      <w:lvlJc w:val="left"/>
      <w:pPr>
        <w:ind w:left="3717" w:hanging="584"/>
      </w:pPr>
      <w:rPr>
        <w:rFonts w:hint="default"/>
        <w:lang w:val="es-mx" w:eastAsia="es-mx" w:bidi="es-mx"/>
      </w:rPr>
    </w:lvl>
    <w:lvl w:ilvl="6">
      <w:start w:val="0"/>
      <w:numFmt w:val="bullet"/>
      <w:lvlText w:val="•"/>
      <w:lvlJc w:val="left"/>
      <w:pPr>
        <w:ind w:left="4443" w:hanging="584"/>
      </w:pPr>
      <w:rPr>
        <w:rFonts w:hint="default"/>
        <w:lang w:val="es-mx" w:eastAsia="es-mx" w:bidi="es-mx"/>
      </w:rPr>
    </w:lvl>
    <w:lvl w:ilvl="7">
      <w:start w:val="0"/>
      <w:numFmt w:val="bullet"/>
      <w:lvlText w:val="•"/>
      <w:lvlJc w:val="left"/>
      <w:pPr>
        <w:ind w:left="5169" w:hanging="584"/>
      </w:pPr>
      <w:rPr>
        <w:rFonts w:hint="default"/>
        <w:lang w:val="es-mx" w:eastAsia="es-mx" w:bidi="es-mx"/>
      </w:rPr>
    </w:lvl>
    <w:lvl w:ilvl="8">
      <w:start w:val="0"/>
      <w:numFmt w:val="bullet"/>
      <w:lvlText w:val="•"/>
      <w:lvlJc w:val="left"/>
      <w:pPr>
        <w:ind w:left="5895" w:hanging="584"/>
      </w:pPr>
      <w:rPr>
        <w:rFonts w:hint="default"/>
        <w:lang w:val="es-mx" w:eastAsia="es-mx" w:bidi="es-mx"/>
      </w:rPr>
    </w:lvl>
  </w:abstractNum>
  <w:abstractNum w:abstractNumId="14">
    <w:multiLevelType w:val="hybridMultilevel"/>
    <w:lvl w:ilvl="0">
      <w:start w:val="1"/>
      <w:numFmt w:val="lowerLetter"/>
      <w:lvlText w:val="%1)"/>
      <w:lvlJc w:val="left"/>
      <w:pPr>
        <w:ind w:left="1389" w:hanging="574"/>
        <w:jc w:val="left"/>
      </w:pPr>
      <w:rPr>
        <w:rFonts w:hint="default" w:ascii="Arial" w:hAnsi="Arial" w:eastAsia="Arial" w:cs="Arial"/>
        <w:spacing w:val="-33"/>
        <w:w w:val="99"/>
        <w:sz w:val="24"/>
        <w:szCs w:val="24"/>
        <w:lang w:val="es-mx" w:eastAsia="es-mx" w:bidi="es-mx"/>
      </w:rPr>
    </w:lvl>
    <w:lvl w:ilvl="1">
      <w:start w:val="0"/>
      <w:numFmt w:val="bullet"/>
      <w:lvlText w:val="•"/>
      <w:lvlJc w:val="left"/>
      <w:pPr>
        <w:ind w:left="1980" w:hanging="574"/>
      </w:pPr>
      <w:rPr>
        <w:rFonts w:hint="default"/>
        <w:lang w:val="es-mx" w:eastAsia="es-mx" w:bidi="es-mx"/>
      </w:rPr>
    </w:lvl>
    <w:lvl w:ilvl="2">
      <w:start w:val="0"/>
      <w:numFmt w:val="bullet"/>
      <w:lvlText w:val="•"/>
      <w:lvlJc w:val="left"/>
      <w:pPr>
        <w:ind w:left="2581" w:hanging="574"/>
      </w:pPr>
      <w:rPr>
        <w:rFonts w:hint="default"/>
        <w:lang w:val="es-mx" w:eastAsia="es-mx" w:bidi="es-mx"/>
      </w:rPr>
    </w:lvl>
    <w:lvl w:ilvl="3">
      <w:start w:val="0"/>
      <w:numFmt w:val="bullet"/>
      <w:lvlText w:val="•"/>
      <w:lvlJc w:val="left"/>
      <w:pPr>
        <w:ind w:left="3182" w:hanging="574"/>
      </w:pPr>
      <w:rPr>
        <w:rFonts w:hint="default"/>
        <w:lang w:val="es-mx" w:eastAsia="es-mx" w:bidi="es-mx"/>
      </w:rPr>
    </w:lvl>
    <w:lvl w:ilvl="4">
      <w:start w:val="0"/>
      <w:numFmt w:val="bullet"/>
      <w:lvlText w:val="•"/>
      <w:lvlJc w:val="left"/>
      <w:pPr>
        <w:ind w:left="3783" w:hanging="574"/>
      </w:pPr>
      <w:rPr>
        <w:rFonts w:hint="default"/>
        <w:lang w:val="es-mx" w:eastAsia="es-mx" w:bidi="es-mx"/>
      </w:rPr>
    </w:lvl>
    <w:lvl w:ilvl="5">
      <w:start w:val="0"/>
      <w:numFmt w:val="bullet"/>
      <w:lvlText w:val="•"/>
      <w:lvlJc w:val="left"/>
      <w:pPr>
        <w:ind w:left="4383" w:hanging="574"/>
      </w:pPr>
      <w:rPr>
        <w:rFonts w:hint="default"/>
        <w:lang w:val="es-mx" w:eastAsia="es-mx" w:bidi="es-mx"/>
      </w:rPr>
    </w:lvl>
    <w:lvl w:ilvl="6">
      <w:start w:val="0"/>
      <w:numFmt w:val="bullet"/>
      <w:lvlText w:val="•"/>
      <w:lvlJc w:val="left"/>
      <w:pPr>
        <w:ind w:left="4984" w:hanging="574"/>
      </w:pPr>
      <w:rPr>
        <w:rFonts w:hint="default"/>
        <w:lang w:val="es-mx" w:eastAsia="es-mx" w:bidi="es-mx"/>
      </w:rPr>
    </w:lvl>
    <w:lvl w:ilvl="7">
      <w:start w:val="0"/>
      <w:numFmt w:val="bullet"/>
      <w:lvlText w:val="•"/>
      <w:lvlJc w:val="left"/>
      <w:pPr>
        <w:ind w:left="5585" w:hanging="574"/>
      </w:pPr>
      <w:rPr>
        <w:rFonts w:hint="default"/>
        <w:lang w:val="es-mx" w:eastAsia="es-mx" w:bidi="es-mx"/>
      </w:rPr>
    </w:lvl>
    <w:lvl w:ilvl="8">
      <w:start w:val="0"/>
      <w:numFmt w:val="bullet"/>
      <w:lvlText w:val="•"/>
      <w:lvlJc w:val="left"/>
      <w:pPr>
        <w:ind w:left="6186" w:hanging="574"/>
      </w:pPr>
      <w:rPr>
        <w:rFonts w:hint="default"/>
        <w:lang w:val="es-mx" w:eastAsia="es-mx" w:bidi="es-mx"/>
      </w:rPr>
    </w:lvl>
  </w:abstractNum>
  <w:abstractNum w:abstractNumId="13">
    <w:multiLevelType w:val="hybridMultilevel"/>
    <w:lvl w:ilvl="0">
      <w:start w:val="1"/>
      <w:numFmt w:val="decimal"/>
      <w:lvlText w:val="%1."/>
      <w:lvlJc w:val="left"/>
      <w:pPr>
        <w:ind w:left="1660" w:hanging="521"/>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550" w:hanging="521"/>
      </w:pPr>
      <w:rPr>
        <w:rFonts w:hint="default"/>
        <w:lang w:val="es-mx" w:eastAsia="es-mx" w:bidi="es-mx"/>
      </w:rPr>
    </w:lvl>
    <w:lvl w:ilvl="2">
      <w:start w:val="0"/>
      <w:numFmt w:val="bullet"/>
      <w:lvlText w:val="•"/>
      <w:lvlJc w:val="left"/>
      <w:pPr>
        <w:ind w:left="3440" w:hanging="521"/>
      </w:pPr>
      <w:rPr>
        <w:rFonts w:hint="default"/>
        <w:lang w:val="es-mx" w:eastAsia="es-mx" w:bidi="es-mx"/>
      </w:rPr>
    </w:lvl>
    <w:lvl w:ilvl="3">
      <w:start w:val="0"/>
      <w:numFmt w:val="bullet"/>
      <w:lvlText w:val="•"/>
      <w:lvlJc w:val="left"/>
      <w:pPr>
        <w:ind w:left="4330" w:hanging="521"/>
      </w:pPr>
      <w:rPr>
        <w:rFonts w:hint="default"/>
        <w:lang w:val="es-mx" w:eastAsia="es-mx" w:bidi="es-mx"/>
      </w:rPr>
    </w:lvl>
    <w:lvl w:ilvl="4">
      <w:start w:val="0"/>
      <w:numFmt w:val="bullet"/>
      <w:lvlText w:val="•"/>
      <w:lvlJc w:val="left"/>
      <w:pPr>
        <w:ind w:left="5220" w:hanging="521"/>
      </w:pPr>
      <w:rPr>
        <w:rFonts w:hint="default"/>
        <w:lang w:val="es-mx" w:eastAsia="es-mx" w:bidi="es-mx"/>
      </w:rPr>
    </w:lvl>
    <w:lvl w:ilvl="5">
      <w:start w:val="0"/>
      <w:numFmt w:val="bullet"/>
      <w:lvlText w:val="•"/>
      <w:lvlJc w:val="left"/>
      <w:pPr>
        <w:ind w:left="6111" w:hanging="521"/>
      </w:pPr>
      <w:rPr>
        <w:rFonts w:hint="default"/>
        <w:lang w:val="es-mx" w:eastAsia="es-mx" w:bidi="es-mx"/>
      </w:rPr>
    </w:lvl>
    <w:lvl w:ilvl="6">
      <w:start w:val="0"/>
      <w:numFmt w:val="bullet"/>
      <w:lvlText w:val="•"/>
      <w:lvlJc w:val="left"/>
      <w:pPr>
        <w:ind w:left="7001" w:hanging="521"/>
      </w:pPr>
      <w:rPr>
        <w:rFonts w:hint="default"/>
        <w:lang w:val="es-mx" w:eastAsia="es-mx" w:bidi="es-mx"/>
      </w:rPr>
    </w:lvl>
    <w:lvl w:ilvl="7">
      <w:start w:val="0"/>
      <w:numFmt w:val="bullet"/>
      <w:lvlText w:val="•"/>
      <w:lvlJc w:val="left"/>
      <w:pPr>
        <w:ind w:left="7891" w:hanging="521"/>
      </w:pPr>
      <w:rPr>
        <w:rFonts w:hint="default"/>
        <w:lang w:val="es-mx" w:eastAsia="es-mx" w:bidi="es-mx"/>
      </w:rPr>
    </w:lvl>
    <w:lvl w:ilvl="8">
      <w:start w:val="0"/>
      <w:numFmt w:val="bullet"/>
      <w:lvlText w:val="•"/>
      <w:lvlJc w:val="left"/>
      <w:pPr>
        <w:ind w:left="8781" w:hanging="521"/>
      </w:pPr>
      <w:rPr>
        <w:rFonts w:hint="default"/>
        <w:lang w:val="es-mx" w:eastAsia="es-mx" w:bidi="es-mx"/>
      </w:rPr>
    </w:lvl>
  </w:abstractNum>
  <w:abstractNum w:abstractNumId="12">
    <w:multiLevelType w:val="hybridMultilevel"/>
    <w:lvl w:ilvl="0">
      <w:start w:val="1"/>
      <w:numFmt w:val="decimal"/>
      <w:lvlText w:val="%1."/>
      <w:lvlJc w:val="left"/>
      <w:pPr>
        <w:ind w:left="1660" w:hanging="521"/>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550" w:hanging="521"/>
      </w:pPr>
      <w:rPr>
        <w:rFonts w:hint="default"/>
        <w:lang w:val="es-mx" w:eastAsia="es-mx" w:bidi="es-mx"/>
      </w:rPr>
    </w:lvl>
    <w:lvl w:ilvl="2">
      <w:start w:val="0"/>
      <w:numFmt w:val="bullet"/>
      <w:lvlText w:val="•"/>
      <w:lvlJc w:val="left"/>
      <w:pPr>
        <w:ind w:left="3440" w:hanging="521"/>
      </w:pPr>
      <w:rPr>
        <w:rFonts w:hint="default"/>
        <w:lang w:val="es-mx" w:eastAsia="es-mx" w:bidi="es-mx"/>
      </w:rPr>
    </w:lvl>
    <w:lvl w:ilvl="3">
      <w:start w:val="0"/>
      <w:numFmt w:val="bullet"/>
      <w:lvlText w:val="•"/>
      <w:lvlJc w:val="left"/>
      <w:pPr>
        <w:ind w:left="4330" w:hanging="521"/>
      </w:pPr>
      <w:rPr>
        <w:rFonts w:hint="default"/>
        <w:lang w:val="es-mx" w:eastAsia="es-mx" w:bidi="es-mx"/>
      </w:rPr>
    </w:lvl>
    <w:lvl w:ilvl="4">
      <w:start w:val="0"/>
      <w:numFmt w:val="bullet"/>
      <w:lvlText w:val="•"/>
      <w:lvlJc w:val="left"/>
      <w:pPr>
        <w:ind w:left="5220" w:hanging="521"/>
      </w:pPr>
      <w:rPr>
        <w:rFonts w:hint="default"/>
        <w:lang w:val="es-mx" w:eastAsia="es-mx" w:bidi="es-mx"/>
      </w:rPr>
    </w:lvl>
    <w:lvl w:ilvl="5">
      <w:start w:val="0"/>
      <w:numFmt w:val="bullet"/>
      <w:lvlText w:val="•"/>
      <w:lvlJc w:val="left"/>
      <w:pPr>
        <w:ind w:left="6111" w:hanging="521"/>
      </w:pPr>
      <w:rPr>
        <w:rFonts w:hint="default"/>
        <w:lang w:val="es-mx" w:eastAsia="es-mx" w:bidi="es-mx"/>
      </w:rPr>
    </w:lvl>
    <w:lvl w:ilvl="6">
      <w:start w:val="0"/>
      <w:numFmt w:val="bullet"/>
      <w:lvlText w:val="•"/>
      <w:lvlJc w:val="left"/>
      <w:pPr>
        <w:ind w:left="7001" w:hanging="521"/>
      </w:pPr>
      <w:rPr>
        <w:rFonts w:hint="default"/>
        <w:lang w:val="es-mx" w:eastAsia="es-mx" w:bidi="es-mx"/>
      </w:rPr>
    </w:lvl>
    <w:lvl w:ilvl="7">
      <w:start w:val="0"/>
      <w:numFmt w:val="bullet"/>
      <w:lvlText w:val="•"/>
      <w:lvlJc w:val="left"/>
      <w:pPr>
        <w:ind w:left="7891" w:hanging="521"/>
      </w:pPr>
      <w:rPr>
        <w:rFonts w:hint="default"/>
        <w:lang w:val="es-mx" w:eastAsia="es-mx" w:bidi="es-mx"/>
      </w:rPr>
    </w:lvl>
    <w:lvl w:ilvl="8">
      <w:start w:val="0"/>
      <w:numFmt w:val="bullet"/>
      <w:lvlText w:val="•"/>
      <w:lvlJc w:val="left"/>
      <w:pPr>
        <w:ind w:left="8781" w:hanging="521"/>
      </w:pPr>
      <w:rPr>
        <w:rFonts w:hint="default"/>
        <w:lang w:val="es-mx" w:eastAsia="es-mx" w:bidi="es-mx"/>
      </w:rPr>
    </w:lvl>
  </w:abstractNum>
  <w:abstractNum w:abstractNumId="11">
    <w:multiLevelType w:val="hybridMultilevel"/>
    <w:lvl w:ilvl="0">
      <w:start w:val="1"/>
      <w:numFmt w:val="lowerLetter"/>
      <w:lvlText w:val="%1)"/>
      <w:lvlJc w:val="left"/>
      <w:pPr>
        <w:ind w:left="1480" w:hanging="341"/>
        <w:jc w:val="left"/>
      </w:pPr>
      <w:rPr>
        <w:rFonts w:hint="default" w:ascii="Arial" w:hAnsi="Arial" w:eastAsia="Arial" w:cs="Arial"/>
        <w:w w:val="99"/>
        <w:sz w:val="24"/>
        <w:szCs w:val="24"/>
        <w:lang w:val="es-mx" w:eastAsia="es-mx" w:bidi="es-mx"/>
      </w:rPr>
    </w:lvl>
    <w:lvl w:ilvl="1">
      <w:start w:val="1"/>
      <w:numFmt w:val="decimal"/>
      <w:lvlText w:val="%2."/>
      <w:lvlJc w:val="left"/>
      <w:pPr>
        <w:ind w:left="1799" w:hanging="406"/>
        <w:jc w:val="left"/>
      </w:pPr>
      <w:rPr>
        <w:rFonts w:hint="default" w:ascii="Arial" w:hAnsi="Arial" w:eastAsia="Arial" w:cs="Arial"/>
        <w:spacing w:val="-2"/>
        <w:w w:val="99"/>
        <w:sz w:val="24"/>
        <w:szCs w:val="24"/>
        <w:lang w:val="es-mx" w:eastAsia="es-mx" w:bidi="es-mx"/>
      </w:rPr>
    </w:lvl>
    <w:lvl w:ilvl="2">
      <w:start w:val="0"/>
      <w:numFmt w:val="bullet"/>
      <w:lvlText w:val="•"/>
      <w:lvlJc w:val="left"/>
      <w:pPr>
        <w:ind w:left="1800" w:hanging="406"/>
      </w:pPr>
      <w:rPr>
        <w:rFonts w:hint="default"/>
        <w:lang w:val="es-mx" w:eastAsia="es-mx" w:bidi="es-mx"/>
      </w:rPr>
    </w:lvl>
    <w:lvl w:ilvl="3">
      <w:start w:val="0"/>
      <w:numFmt w:val="bullet"/>
      <w:lvlText w:val="•"/>
      <w:lvlJc w:val="left"/>
      <w:pPr>
        <w:ind w:left="1820" w:hanging="406"/>
      </w:pPr>
      <w:rPr>
        <w:rFonts w:hint="default"/>
        <w:lang w:val="es-mx" w:eastAsia="es-mx" w:bidi="es-mx"/>
      </w:rPr>
    </w:lvl>
    <w:lvl w:ilvl="4">
      <w:start w:val="0"/>
      <w:numFmt w:val="bullet"/>
      <w:lvlText w:val="•"/>
      <w:lvlJc w:val="left"/>
      <w:pPr>
        <w:ind w:left="3068" w:hanging="406"/>
      </w:pPr>
      <w:rPr>
        <w:rFonts w:hint="default"/>
        <w:lang w:val="es-mx" w:eastAsia="es-mx" w:bidi="es-mx"/>
      </w:rPr>
    </w:lvl>
    <w:lvl w:ilvl="5">
      <w:start w:val="0"/>
      <w:numFmt w:val="bullet"/>
      <w:lvlText w:val="•"/>
      <w:lvlJc w:val="left"/>
      <w:pPr>
        <w:ind w:left="4317" w:hanging="406"/>
      </w:pPr>
      <w:rPr>
        <w:rFonts w:hint="default"/>
        <w:lang w:val="es-mx" w:eastAsia="es-mx" w:bidi="es-mx"/>
      </w:rPr>
    </w:lvl>
    <w:lvl w:ilvl="6">
      <w:start w:val="0"/>
      <w:numFmt w:val="bullet"/>
      <w:lvlText w:val="•"/>
      <w:lvlJc w:val="left"/>
      <w:pPr>
        <w:ind w:left="5566" w:hanging="406"/>
      </w:pPr>
      <w:rPr>
        <w:rFonts w:hint="default"/>
        <w:lang w:val="es-mx" w:eastAsia="es-mx" w:bidi="es-mx"/>
      </w:rPr>
    </w:lvl>
    <w:lvl w:ilvl="7">
      <w:start w:val="0"/>
      <w:numFmt w:val="bullet"/>
      <w:lvlText w:val="•"/>
      <w:lvlJc w:val="left"/>
      <w:pPr>
        <w:ind w:left="6815" w:hanging="406"/>
      </w:pPr>
      <w:rPr>
        <w:rFonts w:hint="default"/>
        <w:lang w:val="es-mx" w:eastAsia="es-mx" w:bidi="es-mx"/>
      </w:rPr>
    </w:lvl>
    <w:lvl w:ilvl="8">
      <w:start w:val="0"/>
      <w:numFmt w:val="bullet"/>
      <w:lvlText w:val="•"/>
      <w:lvlJc w:val="left"/>
      <w:pPr>
        <w:ind w:left="8064" w:hanging="406"/>
      </w:pPr>
      <w:rPr>
        <w:rFonts w:hint="default"/>
        <w:lang w:val="es-mx" w:eastAsia="es-mx" w:bidi="es-mx"/>
      </w:rPr>
    </w:lvl>
  </w:abstractNum>
  <w:abstractNum w:abstractNumId="10">
    <w:multiLevelType w:val="hybridMultilevel"/>
    <w:lvl w:ilvl="0">
      <w:start w:val="1"/>
      <w:numFmt w:val="upperRoman"/>
      <w:lvlText w:val="%1."/>
      <w:lvlJc w:val="left"/>
      <w:pPr>
        <w:ind w:left="1533" w:hanging="567"/>
        <w:jc w:val="right"/>
      </w:pPr>
      <w:rPr>
        <w:rFonts w:hint="default" w:ascii="Arial" w:hAnsi="Arial" w:eastAsia="Arial" w:cs="Arial"/>
        <w:b/>
        <w:bCs/>
        <w:spacing w:val="-2"/>
        <w:w w:val="100"/>
        <w:sz w:val="24"/>
        <w:szCs w:val="24"/>
        <w:lang w:val="es-mx" w:eastAsia="es-mx" w:bidi="es-mx"/>
      </w:rPr>
    </w:lvl>
    <w:lvl w:ilvl="1">
      <w:start w:val="1"/>
      <w:numFmt w:val="lowerLetter"/>
      <w:lvlText w:val="%2)"/>
      <w:lvlJc w:val="left"/>
      <w:pPr>
        <w:ind w:left="1674" w:hanging="569"/>
        <w:jc w:val="left"/>
      </w:pPr>
      <w:rPr>
        <w:rFonts w:hint="default" w:ascii="Arial" w:hAnsi="Arial" w:eastAsia="Arial" w:cs="Arial"/>
        <w:spacing w:val="-4"/>
        <w:w w:val="99"/>
        <w:sz w:val="24"/>
        <w:szCs w:val="24"/>
        <w:lang w:val="es-mx" w:eastAsia="es-mx" w:bidi="es-mx"/>
      </w:rPr>
    </w:lvl>
    <w:lvl w:ilvl="2">
      <w:start w:val="0"/>
      <w:numFmt w:val="bullet"/>
      <w:lvlText w:val="•"/>
      <w:lvlJc w:val="left"/>
      <w:pPr>
        <w:ind w:left="2666" w:hanging="569"/>
      </w:pPr>
      <w:rPr>
        <w:rFonts w:hint="default"/>
        <w:lang w:val="es-mx" w:eastAsia="es-mx" w:bidi="es-mx"/>
      </w:rPr>
    </w:lvl>
    <w:lvl w:ilvl="3">
      <w:start w:val="0"/>
      <w:numFmt w:val="bullet"/>
      <w:lvlText w:val="•"/>
      <w:lvlJc w:val="left"/>
      <w:pPr>
        <w:ind w:left="3653" w:hanging="569"/>
      </w:pPr>
      <w:rPr>
        <w:rFonts w:hint="default"/>
        <w:lang w:val="es-mx" w:eastAsia="es-mx" w:bidi="es-mx"/>
      </w:rPr>
    </w:lvl>
    <w:lvl w:ilvl="4">
      <w:start w:val="0"/>
      <w:numFmt w:val="bullet"/>
      <w:lvlText w:val="•"/>
      <w:lvlJc w:val="left"/>
      <w:pPr>
        <w:ind w:left="4640" w:hanging="569"/>
      </w:pPr>
      <w:rPr>
        <w:rFonts w:hint="default"/>
        <w:lang w:val="es-mx" w:eastAsia="es-mx" w:bidi="es-mx"/>
      </w:rPr>
    </w:lvl>
    <w:lvl w:ilvl="5">
      <w:start w:val="0"/>
      <w:numFmt w:val="bullet"/>
      <w:lvlText w:val="•"/>
      <w:lvlJc w:val="left"/>
      <w:pPr>
        <w:ind w:left="5627" w:hanging="569"/>
      </w:pPr>
      <w:rPr>
        <w:rFonts w:hint="default"/>
        <w:lang w:val="es-mx" w:eastAsia="es-mx" w:bidi="es-mx"/>
      </w:rPr>
    </w:lvl>
    <w:lvl w:ilvl="6">
      <w:start w:val="0"/>
      <w:numFmt w:val="bullet"/>
      <w:lvlText w:val="•"/>
      <w:lvlJc w:val="left"/>
      <w:pPr>
        <w:ind w:left="6614" w:hanging="569"/>
      </w:pPr>
      <w:rPr>
        <w:rFonts w:hint="default"/>
        <w:lang w:val="es-mx" w:eastAsia="es-mx" w:bidi="es-mx"/>
      </w:rPr>
    </w:lvl>
    <w:lvl w:ilvl="7">
      <w:start w:val="0"/>
      <w:numFmt w:val="bullet"/>
      <w:lvlText w:val="•"/>
      <w:lvlJc w:val="left"/>
      <w:pPr>
        <w:ind w:left="7601" w:hanging="569"/>
      </w:pPr>
      <w:rPr>
        <w:rFonts w:hint="default"/>
        <w:lang w:val="es-mx" w:eastAsia="es-mx" w:bidi="es-mx"/>
      </w:rPr>
    </w:lvl>
    <w:lvl w:ilvl="8">
      <w:start w:val="0"/>
      <w:numFmt w:val="bullet"/>
      <w:lvlText w:val="•"/>
      <w:lvlJc w:val="left"/>
      <w:pPr>
        <w:ind w:left="8588" w:hanging="569"/>
      </w:pPr>
      <w:rPr>
        <w:rFonts w:hint="default"/>
        <w:lang w:val="es-mx" w:eastAsia="es-mx" w:bidi="es-mx"/>
      </w:rPr>
    </w:lvl>
  </w:abstractNum>
  <w:abstractNum w:abstractNumId="9">
    <w:multiLevelType w:val="hybridMultilevel"/>
    <w:lvl w:ilvl="0">
      <w:start w:val="22"/>
      <w:numFmt w:val="lowerLetter"/>
      <w:lvlText w:val="%1."/>
      <w:lvlJc w:val="left"/>
      <w:pPr>
        <w:ind w:left="1391" w:hanging="569"/>
        <w:jc w:val="left"/>
      </w:pPr>
      <w:rPr>
        <w:rFonts w:hint="default" w:ascii="Arial" w:hAnsi="Arial" w:eastAsia="Arial" w:cs="Arial"/>
        <w:b/>
        <w:bCs/>
        <w:spacing w:val="-33"/>
        <w:w w:val="99"/>
        <w:sz w:val="24"/>
        <w:szCs w:val="24"/>
        <w:lang w:val="es-mx" w:eastAsia="es-mx" w:bidi="es-mx"/>
      </w:rPr>
    </w:lvl>
    <w:lvl w:ilvl="1">
      <w:start w:val="1"/>
      <w:numFmt w:val="decimal"/>
      <w:lvlText w:val="%2."/>
      <w:lvlJc w:val="left"/>
      <w:pPr>
        <w:ind w:left="1511" w:hanging="360"/>
        <w:jc w:val="left"/>
      </w:pPr>
      <w:rPr>
        <w:rFonts w:hint="default" w:ascii="Arial" w:hAnsi="Arial" w:eastAsia="Arial" w:cs="Arial"/>
        <w:b/>
        <w:bCs/>
        <w:spacing w:val="-3"/>
        <w:w w:val="99"/>
        <w:sz w:val="24"/>
        <w:szCs w:val="24"/>
        <w:lang w:val="es-mx" w:eastAsia="es-mx" w:bidi="es-mx"/>
      </w:rPr>
    </w:lvl>
    <w:lvl w:ilvl="2">
      <w:start w:val="0"/>
      <w:numFmt w:val="bullet"/>
      <w:lvlText w:val="•"/>
      <w:lvlJc w:val="left"/>
      <w:pPr>
        <w:ind w:left="2237" w:hanging="360"/>
      </w:pPr>
      <w:rPr>
        <w:rFonts w:hint="default"/>
        <w:lang w:val="es-mx" w:eastAsia="es-mx" w:bidi="es-mx"/>
      </w:rPr>
    </w:lvl>
    <w:lvl w:ilvl="3">
      <w:start w:val="0"/>
      <w:numFmt w:val="bullet"/>
      <w:lvlText w:val="•"/>
      <w:lvlJc w:val="left"/>
      <w:pPr>
        <w:ind w:left="2955" w:hanging="360"/>
      </w:pPr>
      <w:rPr>
        <w:rFonts w:hint="default"/>
        <w:lang w:val="es-mx" w:eastAsia="es-mx" w:bidi="es-mx"/>
      </w:rPr>
    </w:lvl>
    <w:lvl w:ilvl="4">
      <w:start w:val="0"/>
      <w:numFmt w:val="bullet"/>
      <w:lvlText w:val="•"/>
      <w:lvlJc w:val="left"/>
      <w:pPr>
        <w:ind w:left="3673" w:hanging="360"/>
      </w:pPr>
      <w:rPr>
        <w:rFonts w:hint="default"/>
        <w:lang w:val="es-mx" w:eastAsia="es-mx" w:bidi="es-mx"/>
      </w:rPr>
    </w:lvl>
    <w:lvl w:ilvl="5">
      <w:start w:val="0"/>
      <w:numFmt w:val="bullet"/>
      <w:lvlText w:val="•"/>
      <w:lvlJc w:val="left"/>
      <w:pPr>
        <w:ind w:left="4391" w:hanging="360"/>
      </w:pPr>
      <w:rPr>
        <w:rFonts w:hint="default"/>
        <w:lang w:val="es-mx" w:eastAsia="es-mx" w:bidi="es-mx"/>
      </w:rPr>
    </w:lvl>
    <w:lvl w:ilvl="6">
      <w:start w:val="0"/>
      <w:numFmt w:val="bullet"/>
      <w:lvlText w:val="•"/>
      <w:lvlJc w:val="left"/>
      <w:pPr>
        <w:ind w:left="5109" w:hanging="360"/>
      </w:pPr>
      <w:rPr>
        <w:rFonts w:hint="default"/>
        <w:lang w:val="es-mx" w:eastAsia="es-mx" w:bidi="es-mx"/>
      </w:rPr>
    </w:lvl>
    <w:lvl w:ilvl="7">
      <w:start w:val="0"/>
      <w:numFmt w:val="bullet"/>
      <w:lvlText w:val="•"/>
      <w:lvlJc w:val="left"/>
      <w:pPr>
        <w:ind w:left="5827" w:hanging="360"/>
      </w:pPr>
      <w:rPr>
        <w:rFonts w:hint="default"/>
        <w:lang w:val="es-mx" w:eastAsia="es-mx" w:bidi="es-mx"/>
      </w:rPr>
    </w:lvl>
    <w:lvl w:ilvl="8">
      <w:start w:val="0"/>
      <w:numFmt w:val="bullet"/>
      <w:lvlText w:val="•"/>
      <w:lvlJc w:val="left"/>
      <w:pPr>
        <w:ind w:left="6545" w:hanging="360"/>
      </w:pPr>
      <w:rPr>
        <w:rFonts w:hint="default"/>
        <w:lang w:val="es-mx" w:eastAsia="es-mx" w:bidi="es-mx"/>
      </w:rPr>
    </w:lvl>
  </w:abstractNum>
  <w:abstractNum w:abstractNumId="8">
    <w:multiLevelType w:val="hybridMultilevel"/>
    <w:lvl w:ilvl="0">
      <w:start w:val="5"/>
      <w:numFmt w:val="lowerLetter"/>
      <w:lvlText w:val="%1."/>
      <w:lvlJc w:val="left"/>
      <w:pPr>
        <w:ind w:left="1365" w:hanging="596"/>
        <w:jc w:val="left"/>
      </w:pPr>
      <w:rPr>
        <w:rFonts w:hint="default" w:ascii="Arial" w:hAnsi="Arial" w:eastAsia="Arial" w:cs="Arial"/>
        <w:b/>
        <w:bCs/>
        <w:spacing w:val="-17"/>
        <w:w w:val="99"/>
        <w:sz w:val="24"/>
        <w:szCs w:val="24"/>
        <w:lang w:val="es-mx" w:eastAsia="es-mx" w:bidi="es-mx"/>
      </w:rPr>
    </w:lvl>
    <w:lvl w:ilvl="1">
      <w:start w:val="0"/>
      <w:numFmt w:val="bullet"/>
      <w:lvlText w:val="•"/>
      <w:lvlJc w:val="left"/>
      <w:pPr>
        <w:ind w:left="2022" w:hanging="596"/>
      </w:pPr>
      <w:rPr>
        <w:rFonts w:hint="default"/>
        <w:lang w:val="es-mx" w:eastAsia="es-mx" w:bidi="es-mx"/>
      </w:rPr>
    </w:lvl>
    <w:lvl w:ilvl="2">
      <w:start w:val="0"/>
      <w:numFmt w:val="bullet"/>
      <w:lvlText w:val="•"/>
      <w:lvlJc w:val="left"/>
      <w:pPr>
        <w:ind w:left="2684" w:hanging="596"/>
      </w:pPr>
      <w:rPr>
        <w:rFonts w:hint="default"/>
        <w:lang w:val="es-mx" w:eastAsia="es-mx" w:bidi="es-mx"/>
      </w:rPr>
    </w:lvl>
    <w:lvl w:ilvl="3">
      <w:start w:val="0"/>
      <w:numFmt w:val="bullet"/>
      <w:lvlText w:val="•"/>
      <w:lvlJc w:val="left"/>
      <w:pPr>
        <w:ind w:left="3347" w:hanging="596"/>
      </w:pPr>
      <w:rPr>
        <w:rFonts w:hint="default"/>
        <w:lang w:val="es-mx" w:eastAsia="es-mx" w:bidi="es-mx"/>
      </w:rPr>
    </w:lvl>
    <w:lvl w:ilvl="4">
      <w:start w:val="0"/>
      <w:numFmt w:val="bullet"/>
      <w:lvlText w:val="•"/>
      <w:lvlJc w:val="left"/>
      <w:pPr>
        <w:ind w:left="4009" w:hanging="596"/>
      </w:pPr>
      <w:rPr>
        <w:rFonts w:hint="default"/>
        <w:lang w:val="es-mx" w:eastAsia="es-mx" w:bidi="es-mx"/>
      </w:rPr>
    </w:lvl>
    <w:lvl w:ilvl="5">
      <w:start w:val="0"/>
      <w:numFmt w:val="bullet"/>
      <w:lvlText w:val="•"/>
      <w:lvlJc w:val="left"/>
      <w:pPr>
        <w:ind w:left="4672" w:hanging="596"/>
      </w:pPr>
      <w:rPr>
        <w:rFonts w:hint="default"/>
        <w:lang w:val="es-mx" w:eastAsia="es-mx" w:bidi="es-mx"/>
      </w:rPr>
    </w:lvl>
    <w:lvl w:ilvl="6">
      <w:start w:val="0"/>
      <w:numFmt w:val="bullet"/>
      <w:lvlText w:val="•"/>
      <w:lvlJc w:val="left"/>
      <w:pPr>
        <w:ind w:left="5334" w:hanging="596"/>
      </w:pPr>
      <w:rPr>
        <w:rFonts w:hint="default"/>
        <w:lang w:val="es-mx" w:eastAsia="es-mx" w:bidi="es-mx"/>
      </w:rPr>
    </w:lvl>
    <w:lvl w:ilvl="7">
      <w:start w:val="0"/>
      <w:numFmt w:val="bullet"/>
      <w:lvlText w:val="•"/>
      <w:lvlJc w:val="left"/>
      <w:pPr>
        <w:ind w:left="5996" w:hanging="596"/>
      </w:pPr>
      <w:rPr>
        <w:rFonts w:hint="default"/>
        <w:lang w:val="es-mx" w:eastAsia="es-mx" w:bidi="es-mx"/>
      </w:rPr>
    </w:lvl>
    <w:lvl w:ilvl="8">
      <w:start w:val="0"/>
      <w:numFmt w:val="bullet"/>
      <w:lvlText w:val="•"/>
      <w:lvlJc w:val="left"/>
      <w:pPr>
        <w:ind w:left="6659" w:hanging="596"/>
      </w:pPr>
      <w:rPr>
        <w:rFonts w:hint="default"/>
        <w:lang w:val="es-mx" w:eastAsia="es-mx" w:bidi="es-mx"/>
      </w:rPr>
    </w:lvl>
  </w:abstractNum>
  <w:abstractNum w:abstractNumId="7">
    <w:multiLevelType w:val="hybridMultilevel"/>
    <w:lvl w:ilvl="0">
      <w:start w:val="3"/>
      <w:numFmt w:val="upperRoman"/>
      <w:lvlText w:val="%1."/>
      <w:lvlJc w:val="left"/>
      <w:pPr>
        <w:ind w:left="1120" w:hanging="360"/>
        <w:jc w:val="left"/>
      </w:pPr>
      <w:rPr>
        <w:rFonts w:hint="default" w:ascii="Arial" w:hAnsi="Arial" w:eastAsia="Arial" w:cs="Arial"/>
        <w:b/>
        <w:bCs/>
        <w:w w:val="100"/>
        <w:sz w:val="24"/>
        <w:szCs w:val="24"/>
        <w:lang w:val="es-mx" w:eastAsia="es-mx" w:bidi="es-mx"/>
      </w:rPr>
    </w:lvl>
    <w:lvl w:ilvl="1">
      <w:start w:val="1"/>
      <w:numFmt w:val="lowerLetter"/>
      <w:lvlText w:val="%2."/>
      <w:lvlJc w:val="left"/>
      <w:pPr>
        <w:ind w:left="1528" w:hanging="569"/>
        <w:jc w:val="left"/>
      </w:pPr>
      <w:rPr>
        <w:rFonts w:hint="default" w:ascii="Arial" w:hAnsi="Arial" w:eastAsia="Arial" w:cs="Arial"/>
        <w:spacing w:val="-3"/>
        <w:w w:val="99"/>
        <w:sz w:val="24"/>
        <w:szCs w:val="24"/>
        <w:lang w:val="es-mx" w:eastAsia="es-mx" w:bidi="es-mx"/>
      </w:rPr>
    </w:lvl>
    <w:lvl w:ilvl="2">
      <w:start w:val="0"/>
      <w:numFmt w:val="bullet"/>
      <w:lvlText w:val="•"/>
      <w:lvlJc w:val="left"/>
      <w:pPr>
        <w:ind w:left="2524" w:hanging="569"/>
      </w:pPr>
      <w:rPr>
        <w:rFonts w:hint="default"/>
        <w:lang w:val="es-mx" w:eastAsia="es-mx" w:bidi="es-mx"/>
      </w:rPr>
    </w:lvl>
    <w:lvl w:ilvl="3">
      <w:start w:val="0"/>
      <w:numFmt w:val="bullet"/>
      <w:lvlText w:val="•"/>
      <w:lvlJc w:val="left"/>
      <w:pPr>
        <w:ind w:left="3529" w:hanging="569"/>
      </w:pPr>
      <w:rPr>
        <w:rFonts w:hint="default"/>
        <w:lang w:val="es-mx" w:eastAsia="es-mx" w:bidi="es-mx"/>
      </w:rPr>
    </w:lvl>
    <w:lvl w:ilvl="4">
      <w:start w:val="0"/>
      <w:numFmt w:val="bullet"/>
      <w:lvlText w:val="•"/>
      <w:lvlJc w:val="left"/>
      <w:pPr>
        <w:ind w:left="4534" w:hanging="569"/>
      </w:pPr>
      <w:rPr>
        <w:rFonts w:hint="default"/>
        <w:lang w:val="es-mx" w:eastAsia="es-mx" w:bidi="es-mx"/>
      </w:rPr>
    </w:lvl>
    <w:lvl w:ilvl="5">
      <w:start w:val="0"/>
      <w:numFmt w:val="bullet"/>
      <w:lvlText w:val="•"/>
      <w:lvlJc w:val="left"/>
      <w:pPr>
        <w:ind w:left="5538" w:hanging="569"/>
      </w:pPr>
      <w:rPr>
        <w:rFonts w:hint="default"/>
        <w:lang w:val="es-mx" w:eastAsia="es-mx" w:bidi="es-mx"/>
      </w:rPr>
    </w:lvl>
    <w:lvl w:ilvl="6">
      <w:start w:val="0"/>
      <w:numFmt w:val="bullet"/>
      <w:lvlText w:val="•"/>
      <w:lvlJc w:val="left"/>
      <w:pPr>
        <w:ind w:left="6543" w:hanging="569"/>
      </w:pPr>
      <w:rPr>
        <w:rFonts w:hint="default"/>
        <w:lang w:val="es-mx" w:eastAsia="es-mx" w:bidi="es-mx"/>
      </w:rPr>
    </w:lvl>
    <w:lvl w:ilvl="7">
      <w:start w:val="0"/>
      <w:numFmt w:val="bullet"/>
      <w:lvlText w:val="•"/>
      <w:lvlJc w:val="left"/>
      <w:pPr>
        <w:ind w:left="7548" w:hanging="569"/>
      </w:pPr>
      <w:rPr>
        <w:rFonts w:hint="default"/>
        <w:lang w:val="es-mx" w:eastAsia="es-mx" w:bidi="es-mx"/>
      </w:rPr>
    </w:lvl>
    <w:lvl w:ilvl="8">
      <w:start w:val="0"/>
      <w:numFmt w:val="bullet"/>
      <w:lvlText w:val="•"/>
      <w:lvlJc w:val="left"/>
      <w:pPr>
        <w:ind w:left="8552" w:hanging="569"/>
      </w:pPr>
      <w:rPr>
        <w:rFonts w:hint="default"/>
        <w:lang w:val="es-mx" w:eastAsia="es-mx" w:bidi="es-mx"/>
      </w:rPr>
    </w:lvl>
  </w:abstractNum>
  <w:abstractNum w:abstractNumId="6">
    <w:multiLevelType w:val="hybridMultilevel"/>
    <w:lvl w:ilvl="0">
      <w:start w:val="1"/>
      <w:numFmt w:val="decimal"/>
      <w:lvlText w:val="%1."/>
      <w:lvlJc w:val="left"/>
      <w:pPr>
        <w:ind w:left="1787" w:hanging="360"/>
        <w:jc w:val="left"/>
      </w:pPr>
      <w:rPr>
        <w:rFonts w:hint="default" w:ascii="Arial" w:hAnsi="Arial" w:eastAsia="Arial" w:cs="Arial"/>
        <w:spacing w:val="-3"/>
        <w:w w:val="99"/>
        <w:sz w:val="24"/>
        <w:szCs w:val="24"/>
        <w:lang w:val="es-mx" w:eastAsia="es-mx" w:bidi="es-mx"/>
      </w:rPr>
    </w:lvl>
    <w:lvl w:ilvl="1">
      <w:start w:val="0"/>
      <w:numFmt w:val="bullet"/>
      <w:lvlText w:val="•"/>
      <w:lvlJc w:val="left"/>
      <w:pPr>
        <w:ind w:left="2658" w:hanging="360"/>
      </w:pPr>
      <w:rPr>
        <w:rFonts w:hint="default"/>
        <w:lang w:val="es-mx" w:eastAsia="es-mx" w:bidi="es-mx"/>
      </w:rPr>
    </w:lvl>
    <w:lvl w:ilvl="2">
      <w:start w:val="0"/>
      <w:numFmt w:val="bullet"/>
      <w:lvlText w:val="•"/>
      <w:lvlJc w:val="left"/>
      <w:pPr>
        <w:ind w:left="3536" w:hanging="360"/>
      </w:pPr>
      <w:rPr>
        <w:rFonts w:hint="default"/>
        <w:lang w:val="es-mx" w:eastAsia="es-mx" w:bidi="es-mx"/>
      </w:rPr>
    </w:lvl>
    <w:lvl w:ilvl="3">
      <w:start w:val="0"/>
      <w:numFmt w:val="bullet"/>
      <w:lvlText w:val="•"/>
      <w:lvlJc w:val="left"/>
      <w:pPr>
        <w:ind w:left="4414" w:hanging="360"/>
      </w:pPr>
      <w:rPr>
        <w:rFonts w:hint="default"/>
        <w:lang w:val="es-mx" w:eastAsia="es-mx" w:bidi="es-mx"/>
      </w:rPr>
    </w:lvl>
    <w:lvl w:ilvl="4">
      <w:start w:val="0"/>
      <w:numFmt w:val="bullet"/>
      <w:lvlText w:val="•"/>
      <w:lvlJc w:val="left"/>
      <w:pPr>
        <w:ind w:left="5292" w:hanging="360"/>
      </w:pPr>
      <w:rPr>
        <w:rFonts w:hint="default"/>
        <w:lang w:val="es-mx" w:eastAsia="es-mx" w:bidi="es-mx"/>
      </w:rPr>
    </w:lvl>
    <w:lvl w:ilvl="5">
      <w:start w:val="0"/>
      <w:numFmt w:val="bullet"/>
      <w:lvlText w:val="•"/>
      <w:lvlJc w:val="left"/>
      <w:pPr>
        <w:ind w:left="6171" w:hanging="360"/>
      </w:pPr>
      <w:rPr>
        <w:rFonts w:hint="default"/>
        <w:lang w:val="es-mx" w:eastAsia="es-mx" w:bidi="es-mx"/>
      </w:rPr>
    </w:lvl>
    <w:lvl w:ilvl="6">
      <w:start w:val="0"/>
      <w:numFmt w:val="bullet"/>
      <w:lvlText w:val="•"/>
      <w:lvlJc w:val="left"/>
      <w:pPr>
        <w:ind w:left="7049" w:hanging="360"/>
      </w:pPr>
      <w:rPr>
        <w:rFonts w:hint="default"/>
        <w:lang w:val="es-mx" w:eastAsia="es-mx" w:bidi="es-mx"/>
      </w:rPr>
    </w:lvl>
    <w:lvl w:ilvl="7">
      <w:start w:val="0"/>
      <w:numFmt w:val="bullet"/>
      <w:lvlText w:val="•"/>
      <w:lvlJc w:val="left"/>
      <w:pPr>
        <w:ind w:left="7927" w:hanging="360"/>
      </w:pPr>
      <w:rPr>
        <w:rFonts w:hint="default"/>
        <w:lang w:val="es-mx" w:eastAsia="es-mx" w:bidi="es-mx"/>
      </w:rPr>
    </w:lvl>
    <w:lvl w:ilvl="8">
      <w:start w:val="0"/>
      <w:numFmt w:val="bullet"/>
      <w:lvlText w:val="•"/>
      <w:lvlJc w:val="left"/>
      <w:pPr>
        <w:ind w:left="8805" w:hanging="360"/>
      </w:pPr>
      <w:rPr>
        <w:rFonts w:hint="default"/>
        <w:lang w:val="es-mx" w:eastAsia="es-mx" w:bidi="es-mx"/>
      </w:rPr>
    </w:lvl>
  </w:abstractNum>
  <w:abstractNum w:abstractNumId="5">
    <w:multiLevelType w:val="hybridMultilevel"/>
    <w:lvl w:ilvl="0">
      <w:start w:val="1"/>
      <w:numFmt w:val="lowerLetter"/>
      <w:lvlText w:val="%1)"/>
      <w:lvlJc w:val="left"/>
      <w:pPr>
        <w:ind w:left="1874" w:hanging="999"/>
        <w:jc w:val="left"/>
      </w:pPr>
      <w:rPr>
        <w:rFonts w:hint="default" w:ascii="Arial" w:hAnsi="Arial" w:eastAsia="Arial" w:cs="Arial"/>
        <w:b/>
        <w:bCs/>
        <w:spacing w:val="-4"/>
        <w:w w:val="99"/>
        <w:sz w:val="24"/>
        <w:szCs w:val="24"/>
        <w:lang w:val="es-mx" w:eastAsia="es-mx" w:bidi="es-mx"/>
      </w:rPr>
    </w:lvl>
    <w:lvl w:ilvl="1">
      <w:start w:val="1"/>
      <w:numFmt w:val="upperRoman"/>
      <w:lvlText w:val="%2."/>
      <w:lvlJc w:val="left"/>
      <w:pPr>
        <w:ind w:left="1533" w:hanging="567"/>
        <w:jc w:val="left"/>
      </w:pPr>
      <w:rPr>
        <w:rFonts w:hint="default" w:ascii="Arial" w:hAnsi="Arial" w:eastAsia="Arial" w:cs="Arial"/>
        <w:b/>
        <w:bCs/>
        <w:w w:val="100"/>
        <w:sz w:val="24"/>
        <w:szCs w:val="24"/>
        <w:lang w:val="es-mx" w:eastAsia="es-mx" w:bidi="es-mx"/>
      </w:rPr>
    </w:lvl>
    <w:lvl w:ilvl="2">
      <w:start w:val="3"/>
      <w:numFmt w:val="lowerLetter"/>
      <w:lvlText w:val="%3."/>
      <w:lvlJc w:val="left"/>
      <w:pPr>
        <w:ind w:left="1840" w:hanging="360"/>
        <w:jc w:val="right"/>
      </w:pPr>
      <w:rPr>
        <w:rFonts w:hint="default" w:ascii="Arial" w:hAnsi="Arial" w:eastAsia="Arial" w:cs="Arial"/>
        <w:b/>
        <w:bCs/>
        <w:spacing w:val="-3"/>
        <w:w w:val="99"/>
        <w:sz w:val="24"/>
        <w:szCs w:val="24"/>
        <w:lang w:val="es-mx" w:eastAsia="es-mx" w:bidi="es-mx"/>
      </w:rPr>
    </w:lvl>
    <w:lvl w:ilvl="3">
      <w:start w:val="0"/>
      <w:numFmt w:val="bullet"/>
      <w:lvlText w:val="•"/>
      <w:lvlJc w:val="left"/>
      <w:pPr>
        <w:ind w:left="2965" w:hanging="360"/>
      </w:pPr>
      <w:rPr>
        <w:rFonts w:hint="default"/>
        <w:lang w:val="es-mx" w:eastAsia="es-mx" w:bidi="es-mx"/>
      </w:rPr>
    </w:lvl>
    <w:lvl w:ilvl="4">
      <w:start w:val="0"/>
      <w:numFmt w:val="bullet"/>
      <w:lvlText w:val="•"/>
      <w:lvlJc w:val="left"/>
      <w:pPr>
        <w:ind w:left="4050" w:hanging="360"/>
      </w:pPr>
      <w:rPr>
        <w:rFonts w:hint="default"/>
        <w:lang w:val="es-mx" w:eastAsia="es-mx" w:bidi="es-mx"/>
      </w:rPr>
    </w:lvl>
    <w:lvl w:ilvl="5">
      <w:start w:val="0"/>
      <w:numFmt w:val="bullet"/>
      <w:lvlText w:val="•"/>
      <w:lvlJc w:val="left"/>
      <w:pPr>
        <w:ind w:left="5135" w:hanging="360"/>
      </w:pPr>
      <w:rPr>
        <w:rFonts w:hint="default"/>
        <w:lang w:val="es-mx" w:eastAsia="es-mx" w:bidi="es-mx"/>
      </w:rPr>
    </w:lvl>
    <w:lvl w:ilvl="6">
      <w:start w:val="0"/>
      <w:numFmt w:val="bullet"/>
      <w:lvlText w:val="•"/>
      <w:lvlJc w:val="left"/>
      <w:pPr>
        <w:ind w:left="6221" w:hanging="360"/>
      </w:pPr>
      <w:rPr>
        <w:rFonts w:hint="default"/>
        <w:lang w:val="es-mx" w:eastAsia="es-mx" w:bidi="es-mx"/>
      </w:rPr>
    </w:lvl>
    <w:lvl w:ilvl="7">
      <w:start w:val="0"/>
      <w:numFmt w:val="bullet"/>
      <w:lvlText w:val="•"/>
      <w:lvlJc w:val="left"/>
      <w:pPr>
        <w:ind w:left="7306" w:hanging="360"/>
      </w:pPr>
      <w:rPr>
        <w:rFonts w:hint="default"/>
        <w:lang w:val="es-mx" w:eastAsia="es-mx" w:bidi="es-mx"/>
      </w:rPr>
    </w:lvl>
    <w:lvl w:ilvl="8">
      <w:start w:val="0"/>
      <w:numFmt w:val="bullet"/>
      <w:lvlText w:val="•"/>
      <w:lvlJc w:val="left"/>
      <w:pPr>
        <w:ind w:left="8391" w:hanging="360"/>
      </w:pPr>
      <w:rPr>
        <w:rFonts w:hint="default"/>
        <w:lang w:val="es-mx" w:eastAsia="es-mx" w:bidi="es-mx"/>
      </w:rPr>
    </w:lvl>
  </w:abstractNum>
  <w:abstractNum w:abstractNumId="4">
    <w:multiLevelType w:val="hybridMultilevel"/>
    <w:lvl w:ilvl="0">
      <w:start w:val="3"/>
      <w:numFmt w:val="decimal"/>
      <w:lvlText w:val="%1"/>
      <w:lvlJc w:val="left"/>
      <w:pPr>
        <w:ind w:left="1786" w:hanging="535"/>
        <w:jc w:val="left"/>
      </w:pPr>
      <w:rPr>
        <w:rFonts w:hint="default"/>
        <w:lang w:val="es-mx" w:eastAsia="es-mx" w:bidi="es-mx"/>
      </w:rPr>
    </w:lvl>
    <w:lvl w:ilvl="1">
      <w:start w:val="8"/>
      <w:numFmt w:val="decimalZero"/>
      <w:lvlText w:val="%1.%2"/>
      <w:lvlJc w:val="left"/>
      <w:pPr>
        <w:ind w:left="1786" w:hanging="535"/>
        <w:jc w:val="left"/>
      </w:pPr>
      <w:rPr>
        <w:rFonts w:hint="default" w:ascii="Arial" w:hAnsi="Arial" w:eastAsia="Arial" w:cs="Arial"/>
        <w:w w:val="99"/>
        <w:sz w:val="24"/>
        <w:szCs w:val="24"/>
        <w:lang w:val="es-mx" w:eastAsia="es-mx" w:bidi="es-mx"/>
      </w:rPr>
    </w:lvl>
    <w:lvl w:ilvl="2">
      <w:start w:val="1"/>
      <w:numFmt w:val="lowerLetter"/>
      <w:lvlText w:val="%3)"/>
      <w:lvlJc w:val="left"/>
      <w:pPr>
        <w:ind w:left="1950" w:hanging="281"/>
        <w:jc w:val="left"/>
      </w:pPr>
      <w:rPr>
        <w:rFonts w:hint="default" w:ascii="Arial" w:hAnsi="Arial" w:eastAsia="Arial" w:cs="Arial"/>
        <w:spacing w:val="-3"/>
        <w:w w:val="99"/>
        <w:sz w:val="24"/>
        <w:szCs w:val="24"/>
        <w:lang w:val="es-mx" w:eastAsia="es-mx" w:bidi="es-mx"/>
      </w:rPr>
    </w:lvl>
    <w:lvl w:ilvl="3">
      <w:start w:val="0"/>
      <w:numFmt w:val="bullet"/>
      <w:lvlText w:val="•"/>
      <w:lvlJc w:val="left"/>
      <w:pPr>
        <w:ind w:left="3871" w:hanging="281"/>
      </w:pPr>
      <w:rPr>
        <w:rFonts w:hint="default"/>
        <w:lang w:val="es-mx" w:eastAsia="es-mx" w:bidi="es-mx"/>
      </w:rPr>
    </w:lvl>
    <w:lvl w:ilvl="4">
      <w:start w:val="0"/>
      <w:numFmt w:val="bullet"/>
      <w:lvlText w:val="•"/>
      <w:lvlJc w:val="left"/>
      <w:pPr>
        <w:ind w:left="4827" w:hanging="281"/>
      </w:pPr>
      <w:rPr>
        <w:rFonts w:hint="default"/>
        <w:lang w:val="es-mx" w:eastAsia="es-mx" w:bidi="es-mx"/>
      </w:rPr>
    </w:lvl>
    <w:lvl w:ilvl="5">
      <w:start w:val="0"/>
      <w:numFmt w:val="bullet"/>
      <w:lvlText w:val="•"/>
      <w:lvlJc w:val="left"/>
      <w:pPr>
        <w:ind w:left="5783" w:hanging="281"/>
      </w:pPr>
      <w:rPr>
        <w:rFonts w:hint="default"/>
        <w:lang w:val="es-mx" w:eastAsia="es-mx" w:bidi="es-mx"/>
      </w:rPr>
    </w:lvl>
    <w:lvl w:ilvl="6">
      <w:start w:val="0"/>
      <w:numFmt w:val="bullet"/>
      <w:lvlText w:val="•"/>
      <w:lvlJc w:val="left"/>
      <w:pPr>
        <w:ind w:left="6739" w:hanging="281"/>
      </w:pPr>
      <w:rPr>
        <w:rFonts w:hint="default"/>
        <w:lang w:val="es-mx" w:eastAsia="es-mx" w:bidi="es-mx"/>
      </w:rPr>
    </w:lvl>
    <w:lvl w:ilvl="7">
      <w:start w:val="0"/>
      <w:numFmt w:val="bullet"/>
      <w:lvlText w:val="•"/>
      <w:lvlJc w:val="left"/>
      <w:pPr>
        <w:ind w:left="7694" w:hanging="281"/>
      </w:pPr>
      <w:rPr>
        <w:rFonts w:hint="default"/>
        <w:lang w:val="es-mx" w:eastAsia="es-mx" w:bidi="es-mx"/>
      </w:rPr>
    </w:lvl>
    <w:lvl w:ilvl="8">
      <w:start w:val="0"/>
      <w:numFmt w:val="bullet"/>
      <w:lvlText w:val="•"/>
      <w:lvlJc w:val="left"/>
      <w:pPr>
        <w:ind w:left="8650" w:hanging="281"/>
      </w:pPr>
      <w:rPr>
        <w:rFonts w:hint="default"/>
        <w:lang w:val="es-mx" w:eastAsia="es-mx" w:bidi="es-mx"/>
      </w:rPr>
    </w:lvl>
  </w:abstractNum>
  <w:abstractNum w:abstractNumId="3">
    <w:multiLevelType w:val="hybridMultilevel"/>
    <w:lvl w:ilvl="0">
      <w:start w:val="1"/>
      <w:numFmt w:val="lowerLetter"/>
      <w:lvlText w:val="%1)"/>
      <w:lvlJc w:val="left"/>
      <w:pPr>
        <w:ind w:left="1252" w:hanging="569"/>
        <w:jc w:val="left"/>
      </w:pPr>
      <w:rPr>
        <w:rFonts w:hint="default" w:ascii="Arial" w:hAnsi="Arial" w:eastAsia="Arial" w:cs="Arial"/>
        <w:w w:val="99"/>
        <w:sz w:val="24"/>
        <w:szCs w:val="24"/>
        <w:lang w:val="es-mx" w:eastAsia="es-mx" w:bidi="es-mx"/>
      </w:rPr>
    </w:lvl>
    <w:lvl w:ilvl="1">
      <w:start w:val="0"/>
      <w:numFmt w:val="bullet"/>
      <w:lvlText w:val="•"/>
      <w:lvlJc w:val="left"/>
      <w:pPr>
        <w:ind w:left="2190" w:hanging="569"/>
      </w:pPr>
      <w:rPr>
        <w:rFonts w:hint="default"/>
        <w:lang w:val="es-mx" w:eastAsia="es-mx" w:bidi="es-mx"/>
      </w:rPr>
    </w:lvl>
    <w:lvl w:ilvl="2">
      <w:start w:val="0"/>
      <w:numFmt w:val="bullet"/>
      <w:lvlText w:val="•"/>
      <w:lvlJc w:val="left"/>
      <w:pPr>
        <w:ind w:left="3120" w:hanging="569"/>
      </w:pPr>
      <w:rPr>
        <w:rFonts w:hint="default"/>
        <w:lang w:val="es-mx" w:eastAsia="es-mx" w:bidi="es-mx"/>
      </w:rPr>
    </w:lvl>
    <w:lvl w:ilvl="3">
      <w:start w:val="0"/>
      <w:numFmt w:val="bullet"/>
      <w:lvlText w:val="•"/>
      <w:lvlJc w:val="left"/>
      <w:pPr>
        <w:ind w:left="4050" w:hanging="569"/>
      </w:pPr>
      <w:rPr>
        <w:rFonts w:hint="default"/>
        <w:lang w:val="es-mx" w:eastAsia="es-mx" w:bidi="es-mx"/>
      </w:rPr>
    </w:lvl>
    <w:lvl w:ilvl="4">
      <w:start w:val="0"/>
      <w:numFmt w:val="bullet"/>
      <w:lvlText w:val="•"/>
      <w:lvlJc w:val="left"/>
      <w:pPr>
        <w:ind w:left="4980" w:hanging="569"/>
      </w:pPr>
      <w:rPr>
        <w:rFonts w:hint="default"/>
        <w:lang w:val="es-mx" w:eastAsia="es-mx" w:bidi="es-mx"/>
      </w:rPr>
    </w:lvl>
    <w:lvl w:ilvl="5">
      <w:start w:val="0"/>
      <w:numFmt w:val="bullet"/>
      <w:lvlText w:val="•"/>
      <w:lvlJc w:val="left"/>
      <w:pPr>
        <w:ind w:left="5911" w:hanging="569"/>
      </w:pPr>
      <w:rPr>
        <w:rFonts w:hint="default"/>
        <w:lang w:val="es-mx" w:eastAsia="es-mx" w:bidi="es-mx"/>
      </w:rPr>
    </w:lvl>
    <w:lvl w:ilvl="6">
      <w:start w:val="0"/>
      <w:numFmt w:val="bullet"/>
      <w:lvlText w:val="•"/>
      <w:lvlJc w:val="left"/>
      <w:pPr>
        <w:ind w:left="6841" w:hanging="569"/>
      </w:pPr>
      <w:rPr>
        <w:rFonts w:hint="default"/>
        <w:lang w:val="es-mx" w:eastAsia="es-mx" w:bidi="es-mx"/>
      </w:rPr>
    </w:lvl>
    <w:lvl w:ilvl="7">
      <w:start w:val="0"/>
      <w:numFmt w:val="bullet"/>
      <w:lvlText w:val="•"/>
      <w:lvlJc w:val="left"/>
      <w:pPr>
        <w:ind w:left="7771" w:hanging="569"/>
      </w:pPr>
      <w:rPr>
        <w:rFonts w:hint="default"/>
        <w:lang w:val="es-mx" w:eastAsia="es-mx" w:bidi="es-mx"/>
      </w:rPr>
    </w:lvl>
    <w:lvl w:ilvl="8">
      <w:start w:val="0"/>
      <w:numFmt w:val="bullet"/>
      <w:lvlText w:val="•"/>
      <w:lvlJc w:val="left"/>
      <w:pPr>
        <w:ind w:left="8701" w:hanging="569"/>
      </w:pPr>
      <w:rPr>
        <w:rFonts w:hint="default"/>
        <w:lang w:val="es-mx" w:eastAsia="es-mx" w:bidi="es-mx"/>
      </w:rPr>
    </w:lvl>
  </w:abstractNum>
  <w:abstractNum w:abstractNumId="2">
    <w:multiLevelType w:val="hybridMultilevel"/>
    <w:lvl w:ilvl="0">
      <w:start w:val="1"/>
      <w:numFmt w:val="lowerLetter"/>
      <w:lvlText w:val="%1)"/>
      <w:lvlJc w:val="left"/>
      <w:pPr>
        <w:ind w:left="1252" w:hanging="569"/>
        <w:jc w:val="left"/>
      </w:pPr>
      <w:rPr>
        <w:rFonts w:hint="default" w:ascii="Arial" w:hAnsi="Arial" w:eastAsia="Arial" w:cs="Arial"/>
        <w:w w:val="99"/>
        <w:sz w:val="24"/>
        <w:szCs w:val="24"/>
        <w:lang w:val="es-mx" w:eastAsia="es-mx" w:bidi="es-mx"/>
      </w:rPr>
    </w:lvl>
    <w:lvl w:ilvl="1">
      <w:start w:val="0"/>
      <w:numFmt w:val="bullet"/>
      <w:lvlText w:val="•"/>
      <w:lvlJc w:val="left"/>
      <w:pPr>
        <w:ind w:left="2190" w:hanging="569"/>
      </w:pPr>
      <w:rPr>
        <w:rFonts w:hint="default"/>
        <w:lang w:val="es-mx" w:eastAsia="es-mx" w:bidi="es-mx"/>
      </w:rPr>
    </w:lvl>
    <w:lvl w:ilvl="2">
      <w:start w:val="0"/>
      <w:numFmt w:val="bullet"/>
      <w:lvlText w:val="•"/>
      <w:lvlJc w:val="left"/>
      <w:pPr>
        <w:ind w:left="3120" w:hanging="569"/>
      </w:pPr>
      <w:rPr>
        <w:rFonts w:hint="default"/>
        <w:lang w:val="es-mx" w:eastAsia="es-mx" w:bidi="es-mx"/>
      </w:rPr>
    </w:lvl>
    <w:lvl w:ilvl="3">
      <w:start w:val="0"/>
      <w:numFmt w:val="bullet"/>
      <w:lvlText w:val="•"/>
      <w:lvlJc w:val="left"/>
      <w:pPr>
        <w:ind w:left="4050" w:hanging="569"/>
      </w:pPr>
      <w:rPr>
        <w:rFonts w:hint="default"/>
        <w:lang w:val="es-mx" w:eastAsia="es-mx" w:bidi="es-mx"/>
      </w:rPr>
    </w:lvl>
    <w:lvl w:ilvl="4">
      <w:start w:val="0"/>
      <w:numFmt w:val="bullet"/>
      <w:lvlText w:val="•"/>
      <w:lvlJc w:val="left"/>
      <w:pPr>
        <w:ind w:left="4980" w:hanging="569"/>
      </w:pPr>
      <w:rPr>
        <w:rFonts w:hint="default"/>
        <w:lang w:val="es-mx" w:eastAsia="es-mx" w:bidi="es-mx"/>
      </w:rPr>
    </w:lvl>
    <w:lvl w:ilvl="5">
      <w:start w:val="0"/>
      <w:numFmt w:val="bullet"/>
      <w:lvlText w:val="•"/>
      <w:lvlJc w:val="left"/>
      <w:pPr>
        <w:ind w:left="5911" w:hanging="569"/>
      </w:pPr>
      <w:rPr>
        <w:rFonts w:hint="default"/>
        <w:lang w:val="es-mx" w:eastAsia="es-mx" w:bidi="es-mx"/>
      </w:rPr>
    </w:lvl>
    <w:lvl w:ilvl="6">
      <w:start w:val="0"/>
      <w:numFmt w:val="bullet"/>
      <w:lvlText w:val="•"/>
      <w:lvlJc w:val="left"/>
      <w:pPr>
        <w:ind w:left="6841" w:hanging="569"/>
      </w:pPr>
      <w:rPr>
        <w:rFonts w:hint="default"/>
        <w:lang w:val="es-mx" w:eastAsia="es-mx" w:bidi="es-mx"/>
      </w:rPr>
    </w:lvl>
    <w:lvl w:ilvl="7">
      <w:start w:val="0"/>
      <w:numFmt w:val="bullet"/>
      <w:lvlText w:val="•"/>
      <w:lvlJc w:val="left"/>
      <w:pPr>
        <w:ind w:left="7771" w:hanging="569"/>
      </w:pPr>
      <w:rPr>
        <w:rFonts w:hint="default"/>
        <w:lang w:val="es-mx" w:eastAsia="es-mx" w:bidi="es-mx"/>
      </w:rPr>
    </w:lvl>
    <w:lvl w:ilvl="8">
      <w:start w:val="0"/>
      <w:numFmt w:val="bullet"/>
      <w:lvlText w:val="•"/>
      <w:lvlJc w:val="left"/>
      <w:pPr>
        <w:ind w:left="8701" w:hanging="569"/>
      </w:pPr>
      <w:rPr>
        <w:rFonts w:hint="default"/>
        <w:lang w:val="es-mx" w:eastAsia="es-mx" w:bidi="es-mx"/>
      </w:rPr>
    </w:lvl>
  </w:abstractNum>
  <w:abstractNum w:abstractNumId="1">
    <w:multiLevelType w:val="hybridMultilevel"/>
    <w:lvl w:ilvl="0">
      <w:start w:val="12"/>
      <w:numFmt w:val="upperLetter"/>
      <w:lvlText w:val="%1."/>
      <w:lvlJc w:val="left"/>
      <w:pPr>
        <w:ind w:left="1394" w:hanging="994"/>
        <w:jc w:val="left"/>
      </w:pPr>
      <w:rPr>
        <w:rFonts w:hint="default" w:ascii="Arial" w:hAnsi="Arial" w:eastAsia="Arial" w:cs="Arial"/>
        <w:b/>
        <w:bCs/>
        <w:spacing w:val="-1"/>
        <w:w w:val="100"/>
        <w:sz w:val="24"/>
        <w:szCs w:val="24"/>
        <w:lang w:val="es-mx" w:eastAsia="es-mx" w:bidi="es-mx"/>
      </w:rPr>
    </w:lvl>
    <w:lvl w:ilvl="1">
      <w:start w:val="1"/>
      <w:numFmt w:val="upperRoman"/>
      <w:lvlText w:val="%2."/>
      <w:lvlJc w:val="left"/>
      <w:pPr>
        <w:ind w:left="1533" w:hanging="567"/>
        <w:jc w:val="left"/>
      </w:pPr>
      <w:rPr>
        <w:rFonts w:hint="default" w:ascii="Arial" w:hAnsi="Arial" w:eastAsia="Arial" w:cs="Arial"/>
        <w:b/>
        <w:bCs/>
        <w:spacing w:val="0"/>
        <w:w w:val="100"/>
        <w:sz w:val="22"/>
        <w:szCs w:val="22"/>
        <w:lang w:val="es-mx" w:eastAsia="es-mx" w:bidi="es-mx"/>
      </w:rPr>
    </w:lvl>
    <w:lvl w:ilvl="2">
      <w:start w:val="0"/>
      <w:numFmt w:val="bullet"/>
      <w:lvlText w:val="•"/>
      <w:lvlJc w:val="left"/>
      <w:pPr>
        <w:ind w:left="2542" w:hanging="567"/>
      </w:pPr>
      <w:rPr>
        <w:rFonts w:hint="default"/>
        <w:lang w:val="es-mx" w:eastAsia="es-mx" w:bidi="es-mx"/>
      </w:rPr>
    </w:lvl>
    <w:lvl w:ilvl="3">
      <w:start w:val="0"/>
      <w:numFmt w:val="bullet"/>
      <w:lvlText w:val="•"/>
      <w:lvlJc w:val="left"/>
      <w:pPr>
        <w:ind w:left="3544" w:hanging="567"/>
      </w:pPr>
      <w:rPr>
        <w:rFonts w:hint="default"/>
        <w:lang w:val="es-mx" w:eastAsia="es-mx" w:bidi="es-mx"/>
      </w:rPr>
    </w:lvl>
    <w:lvl w:ilvl="4">
      <w:start w:val="0"/>
      <w:numFmt w:val="bullet"/>
      <w:lvlText w:val="•"/>
      <w:lvlJc w:val="left"/>
      <w:pPr>
        <w:ind w:left="4547" w:hanging="567"/>
      </w:pPr>
      <w:rPr>
        <w:rFonts w:hint="default"/>
        <w:lang w:val="es-mx" w:eastAsia="es-mx" w:bidi="es-mx"/>
      </w:rPr>
    </w:lvl>
    <w:lvl w:ilvl="5">
      <w:start w:val="0"/>
      <w:numFmt w:val="bullet"/>
      <w:lvlText w:val="•"/>
      <w:lvlJc w:val="left"/>
      <w:pPr>
        <w:ind w:left="5549" w:hanging="567"/>
      </w:pPr>
      <w:rPr>
        <w:rFonts w:hint="default"/>
        <w:lang w:val="es-mx" w:eastAsia="es-mx" w:bidi="es-mx"/>
      </w:rPr>
    </w:lvl>
    <w:lvl w:ilvl="6">
      <w:start w:val="0"/>
      <w:numFmt w:val="bullet"/>
      <w:lvlText w:val="•"/>
      <w:lvlJc w:val="left"/>
      <w:pPr>
        <w:ind w:left="6552" w:hanging="567"/>
      </w:pPr>
      <w:rPr>
        <w:rFonts w:hint="default"/>
        <w:lang w:val="es-mx" w:eastAsia="es-mx" w:bidi="es-mx"/>
      </w:rPr>
    </w:lvl>
    <w:lvl w:ilvl="7">
      <w:start w:val="0"/>
      <w:numFmt w:val="bullet"/>
      <w:lvlText w:val="•"/>
      <w:lvlJc w:val="left"/>
      <w:pPr>
        <w:ind w:left="7554" w:hanging="567"/>
      </w:pPr>
      <w:rPr>
        <w:rFonts w:hint="default"/>
        <w:lang w:val="es-mx" w:eastAsia="es-mx" w:bidi="es-mx"/>
      </w:rPr>
    </w:lvl>
    <w:lvl w:ilvl="8">
      <w:start w:val="0"/>
      <w:numFmt w:val="bullet"/>
      <w:lvlText w:val="•"/>
      <w:lvlJc w:val="left"/>
      <w:pPr>
        <w:ind w:left="8557" w:hanging="567"/>
      </w:pPr>
      <w:rPr>
        <w:rFonts w:hint="default"/>
        <w:lang w:val="es-mx" w:eastAsia="es-mx" w:bidi="es-mx"/>
      </w:rPr>
    </w:lvl>
  </w:abstractNum>
  <w:abstractNum w:abstractNumId="0">
    <w:multiLevelType w:val="hybridMultilevel"/>
    <w:lvl w:ilvl="0">
      <w:start w:val="1"/>
      <w:numFmt w:val="upperRoman"/>
      <w:lvlText w:val="%1."/>
      <w:lvlJc w:val="left"/>
      <w:pPr>
        <w:ind w:left="1394" w:hanging="994"/>
        <w:jc w:val="left"/>
      </w:pPr>
      <w:rPr>
        <w:rFonts w:hint="default" w:ascii="Arial" w:hAnsi="Arial" w:eastAsia="Arial" w:cs="Arial"/>
        <w:b/>
        <w:bCs/>
        <w:w w:val="100"/>
        <w:sz w:val="24"/>
        <w:szCs w:val="24"/>
        <w:lang w:val="es-mx" w:eastAsia="es-mx" w:bidi="es-mx"/>
      </w:rPr>
    </w:lvl>
    <w:lvl w:ilvl="1">
      <w:start w:val="0"/>
      <w:numFmt w:val="bullet"/>
      <w:lvlText w:val="•"/>
      <w:lvlJc w:val="left"/>
      <w:pPr>
        <w:ind w:left="2316" w:hanging="994"/>
      </w:pPr>
      <w:rPr>
        <w:rFonts w:hint="default"/>
        <w:lang w:val="es-mx" w:eastAsia="es-mx" w:bidi="es-mx"/>
      </w:rPr>
    </w:lvl>
    <w:lvl w:ilvl="2">
      <w:start w:val="0"/>
      <w:numFmt w:val="bullet"/>
      <w:lvlText w:val="•"/>
      <w:lvlJc w:val="left"/>
      <w:pPr>
        <w:ind w:left="3232" w:hanging="994"/>
      </w:pPr>
      <w:rPr>
        <w:rFonts w:hint="default"/>
        <w:lang w:val="es-mx" w:eastAsia="es-mx" w:bidi="es-mx"/>
      </w:rPr>
    </w:lvl>
    <w:lvl w:ilvl="3">
      <w:start w:val="0"/>
      <w:numFmt w:val="bullet"/>
      <w:lvlText w:val="•"/>
      <w:lvlJc w:val="left"/>
      <w:pPr>
        <w:ind w:left="4148" w:hanging="994"/>
      </w:pPr>
      <w:rPr>
        <w:rFonts w:hint="default"/>
        <w:lang w:val="es-mx" w:eastAsia="es-mx" w:bidi="es-mx"/>
      </w:rPr>
    </w:lvl>
    <w:lvl w:ilvl="4">
      <w:start w:val="0"/>
      <w:numFmt w:val="bullet"/>
      <w:lvlText w:val="•"/>
      <w:lvlJc w:val="left"/>
      <w:pPr>
        <w:ind w:left="5064" w:hanging="994"/>
      </w:pPr>
      <w:rPr>
        <w:rFonts w:hint="default"/>
        <w:lang w:val="es-mx" w:eastAsia="es-mx" w:bidi="es-mx"/>
      </w:rPr>
    </w:lvl>
    <w:lvl w:ilvl="5">
      <w:start w:val="0"/>
      <w:numFmt w:val="bullet"/>
      <w:lvlText w:val="•"/>
      <w:lvlJc w:val="left"/>
      <w:pPr>
        <w:ind w:left="5981" w:hanging="994"/>
      </w:pPr>
      <w:rPr>
        <w:rFonts w:hint="default"/>
        <w:lang w:val="es-mx" w:eastAsia="es-mx" w:bidi="es-mx"/>
      </w:rPr>
    </w:lvl>
    <w:lvl w:ilvl="6">
      <w:start w:val="0"/>
      <w:numFmt w:val="bullet"/>
      <w:lvlText w:val="•"/>
      <w:lvlJc w:val="left"/>
      <w:pPr>
        <w:ind w:left="6897" w:hanging="994"/>
      </w:pPr>
      <w:rPr>
        <w:rFonts w:hint="default"/>
        <w:lang w:val="es-mx" w:eastAsia="es-mx" w:bidi="es-mx"/>
      </w:rPr>
    </w:lvl>
    <w:lvl w:ilvl="7">
      <w:start w:val="0"/>
      <w:numFmt w:val="bullet"/>
      <w:lvlText w:val="•"/>
      <w:lvlJc w:val="left"/>
      <w:pPr>
        <w:ind w:left="7813" w:hanging="994"/>
      </w:pPr>
      <w:rPr>
        <w:rFonts w:hint="default"/>
        <w:lang w:val="es-mx" w:eastAsia="es-mx" w:bidi="es-mx"/>
      </w:rPr>
    </w:lvl>
    <w:lvl w:ilvl="8">
      <w:start w:val="0"/>
      <w:numFmt w:val="bullet"/>
      <w:lvlText w:val="•"/>
      <w:lvlJc w:val="left"/>
      <w:pPr>
        <w:ind w:left="8729" w:hanging="994"/>
      </w:pPr>
      <w:rPr>
        <w:rFonts w:hint="default"/>
        <w:lang w:val="es-mx" w:eastAsia="es-mx" w:bidi="es-mx"/>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mx" w:eastAsia="es-mx" w:bidi="es-mx"/>
    </w:rPr>
  </w:style>
  <w:style w:styleId="TOC1" w:type="paragraph">
    <w:name w:val="TOC 1"/>
    <w:basedOn w:val="Normal"/>
    <w:uiPriority w:val="1"/>
    <w:qFormat/>
    <w:pPr>
      <w:spacing w:before="197"/>
      <w:ind w:right="484"/>
      <w:jc w:val="right"/>
    </w:pPr>
    <w:rPr>
      <w:rFonts w:ascii="Arial" w:hAnsi="Arial" w:eastAsia="Arial" w:cs="Arial"/>
      <w:b/>
      <w:bCs/>
      <w:sz w:val="24"/>
      <w:szCs w:val="24"/>
      <w:lang w:val="es-mx" w:eastAsia="es-mx" w:bidi="es-mx"/>
    </w:rPr>
  </w:style>
  <w:style w:styleId="TOC2" w:type="paragraph">
    <w:name w:val="TOC 2"/>
    <w:basedOn w:val="Normal"/>
    <w:uiPriority w:val="1"/>
    <w:qFormat/>
    <w:pPr>
      <w:spacing w:before="120"/>
      <w:ind w:left="1106"/>
    </w:pPr>
    <w:rPr>
      <w:rFonts w:ascii="Arial" w:hAnsi="Arial" w:eastAsia="Arial" w:cs="Arial"/>
      <w:sz w:val="24"/>
      <w:szCs w:val="24"/>
      <w:lang w:val="es-mx" w:eastAsia="es-mx" w:bidi="es-mx"/>
    </w:rPr>
  </w:style>
  <w:style w:styleId="BodyText" w:type="paragraph">
    <w:name w:val="Body Text"/>
    <w:basedOn w:val="Normal"/>
    <w:uiPriority w:val="1"/>
    <w:qFormat/>
    <w:pPr/>
    <w:rPr>
      <w:rFonts w:ascii="Arial" w:hAnsi="Arial" w:eastAsia="Arial" w:cs="Arial"/>
      <w:sz w:val="24"/>
      <w:szCs w:val="24"/>
      <w:lang w:val="es-mx" w:eastAsia="es-mx" w:bidi="es-mx"/>
    </w:rPr>
  </w:style>
  <w:style w:styleId="Heading1" w:type="paragraph">
    <w:name w:val="Heading 1"/>
    <w:basedOn w:val="Normal"/>
    <w:uiPriority w:val="1"/>
    <w:qFormat/>
    <w:pPr>
      <w:ind w:left="966"/>
      <w:outlineLvl w:val="1"/>
    </w:pPr>
    <w:rPr>
      <w:rFonts w:ascii="Arial" w:hAnsi="Arial" w:eastAsia="Arial" w:cs="Arial"/>
      <w:b/>
      <w:bCs/>
      <w:sz w:val="24"/>
      <w:szCs w:val="24"/>
      <w:lang w:val="es-mx" w:eastAsia="es-mx" w:bidi="es-mx"/>
    </w:rPr>
  </w:style>
  <w:style w:styleId="ListParagraph" w:type="paragraph">
    <w:name w:val="List Paragraph"/>
    <w:basedOn w:val="Normal"/>
    <w:uiPriority w:val="1"/>
    <w:qFormat/>
    <w:pPr>
      <w:ind w:left="966" w:hanging="360"/>
    </w:pPr>
    <w:rPr>
      <w:rFonts w:ascii="Arial" w:hAnsi="Arial" w:eastAsia="Arial" w:cs="Arial"/>
      <w:lang w:val="es-mx" w:eastAsia="es-mx" w:bidi="es-mx"/>
    </w:rPr>
  </w:style>
  <w:style w:styleId="TableParagraph" w:type="paragraph">
    <w:name w:val="Table Paragraph"/>
    <w:basedOn w:val="Normal"/>
    <w:uiPriority w:val="1"/>
    <w:qFormat/>
    <w:pPr/>
    <w:rPr>
      <w:rFonts w:ascii="Arial" w:hAnsi="Arial" w:eastAsia="Arial" w:cs="Arial"/>
      <w:lang w:val="es-mx" w:eastAsia="es-mx" w:bidi="es-mx"/>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header" Target="header7.xml"/><Relationship Id="rId107" Type="http://schemas.openxmlformats.org/officeDocument/2006/relationships/header" Target="header8.xml"/><Relationship Id="rId108" Type="http://schemas.openxmlformats.org/officeDocument/2006/relationships/header" Target="header9.xml"/><Relationship Id="rId109" Type="http://schemas.openxmlformats.org/officeDocument/2006/relationships/header" Target="header10.xml"/><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dc:creator>
  <dc:title>LI 231217 (09) Yesca</dc:title>
  <dcterms:created xsi:type="dcterms:W3CDTF">2020-08-08T18:53:07Z</dcterms:created>
  <dcterms:modified xsi:type="dcterms:W3CDTF">2020-08-08T18:53:07Z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2020-01-02T00:00:00Z</vt:filetime>
  </property>
  <property fmtid="{D5CDD505-2E9C-101B-9397-08002B2CF9AE}" pid="3" name="Creator">
    <vt:lpwstr>Microsoft® Word 2016</vt:lpwstr>
  </property>
  <property fmtid="{D5CDD505-2E9C-101B-9397-08002B2CF9AE}" pid="4" name="LastSaved">
    <vt:filetime>2020-08-08T00:00:00Z</vt:filetime>
  </property>
</Properties>
</file>